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E80F" w14:textId="39BB24FF" w:rsidR="00AC6BAA" w:rsidRPr="00C56EC9" w:rsidRDefault="00AC6BAA" w:rsidP="006C5067">
      <w:pPr>
        <w:pStyle w:val="Sinespaciado"/>
        <w:jc w:val="center"/>
        <w:rPr>
          <w:sz w:val="32"/>
          <w:szCs w:val="28"/>
          <w:lang w:val="es-419"/>
        </w:rPr>
      </w:pPr>
      <w:r w:rsidRPr="00C56EC9">
        <w:rPr>
          <w:sz w:val="32"/>
          <w:szCs w:val="28"/>
          <w:lang w:val="es-419"/>
        </w:rPr>
        <w:t>GOBIERNO DE PANAMÁ</w:t>
      </w:r>
    </w:p>
    <w:p w14:paraId="58AB73E3" w14:textId="35F92ED1" w:rsidR="00612101" w:rsidRPr="00C56EC9" w:rsidRDefault="006C5067" w:rsidP="006C5067">
      <w:pPr>
        <w:pStyle w:val="Sinespaciado"/>
        <w:jc w:val="center"/>
        <w:rPr>
          <w:sz w:val="32"/>
          <w:szCs w:val="28"/>
          <w:lang w:val="es-419"/>
        </w:rPr>
      </w:pPr>
      <w:r w:rsidRPr="00C56EC9">
        <w:rPr>
          <w:sz w:val="32"/>
          <w:szCs w:val="28"/>
          <w:lang w:val="es-419"/>
        </w:rPr>
        <w:t>CAJA DE SEGURO SOCIAL DE PANAMÁ</w:t>
      </w:r>
    </w:p>
    <w:p w14:paraId="4AC44CB9" w14:textId="77777777" w:rsidR="006C5067" w:rsidRPr="00C56EC9" w:rsidRDefault="006C5067" w:rsidP="006C5067">
      <w:pPr>
        <w:pStyle w:val="Sinespaciado"/>
        <w:jc w:val="center"/>
        <w:rPr>
          <w:sz w:val="32"/>
          <w:szCs w:val="28"/>
          <w:lang w:val="es-419"/>
        </w:rPr>
      </w:pPr>
    </w:p>
    <w:p w14:paraId="4179F54F" w14:textId="77777777" w:rsidR="00AC6BAA" w:rsidRPr="00C56EC9" w:rsidRDefault="00AC6BAA" w:rsidP="006C5067">
      <w:pPr>
        <w:pStyle w:val="Sinespaciado"/>
        <w:jc w:val="center"/>
        <w:rPr>
          <w:sz w:val="32"/>
          <w:szCs w:val="28"/>
          <w:lang w:val="es-419"/>
        </w:rPr>
      </w:pPr>
    </w:p>
    <w:p w14:paraId="5D03B3F9" w14:textId="77777777" w:rsidR="00AC6BAA" w:rsidRPr="00C56EC9" w:rsidRDefault="00AC6BAA" w:rsidP="006C5067">
      <w:pPr>
        <w:pStyle w:val="Sinespaciado"/>
        <w:jc w:val="center"/>
        <w:rPr>
          <w:sz w:val="32"/>
          <w:szCs w:val="28"/>
          <w:lang w:val="es-419"/>
        </w:rPr>
      </w:pPr>
    </w:p>
    <w:p w14:paraId="6955DC16" w14:textId="09A91C8C" w:rsidR="00AC6BAA" w:rsidRPr="00C56EC9" w:rsidRDefault="002D5AF0" w:rsidP="006C5067">
      <w:pPr>
        <w:pStyle w:val="Sinespaciado"/>
        <w:jc w:val="center"/>
        <w:rPr>
          <w:sz w:val="32"/>
          <w:szCs w:val="28"/>
          <w:lang w:val="es-419"/>
        </w:rPr>
      </w:pPr>
      <w:r w:rsidRPr="002D5AF0">
        <w:rPr>
          <w:noProof/>
          <w:sz w:val="12"/>
          <w:szCs w:val="12"/>
        </w:rPr>
        <w:drawing>
          <wp:inline distT="0" distB="0" distL="0" distR="0" wp14:anchorId="44516BD3" wp14:editId="02A25F10">
            <wp:extent cx="1522142" cy="1522142"/>
            <wp:effectExtent l="0" t="0" r="1905" b="1905"/>
            <wp:docPr id="5" name="Imagen 4">
              <a:extLst xmlns:a="http://schemas.openxmlformats.org/drawingml/2006/main">
                <a:ext uri="{FF2B5EF4-FFF2-40B4-BE49-F238E27FC236}">
                  <a16:creationId xmlns:a16="http://schemas.microsoft.com/office/drawing/2014/main" id="{593805E1-1528-B576-69C5-537037985F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93805E1-1528-B576-69C5-537037985FA1}"/>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522142" cy="1522142"/>
                    </a:xfrm>
                    <a:prstGeom prst="rect">
                      <a:avLst/>
                    </a:prstGeom>
                  </pic:spPr>
                </pic:pic>
              </a:graphicData>
            </a:graphic>
          </wp:inline>
        </w:drawing>
      </w:r>
    </w:p>
    <w:p w14:paraId="15601BE2" w14:textId="77777777" w:rsidR="00AC6BAA" w:rsidRPr="00C56EC9" w:rsidRDefault="00AC6BAA" w:rsidP="006C5067">
      <w:pPr>
        <w:pStyle w:val="Sinespaciado"/>
        <w:jc w:val="center"/>
        <w:rPr>
          <w:sz w:val="32"/>
          <w:szCs w:val="28"/>
          <w:lang w:val="es-419"/>
        </w:rPr>
      </w:pPr>
    </w:p>
    <w:p w14:paraId="49A3D526" w14:textId="77777777" w:rsidR="00AC6BAA" w:rsidRPr="00C56EC9" w:rsidRDefault="00AC6BAA" w:rsidP="006C5067">
      <w:pPr>
        <w:pStyle w:val="Sinespaciado"/>
        <w:jc w:val="center"/>
        <w:rPr>
          <w:sz w:val="32"/>
          <w:szCs w:val="28"/>
          <w:lang w:val="es-419"/>
        </w:rPr>
      </w:pPr>
    </w:p>
    <w:p w14:paraId="619B30CB" w14:textId="77777777" w:rsidR="00AC6BAA" w:rsidRPr="00C56EC9" w:rsidRDefault="00AC6BAA" w:rsidP="006C5067">
      <w:pPr>
        <w:pStyle w:val="Sinespaciado"/>
        <w:jc w:val="center"/>
        <w:rPr>
          <w:sz w:val="32"/>
          <w:szCs w:val="28"/>
          <w:lang w:val="es-419"/>
        </w:rPr>
      </w:pPr>
    </w:p>
    <w:p w14:paraId="34F237F2" w14:textId="77777777" w:rsidR="00AC6BAA" w:rsidRPr="00C56EC9" w:rsidRDefault="00AC6BAA" w:rsidP="006C5067">
      <w:pPr>
        <w:pStyle w:val="Sinespaciado"/>
        <w:jc w:val="center"/>
        <w:rPr>
          <w:sz w:val="32"/>
          <w:szCs w:val="28"/>
          <w:lang w:val="es-419"/>
        </w:rPr>
      </w:pPr>
    </w:p>
    <w:p w14:paraId="01EC6942" w14:textId="6D094837" w:rsidR="00AC6BAA" w:rsidRPr="00C56EC9" w:rsidRDefault="006C5067" w:rsidP="006C5067">
      <w:pPr>
        <w:pStyle w:val="Sinespaciado"/>
        <w:jc w:val="center"/>
        <w:rPr>
          <w:sz w:val="32"/>
          <w:szCs w:val="28"/>
          <w:lang w:val="es-419"/>
        </w:rPr>
      </w:pPr>
      <w:r w:rsidRPr="00C56EC9">
        <w:rPr>
          <w:sz w:val="32"/>
          <w:szCs w:val="28"/>
          <w:lang w:val="es-419"/>
        </w:rPr>
        <w:t xml:space="preserve">Especificaciones Técnicas </w:t>
      </w:r>
      <w:r w:rsidR="00FC0454" w:rsidRPr="00C56EC9">
        <w:rPr>
          <w:sz w:val="32"/>
          <w:szCs w:val="28"/>
          <w:lang w:val="es-419"/>
        </w:rPr>
        <w:t>para la Proyección Actuarial del Proyecto de Ley 163 de 2024</w:t>
      </w:r>
    </w:p>
    <w:p w14:paraId="2E81CF98" w14:textId="77777777" w:rsidR="00AC6BAA" w:rsidRPr="00C56EC9" w:rsidRDefault="00AC6BAA" w:rsidP="006C5067">
      <w:pPr>
        <w:pStyle w:val="Sinespaciado"/>
        <w:jc w:val="center"/>
        <w:rPr>
          <w:sz w:val="32"/>
          <w:szCs w:val="28"/>
          <w:lang w:val="es-419"/>
        </w:rPr>
      </w:pPr>
    </w:p>
    <w:p w14:paraId="09E1C96E" w14:textId="77777777" w:rsidR="00AC6BAA" w:rsidRPr="00C56EC9" w:rsidRDefault="00AC6BAA" w:rsidP="006C5067">
      <w:pPr>
        <w:pStyle w:val="Sinespaciado"/>
        <w:jc w:val="center"/>
        <w:rPr>
          <w:sz w:val="32"/>
          <w:szCs w:val="28"/>
          <w:lang w:val="es-419"/>
        </w:rPr>
      </w:pPr>
    </w:p>
    <w:p w14:paraId="5FD5DA37" w14:textId="6DC4C8C8" w:rsidR="00C13513" w:rsidRPr="00C56EC9" w:rsidRDefault="00DB1F2D" w:rsidP="006C5067">
      <w:pPr>
        <w:pStyle w:val="Sinespaciado"/>
        <w:jc w:val="center"/>
        <w:rPr>
          <w:lang w:val="es-419"/>
        </w:rPr>
      </w:pPr>
      <w:r w:rsidRPr="00C56EC9">
        <w:rPr>
          <w:lang w:val="es-419"/>
        </w:rPr>
        <w:t>“Que modifica, adiciona y deroga artículos de la Ley 51 de 27 de diciembre de 2005, Que reforma la Ley Orgánica de la Caja de</w:t>
      </w:r>
      <w:r w:rsidR="00696FC0" w:rsidRPr="00C56EC9">
        <w:rPr>
          <w:lang w:val="es-419"/>
        </w:rPr>
        <w:t xml:space="preserve"> Seguro Social y dicta otras disposiciones”</w:t>
      </w:r>
    </w:p>
    <w:p w14:paraId="1BDCB66D" w14:textId="77777777" w:rsidR="00696FC0" w:rsidRPr="00C56EC9" w:rsidRDefault="00696FC0" w:rsidP="006C5067">
      <w:pPr>
        <w:pStyle w:val="Sinespaciado"/>
        <w:jc w:val="center"/>
        <w:rPr>
          <w:lang w:val="es-419"/>
        </w:rPr>
      </w:pPr>
    </w:p>
    <w:p w14:paraId="64386BEE" w14:textId="77777777" w:rsidR="00696FC0" w:rsidRPr="00C56EC9" w:rsidRDefault="00696FC0" w:rsidP="006C5067">
      <w:pPr>
        <w:pStyle w:val="Sinespaciado"/>
        <w:jc w:val="center"/>
        <w:rPr>
          <w:lang w:val="es-419"/>
        </w:rPr>
      </w:pPr>
    </w:p>
    <w:p w14:paraId="44AAEAB1" w14:textId="77777777" w:rsidR="00AC6BAA" w:rsidRPr="00C56EC9" w:rsidRDefault="00AC6BAA" w:rsidP="006C5067">
      <w:pPr>
        <w:pStyle w:val="Sinespaciado"/>
        <w:jc w:val="center"/>
        <w:rPr>
          <w:lang w:val="es-419"/>
        </w:rPr>
      </w:pPr>
    </w:p>
    <w:p w14:paraId="7CD3906E" w14:textId="77777777" w:rsidR="00AC6BAA" w:rsidRPr="00C56EC9" w:rsidRDefault="00AC6BAA" w:rsidP="006C5067">
      <w:pPr>
        <w:pStyle w:val="Sinespaciado"/>
        <w:jc w:val="center"/>
        <w:rPr>
          <w:lang w:val="es-419"/>
        </w:rPr>
      </w:pPr>
    </w:p>
    <w:p w14:paraId="2B9D6EB4" w14:textId="77777777" w:rsidR="00E50371" w:rsidRPr="00C56EC9" w:rsidRDefault="00E50371" w:rsidP="006C5067">
      <w:pPr>
        <w:pStyle w:val="Sinespaciado"/>
        <w:jc w:val="center"/>
        <w:rPr>
          <w:lang w:val="es-419"/>
        </w:rPr>
      </w:pPr>
    </w:p>
    <w:p w14:paraId="3E09112A" w14:textId="77777777" w:rsidR="00E50371" w:rsidRPr="00C56EC9" w:rsidRDefault="00E50371" w:rsidP="006C5067">
      <w:pPr>
        <w:pStyle w:val="Sinespaciado"/>
        <w:jc w:val="center"/>
        <w:rPr>
          <w:lang w:val="es-419"/>
        </w:rPr>
      </w:pPr>
    </w:p>
    <w:p w14:paraId="6A5DA8E0" w14:textId="77777777" w:rsidR="00E50371" w:rsidRPr="00C56EC9" w:rsidRDefault="00E50371" w:rsidP="006C5067">
      <w:pPr>
        <w:pStyle w:val="Sinespaciado"/>
        <w:jc w:val="center"/>
        <w:rPr>
          <w:lang w:val="es-419"/>
        </w:rPr>
      </w:pPr>
    </w:p>
    <w:p w14:paraId="7A636491" w14:textId="77777777" w:rsidR="00AC6BAA" w:rsidRPr="00C56EC9" w:rsidRDefault="00AC6BAA" w:rsidP="006C5067">
      <w:pPr>
        <w:pStyle w:val="Sinespaciado"/>
        <w:jc w:val="center"/>
        <w:rPr>
          <w:lang w:val="es-419"/>
        </w:rPr>
      </w:pPr>
    </w:p>
    <w:p w14:paraId="3467F259" w14:textId="14837AFF" w:rsidR="00AC6BAA" w:rsidRPr="00C56EC9" w:rsidRDefault="00E50371" w:rsidP="006C5067">
      <w:pPr>
        <w:pStyle w:val="Sinespaciado"/>
        <w:jc w:val="center"/>
        <w:rPr>
          <w:b/>
          <w:bCs/>
          <w:lang w:val="es-419"/>
        </w:rPr>
      </w:pPr>
      <w:r w:rsidRPr="00C56EC9">
        <w:rPr>
          <w:b/>
          <w:bCs/>
          <w:lang w:val="es-419"/>
        </w:rPr>
        <w:t xml:space="preserve">Dr. </w:t>
      </w:r>
      <w:r w:rsidR="00AC6BAA" w:rsidRPr="00C56EC9">
        <w:rPr>
          <w:b/>
          <w:bCs/>
          <w:lang w:val="es-419"/>
        </w:rPr>
        <w:t xml:space="preserve">Dino </w:t>
      </w:r>
      <w:proofErr w:type="spellStart"/>
      <w:r w:rsidR="00AC6BAA" w:rsidRPr="00C56EC9">
        <w:rPr>
          <w:b/>
          <w:bCs/>
          <w:lang w:val="es-419"/>
        </w:rPr>
        <w:t>Mon</w:t>
      </w:r>
      <w:proofErr w:type="spellEnd"/>
      <w:r w:rsidR="00AC6BAA" w:rsidRPr="00C56EC9">
        <w:rPr>
          <w:b/>
          <w:bCs/>
          <w:lang w:val="es-419"/>
        </w:rPr>
        <w:t xml:space="preserve"> Vásquez</w:t>
      </w:r>
    </w:p>
    <w:p w14:paraId="40937145" w14:textId="1ECF4684" w:rsidR="00AC6BAA" w:rsidRPr="00C56EC9" w:rsidRDefault="00AC6BAA" w:rsidP="006C5067">
      <w:pPr>
        <w:pStyle w:val="Sinespaciado"/>
        <w:jc w:val="center"/>
        <w:rPr>
          <w:lang w:val="es-419"/>
        </w:rPr>
      </w:pPr>
      <w:r w:rsidRPr="00C56EC9">
        <w:rPr>
          <w:lang w:val="es-419"/>
        </w:rPr>
        <w:t>Director General CSS</w:t>
      </w:r>
    </w:p>
    <w:p w14:paraId="48C9F279" w14:textId="77777777" w:rsidR="00AC6BAA" w:rsidRPr="00C56EC9" w:rsidRDefault="00AC6BAA" w:rsidP="006C5067">
      <w:pPr>
        <w:pStyle w:val="Sinespaciado"/>
        <w:jc w:val="center"/>
        <w:rPr>
          <w:lang w:val="es-419"/>
        </w:rPr>
      </w:pPr>
    </w:p>
    <w:p w14:paraId="7B060E18" w14:textId="77777777" w:rsidR="00AC6BAA" w:rsidRPr="00C56EC9" w:rsidRDefault="00AC6BAA" w:rsidP="006C5067">
      <w:pPr>
        <w:pStyle w:val="Sinespaciado"/>
        <w:jc w:val="center"/>
        <w:rPr>
          <w:lang w:val="es-419"/>
        </w:rPr>
      </w:pPr>
    </w:p>
    <w:p w14:paraId="66DBDC8E" w14:textId="77777777" w:rsidR="00AC6BAA" w:rsidRPr="00C56EC9" w:rsidRDefault="00AC6BAA" w:rsidP="006C5067">
      <w:pPr>
        <w:pStyle w:val="Sinespaciado"/>
        <w:jc w:val="center"/>
        <w:rPr>
          <w:lang w:val="es-419"/>
        </w:rPr>
      </w:pPr>
    </w:p>
    <w:p w14:paraId="40B3F1EA" w14:textId="77777777" w:rsidR="00AC6BAA" w:rsidRPr="00C56EC9" w:rsidRDefault="00AC6BAA" w:rsidP="006C5067">
      <w:pPr>
        <w:pStyle w:val="Sinespaciado"/>
        <w:jc w:val="center"/>
        <w:rPr>
          <w:lang w:val="es-419"/>
        </w:rPr>
      </w:pPr>
    </w:p>
    <w:p w14:paraId="740B7443" w14:textId="77777777" w:rsidR="00AC6BAA" w:rsidRPr="00C56EC9" w:rsidRDefault="00AC6BAA" w:rsidP="00AC6BAA">
      <w:pPr>
        <w:pStyle w:val="Sinespaciado"/>
        <w:jc w:val="center"/>
        <w:rPr>
          <w:lang w:val="es-419"/>
        </w:rPr>
      </w:pPr>
    </w:p>
    <w:p w14:paraId="6A3207D1" w14:textId="1A39E6AA" w:rsidR="00F72C6E" w:rsidRPr="00C56EC9" w:rsidRDefault="00AC6BAA" w:rsidP="006C5067">
      <w:pPr>
        <w:pStyle w:val="Sinespaciado"/>
        <w:jc w:val="center"/>
        <w:rPr>
          <w:lang w:val="es-419"/>
        </w:rPr>
      </w:pPr>
      <w:r w:rsidRPr="00C56EC9">
        <w:rPr>
          <w:lang w:val="es-419"/>
        </w:rPr>
        <w:t>Noviembre de 2024</w:t>
      </w:r>
    </w:p>
    <w:p w14:paraId="3396A5C0" w14:textId="37B8DF22" w:rsidR="00F72C6E" w:rsidRPr="00C56EC9" w:rsidRDefault="00F72C6E" w:rsidP="002D5AF0">
      <w:pPr>
        <w:spacing w:line="259" w:lineRule="auto"/>
        <w:jc w:val="left"/>
        <w:rPr>
          <w:lang w:val="es-419"/>
        </w:rPr>
      </w:pPr>
      <w:r w:rsidRPr="00C56EC9">
        <w:rPr>
          <w:lang w:val="es-419"/>
        </w:rPr>
        <w:br w:type="page"/>
      </w:r>
      <w:r w:rsidRPr="00C56EC9">
        <w:rPr>
          <w:b/>
          <w:bCs/>
          <w:sz w:val="36"/>
          <w:szCs w:val="32"/>
          <w:lang w:val="es-419"/>
        </w:rPr>
        <w:lastRenderedPageBreak/>
        <w:tab/>
        <w:t>Contenido</w:t>
      </w:r>
    </w:p>
    <w:sdt>
      <w:sdtPr>
        <w:rPr>
          <w:rFonts w:ascii="Book Antiqua" w:eastAsiaTheme="minorHAnsi" w:hAnsi="Book Antiqua" w:cstheme="minorBidi"/>
          <w:color w:val="auto"/>
          <w:kern w:val="2"/>
          <w:sz w:val="24"/>
          <w:szCs w:val="22"/>
          <w:lang w:val="es-419"/>
          <w14:ligatures w14:val="standardContextual"/>
        </w:rPr>
        <w:id w:val="-1469043053"/>
        <w:docPartObj>
          <w:docPartGallery w:val="Table of Contents"/>
          <w:docPartUnique/>
        </w:docPartObj>
      </w:sdtPr>
      <w:sdtEndPr>
        <w:rPr>
          <w:b/>
          <w:bCs/>
          <w:noProof/>
        </w:rPr>
      </w:sdtEndPr>
      <w:sdtContent>
        <w:p w14:paraId="62AC97F4" w14:textId="006A2E98" w:rsidR="00F72C6E" w:rsidRPr="00C56EC9" w:rsidRDefault="00F72C6E">
          <w:pPr>
            <w:pStyle w:val="TtuloTDC"/>
            <w:rPr>
              <w:lang w:val="es-419"/>
            </w:rPr>
          </w:pPr>
        </w:p>
        <w:p w14:paraId="0BCE2A3F" w14:textId="012F0658" w:rsidR="00FF1B60" w:rsidRDefault="00F72C6E">
          <w:pPr>
            <w:pStyle w:val="TDC1"/>
            <w:tabs>
              <w:tab w:val="left" w:pos="480"/>
              <w:tab w:val="right" w:leader="dot" w:pos="9016"/>
            </w:tabs>
            <w:rPr>
              <w:rFonts w:asciiTheme="minorHAnsi" w:eastAsiaTheme="minorEastAsia" w:hAnsiTheme="minorHAnsi"/>
              <w:noProof/>
              <w:szCs w:val="24"/>
              <w:lang w:eastAsia="en-GB"/>
            </w:rPr>
          </w:pPr>
          <w:r w:rsidRPr="00C56EC9">
            <w:rPr>
              <w:lang w:val="es-419"/>
            </w:rPr>
            <w:fldChar w:fldCharType="begin"/>
          </w:r>
          <w:r w:rsidRPr="00C56EC9">
            <w:rPr>
              <w:lang w:val="es-419"/>
            </w:rPr>
            <w:instrText xml:space="preserve"> TOC \o "1-3" \h \z \u </w:instrText>
          </w:r>
          <w:r w:rsidRPr="00C56EC9">
            <w:rPr>
              <w:lang w:val="es-419"/>
            </w:rPr>
            <w:fldChar w:fldCharType="separate"/>
          </w:r>
          <w:hyperlink w:anchor="_Toc183978424" w:history="1">
            <w:r w:rsidR="00FF1B60" w:rsidRPr="00CE2AD9">
              <w:rPr>
                <w:rStyle w:val="Hipervnculo"/>
                <w:noProof/>
                <w:lang w:val="es-419"/>
              </w:rPr>
              <w:t>1.</w:t>
            </w:r>
            <w:r w:rsidR="00FF1B60">
              <w:rPr>
                <w:rFonts w:asciiTheme="minorHAnsi" w:eastAsiaTheme="minorEastAsia" w:hAnsiTheme="minorHAnsi"/>
                <w:noProof/>
                <w:szCs w:val="24"/>
                <w:lang w:eastAsia="en-GB"/>
              </w:rPr>
              <w:tab/>
            </w:r>
            <w:r w:rsidR="00FF1B60" w:rsidRPr="00CE2AD9">
              <w:rPr>
                <w:rStyle w:val="Hipervnculo"/>
                <w:noProof/>
                <w:lang w:val="es-419"/>
              </w:rPr>
              <w:t>Contexto</w:t>
            </w:r>
            <w:r w:rsidR="00FF1B60">
              <w:rPr>
                <w:noProof/>
                <w:webHidden/>
              </w:rPr>
              <w:tab/>
            </w:r>
            <w:r w:rsidR="00FF1B60">
              <w:rPr>
                <w:noProof/>
                <w:webHidden/>
              </w:rPr>
              <w:fldChar w:fldCharType="begin"/>
            </w:r>
            <w:r w:rsidR="00FF1B60">
              <w:rPr>
                <w:noProof/>
                <w:webHidden/>
              </w:rPr>
              <w:instrText xml:space="preserve"> PAGEREF _Toc183978424 \h </w:instrText>
            </w:r>
            <w:r w:rsidR="00FF1B60">
              <w:rPr>
                <w:noProof/>
                <w:webHidden/>
              </w:rPr>
            </w:r>
            <w:r w:rsidR="00FF1B60">
              <w:rPr>
                <w:noProof/>
                <w:webHidden/>
              </w:rPr>
              <w:fldChar w:fldCharType="separate"/>
            </w:r>
            <w:r w:rsidR="00B24233">
              <w:rPr>
                <w:noProof/>
                <w:webHidden/>
              </w:rPr>
              <w:t>3</w:t>
            </w:r>
            <w:r w:rsidR="00FF1B60">
              <w:rPr>
                <w:noProof/>
                <w:webHidden/>
              </w:rPr>
              <w:fldChar w:fldCharType="end"/>
            </w:r>
          </w:hyperlink>
        </w:p>
        <w:p w14:paraId="7F376935" w14:textId="7B16F5A0" w:rsidR="00FF1B60" w:rsidRDefault="00391D43">
          <w:pPr>
            <w:pStyle w:val="TDC1"/>
            <w:tabs>
              <w:tab w:val="left" w:pos="480"/>
              <w:tab w:val="right" w:leader="dot" w:pos="9016"/>
            </w:tabs>
            <w:rPr>
              <w:rFonts w:asciiTheme="minorHAnsi" w:eastAsiaTheme="minorEastAsia" w:hAnsiTheme="minorHAnsi"/>
              <w:noProof/>
              <w:szCs w:val="24"/>
              <w:lang w:eastAsia="en-GB"/>
            </w:rPr>
          </w:pPr>
          <w:hyperlink w:anchor="_Toc183978425" w:history="1">
            <w:r w:rsidR="00FF1B60" w:rsidRPr="00CE2AD9">
              <w:rPr>
                <w:rStyle w:val="Hipervnculo"/>
                <w:noProof/>
                <w:lang w:val="es-419"/>
              </w:rPr>
              <w:t>2.</w:t>
            </w:r>
            <w:r w:rsidR="00FF1B60">
              <w:rPr>
                <w:rFonts w:asciiTheme="minorHAnsi" w:eastAsiaTheme="minorEastAsia" w:hAnsiTheme="minorHAnsi"/>
                <w:noProof/>
                <w:szCs w:val="24"/>
                <w:lang w:eastAsia="en-GB"/>
              </w:rPr>
              <w:tab/>
            </w:r>
            <w:r w:rsidR="00FF1B60" w:rsidRPr="00CE2AD9">
              <w:rPr>
                <w:rStyle w:val="Hipervnculo"/>
                <w:noProof/>
                <w:lang w:val="es-419"/>
              </w:rPr>
              <w:t>Sostenibilidad del Programa de IVM</w:t>
            </w:r>
            <w:r w:rsidR="00FF1B60">
              <w:rPr>
                <w:noProof/>
                <w:webHidden/>
              </w:rPr>
              <w:tab/>
            </w:r>
            <w:r w:rsidR="00FF1B60">
              <w:rPr>
                <w:noProof/>
                <w:webHidden/>
              </w:rPr>
              <w:fldChar w:fldCharType="begin"/>
            </w:r>
            <w:r w:rsidR="00FF1B60">
              <w:rPr>
                <w:noProof/>
                <w:webHidden/>
              </w:rPr>
              <w:instrText xml:space="preserve"> PAGEREF _Toc183978425 \h </w:instrText>
            </w:r>
            <w:r w:rsidR="00FF1B60">
              <w:rPr>
                <w:noProof/>
                <w:webHidden/>
              </w:rPr>
            </w:r>
            <w:r w:rsidR="00FF1B60">
              <w:rPr>
                <w:noProof/>
                <w:webHidden/>
              </w:rPr>
              <w:fldChar w:fldCharType="separate"/>
            </w:r>
            <w:r w:rsidR="00B24233">
              <w:rPr>
                <w:noProof/>
                <w:webHidden/>
              </w:rPr>
              <w:t>9</w:t>
            </w:r>
            <w:r w:rsidR="00FF1B60">
              <w:rPr>
                <w:noProof/>
                <w:webHidden/>
              </w:rPr>
              <w:fldChar w:fldCharType="end"/>
            </w:r>
          </w:hyperlink>
        </w:p>
        <w:p w14:paraId="0BCC0A8C" w14:textId="56F8FDC8" w:rsidR="00FF1B60" w:rsidRDefault="00391D43">
          <w:pPr>
            <w:pStyle w:val="TDC1"/>
            <w:tabs>
              <w:tab w:val="left" w:pos="480"/>
              <w:tab w:val="right" w:leader="dot" w:pos="9016"/>
            </w:tabs>
            <w:rPr>
              <w:rFonts w:asciiTheme="minorHAnsi" w:eastAsiaTheme="minorEastAsia" w:hAnsiTheme="minorHAnsi"/>
              <w:noProof/>
              <w:szCs w:val="24"/>
              <w:lang w:eastAsia="en-GB"/>
            </w:rPr>
          </w:pPr>
          <w:hyperlink w:anchor="_Toc183978426" w:history="1">
            <w:r w:rsidR="00FF1B60" w:rsidRPr="00CE2AD9">
              <w:rPr>
                <w:rStyle w:val="Hipervnculo"/>
                <w:noProof/>
                <w:lang w:val="es-419"/>
              </w:rPr>
              <w:t>3.</w:t>
            </w:r>
            <w:r w:rsidR="00FF1B60">
              <w:rPr>
                <w:rFonts w:asciiTheme="minorHAnsi" w:eastAsiaTheme="minorEastAsia" w:hAnsiTheme="minorHAnsi"/>
                <w:noProof/>
                <w:szCs w:val="24"/>
                <w:lang w:eastAsia="en-GB"/>
              </w:rPr>
              <w:tab/>
            </w:r>
            <w:r w:rsidR="00FF1B60" w:rsidRPr="00CE2AD9">
              <w:rPr>
                <w:rStyle w:val="Hipervnculo"/>
                <w:noProof/>
                <w:lang w:val="es-419"/>
              </w:rPr>
              <w:t>Bases del modelo actuarial de proyección del PL 163 de 2024</w:t>
            </w:r>
            <w:r w:rsidR="00FF1B60">
              <w:rPr>
                <w:noProof/>
                <w:webHidden/>
              </w:rPr>
              <w:tab/>
            </w:r>
            <w:r w:rsidR="00FF1B60">
              <w:rPr>
                <w:noProof/>
                <w:webHidden/>
              </w:rPr>
              <w:fldChar w:fldCharType="begin"/>
            </w:r>
            <w:r w:rsidR="00FF1B60">
              <w:rPr>
                <w:noProof/>
                <w:webHidden/>
              </w:rPr>
              <w:instrText xml:space="preserve"> PAGEREF _Toc183978426 \h </w:instrText>
            </w:r>
            <w:r w:rsidR="00FF1B60">
              <w:rPr>
                <w:noProof/>
                <w:webHidden/>
              </w:rPr>
            </w:r>
            <w:r w:rsidR="00FF1B60">
              <w:rPr>
                <w:noProof/>
                <w:webHidden/>
              </w:rPr>
              <w:fldChar w:fldCharType="separate"/>
            </w:r>
            <w:r w:rsidR="00B24233">
              <w:rPr>
                <w:noProof/>
                <w:webHidden/>
              </w:rPr>
              <w:t>12</w:t>
            </w:r>
            <w:r w:rsidR="00FF1B60">
              <w:rPr>
                <w:noProof/>
                <w:webHidden/>
              </w:rPr>
              <w:fldChar w:fldCharType="end"/>
            </w:r>
          </w:hyperlink>
        </w:p>
        <w:p w14:paraId="2DBD4CBD" w14:textId="36D0C9E7" w:rsidR="00FF1B60" w:rsidRDefault="00391D43">
          <w:pPr>
            <w:pStyle w:val="TDC2"/>
            <w:tabs>
              <w:tab w:val="left" w:pos="720"/>
              <w:tab w:val="right" w:leader="dot" w:pos="9016"/>
            </w:tabs>
            <w:rPr>
              <w:rFonts w:asciiTheme="minorHAnsi" w:eastAsiaTheme="minorEastAsia" w:hAnsiTheme="minorHAnsi"/>
              <w:noProof/>
              <w:szCs w:val="24"/>
              <w:lang w:eastAsia="en-GB"/>
            </w:rPr>
          </w:pPr>
          <w:hyperlink w:anchor="_Toc183978427" w:history="1">
            <w:r w:rsidR="00FF1B60" w:rsidRPr="00CE2AD9">
              <w:rPr>
                <w:rStyle w:val="Hipervnculo"/>
                <w:noProof/>
                <w:lang w:val="es-419"/>
              </w:rPr>
              <w:t>a.</w:t>
            </w:r>
            <w:r w:rsidR="00FF1B60">
              <w:rPr>
                <w:rFonts w:asciiTheme="minorHAnsi" w:eastAsiaTheme="minorEastAsia" w:hAnsiTheme="minorHAnsi"/>
                <w:noProof/>
                <w:szCs w:val="24"/>
                <w:lang w:eastAsia="en-GB"/>
              </w:rPr>
              <w:tab/>
            </w:r>
            <w:r w:rsidR="00FF1B60" w:rsidRPr="00CE2AD9">
              <w:rPr>
                <w:rStyle w:val="Hipervnculo"/>
                <w:noProof/>
                <w:lang w:val="es-419"/>
              </w:rPr>
              <w:t>Supuestos macroeconómicos</w:t>
            </w:r>
            <w:r w:rsidR="00FF1B60">
              <w:rPr>
                <w:noProof/>
                <w:webHidden/>
              </w:rPr>
              <w:tab/>
            </w:r>
            <w:r w:rsidR="00FF1B60">
              <w:rPr>
                <w:noProof/>
                <w:webHidden/>
              </w:rPr>
              <w:fldChar w:fldCharType="begin"/>
            </w:r>
            <w:r w:rsidR="00FF1B60">
              <w:rPr>
                <w:noProof/>
                <w:webHidden/>
              </w:rPr>
              <w:instrText xml:space="preserve"> PAGEREF _Toc183978427 \h </w:instrText>
            </w:r>
            <w:r w:rsidR="00FF1B60">
              <w:rPr>
                <w:noProof/>
                <w:webHidden/>
              </w:rPr>
            </w:r>
            <w:r w:rsidR="00FF1B60">
              <w:rPr>
                <w:noProof/>
                <w:webHidden/>
              </w:rPr>
              <w:fldChar w:fldCharType="separate"/>
            </w:r>
            <w:r w:rsidR="00B24233">
              <w:rPr>
                <w:noProof/>
                <w:webHidden/>
              </w:rPr>
              <w:t>12</w:t>
            </w:r>
            <w:r w:rsidR="00FF1B60">
              <w:rPr>
                <w:noProof/>
                <w:webHidden/>
              </w:rPr>
              <w:fldChar w:fldCharType="end"/>
            </w:r>
          </w:hyperlink>
        </w:p>
        <w:p w14:paraId="5235CB1F" w14:textId="2873FD8B" w:rsidR="00FF1B60" w:rsidRDefault="00391D43">
          <w:pPr>
            <w:pStyle w:val="TDC2"/>
            <w:tabs>
              <w:tab w:val="left" w:pos="720"/>
              <w:tab w:val="right" w:leader="dot" w:pos="9016"/>
            </w:tabs>
            <w:rPr>
              <w:rFonts w:asciiTheme="minorHAnsi" w:eastAsiaTheme="minorEastAsia" w:hAnsiTheme="minorHAnsi"/>
              <w:noProof/>
              <w:szCs w:val="24"/>
              <w:lang w:eastAsia="en-GB"/>
            </w:rPr>
          </w:pPr>
          <w:hyperlink w:anchor="_Toc183978428" w:history="1">
            <w:r w:rsidR="00FF1B60" w:rsidRPr="00CE2AD9">
              <w:rPr>
                <w:rStyle w:val="Hipervnculo"/>
                <w:noProof/>
                <w:lang w:val="es-419"/>
              </w:rPr>
              <w:t>b.</w:t>
            </w:r>
            <w:r w:rsidR="00FF1B60">
              <w:rPr>
                <w:rFonts w:asciiTheme="minorHAnsi" w:eastAsiaTheme="minorEastAsia" w:hAnsiTheme="minorHAnsi"/>
                <w:noProof/>
                <w:szCs w:val="24"/>
                <w:lang w:eastAsia="en-GB"/>
              </w:rPr>
              <w:tab/>
            </w:r>
            <w:r w:rsidR="00FF1B60" w:rsidRPr="00CE2AD9">
              <w:rPr>
                <w:rStyle w:val="Hipervnculo"/>
                <w:noProof/>
                <w:lang w:val="es-419"/>
              </w:rPr>
              <w:t>Bases demográficas</w:t>
            </w:r>
            <w:r w:rsidR="00FF1B60">
              <w:rPr>
                <w:noProof/>
                <w:webHidden/>
              </w:rPr>
              <w:tab/>
            </w:r>
            <w:r w:rsidR="00FF1B60">
              <w:rPr>
                <w:noProof/>
                <w:webHidden/>
              </w:rPr>
              <w:fldChar w:fldCharType="begin"/>
            </w:r>
            <w:r w:rsidR="00FF1B60">
              <w:rPr>
                <w:noProof/>
                <w:webHidden/>
              </w:rPr>
              <w:instrText xml:space="preserve"> PAGEREF _Toc183978428 \h </w:instrText>
            </w:r>
            <w:r w:rsidR="00FF1B60">
              <w:rPr>
                <w:noProof/>
                <w:webHidden/>
              </w:rPr>
            </w:r>
            <w:r w:rsidR="00FF1B60">
              <w:rPr>
                <w:noProof/>
                <w:webHidden/>
              </w:rPr>
              <w:fldChar w:fldCharType="separate"/>
            </w:r>
            <w:r w:rsidR="00B24233">
              <w:rPr>
                <w:noProof/>
                <w:webHidden/>
              </w:rPr>
              <w:t>15</w:t>
            </w:r>
            <w:r w:rsidR="00FF1B60">
              <w:rPr>
                <w:noProof/>
                <w:webHidden/>
              </w:rPr>
              <w:fldChar w:fldCharType="end"/>
            </w:r>
          </w:hyperlink>
        </w:p>
        <w:p w14:paraId="74BE43A4" w14:textId="1C415B39" w:rsidR="00FF1B60" w:rsidRDefault="00391D43">
          <w:pPr>
            <w:pStyle w:val="TDC1"/>
            <w:tabs>
              <w:tab w:val="left" w:pos="480"/>
              <w:tab w:val="right" w:leader="dot" w:pos="9016"/>
            </w:tabs>
            <w:rPr>
              <w:rFonts w:asciiTheme="minorHAnsi" w:eastAsiaTheme="minorEastAsia" w:hAnsiTheme="minorHAnsi"/>
              <w:noProof/>
              <w:szCs w:val="24"/>
              <w:lang w:eastAsia="en-GB"/>
            </w:rPr>
          </w:pPr>
          <w:hyperlink w:anchor="_Toc183978429" w:history="1">
            <w:r w:rsidR="00FF1B60" w:rsidRPr="00CE2AD9">
              <w:rPr>
                <w:rStyle w:val="Hipervnculo"/>
                <w:noProof/>
                <w:lang w:val="es-419"/>
              </w:rPr>
              <w:t>4.</w:t>
            </w:r>
            <w:r w:rsidR="00FF1B60">
              <w:rPr>
                <w:rFonts w:asciiTheme="minorHAnsi" w:eastAsiaTheme="minorEastAsia" w:hAnsiTheme="minorHAnsi"/>
                <w:noProof/>
                <w:szCs w:val="24"/>
                <w:lang w:eastAsia="en-GB"/>
              </w:rPr>
              <w:tab/>
            </w:r>
            <w:r w:rsidR="00FF1B60" w:rsidRPr="00CE2AD9">
              <w:rPr>
                <w:rStyle w:val="Hipervnculo"/>
                <w:noProof/>
                <w:lang w:val="es-419"/>
              </w:rPr>
              <w:t>Principales resultados</w:t>
            </w:r>
            <w:r w:rsidR="00FF1B60">
              <w:rPr>
                <w:noProof/>
                <w:webHidden/>
              </w:rPr>
              <w:tab/>
            </w:r>
            <w:r w:rsidR="00FF1B60">
              <w:rPr>
                <w:noProof/>
                <w:webHidden/>
              </w:rPr>
              <w:fldChar w:fldCharType="begin"/>
            </w:r>
            <w:r w:rsidR="00FF1B60">
              <w:rPr>
                <w:noProof/>
                <w:webHidden/>
              </w:rPr>
              <w:instrText xml:space="preserve"> PAGEREF _Toc183978429 \h </w:instrText>
            </w:r>
            <w:r w:rsidR="00FF1B60">
              <w:rPr>
                <w:noProof/>
                <w:webHidden/>
              </w:rPr>
            </w:r>
            <w:r w:rsidR="00FF1B60">
              <w:rPr>
                <w:noProof/>
                <w:webHidden/>
              </w:rPr>
              <w:fldChar w:fldCharType="separate"/>
            </w:r>
            <w:r w:rsidR="00B24233">
              <w:rPr>
                <w:noProof/>
                <w:webHidden/>
              </w:rPr>
              <w:t>31</w:t>
            </w:r>
            <w:r w:rsidR="00FF1B60">
              <w:rPr>
                <w:noProof/>
                <w:webHidden/>
              </w:rPr>
              <w:fldChar w:fldCharType="end"/>
            </w:r>
          </w:hyperlink>
        </w:p>
        <w:p w14:paraId="4235F38C" w14:textId="710B2CE0" w:rsidR="00FF1B60" w:rsidRDefault="00391D43">
          <w:pPr>
            <w:pStyle w:val="TDC1"/>
            <w:tabs>
              <w:tab w:val="right" w:leader="dot" w:pos="9016"/>
            </w:tabs>
            <w:rPr>
              <w:rFonts w:asciiTheme="minorHAnsi" w:eastAsiaTheme="minorEastAsia" w:hAnsiTheme="minorHAnsi"/>
              <w:noProof/>
              <w:szCs w:val="24"/>
              <w:lang w:eastAsia="en-GB"/>
            </w:rPr>
          </w:pPr>
          <w:hyperlink w:anchor="_Toc183978430" w:history="1">
            <w:r w:rsidR="00FF1B60" w:rsidRPr="00CE2AD9">
              <w:rPr>
                <w:rStyle w:val="Hipervnculo"/>
                <w:noProof/>
                <w:lang w:val="es-419"/>
              </w:rPr>
              <w:t>Anexo 1: Stock de pensionados por vejez</w:t>
            </w:r>
            <w:r w:rsidR="00FF1B60">
              <w:rPr>
                <w:noProof/>
                <w:webHidden/>
              </w:rPr>
              <w:tab/>
            </w:r>
            <w:r w:rsidR="00FF1B60">
              <w:rPr>
                <w:noProof/>
                <w:webHidden/>
              </w:rPr>
              <w:fldChar w:fldCharType="begin"/>
            </w:r>
            <w:r w:rsidR="00FF1B60">
              <w:rPr>
                <w:noProof/>
                <w:webHidden/>
              </w:rPr>
              <w:instrText xml:space="preserve"> PAGEREF _Toc183978430 \h </w:instrText>
            </w:r>
            <w:r w:rsidR="00FF1B60">
              <w:rPr>
                <w:noProof/>
                <w:webHidden/>
              </w:rPr>
            </w:r>
            <w:r w:rsidR="00FF1B60">
              <w:rPr>
                <w:noProof/>
                <w:webHidden/>
              </w:rPr>
              <w:fldChar w:fldCharType="separate"/>
            </w:r>
            <w:r w:rsidR="00B24233">
              <w:rPr>
                <w:noProof/>
                <w:webHidden/>
              </w:rPr>
              <w:t>36</w:t>
            </w:r>
            <w:r w:rsidR="00FF1B60">
              <w:rPr>
                <w:noProof/>
                <w:webHidden/>
              </w:rPr>
              <w:fldChar w:fldCharType="end"/>
            </w:r>
          </w:hyperlink>
        </w:p>
        <w:p w14:paraId="124E5538" w14:textId="2ACD1D33" w:rsidR="00F72C6E" w:rsidRPr="00C56EC9" w:rsidRDefault="00F72C6E">
          <w:pPr>
            <w:rPr>
              <w:lang w:val="es-419"/>
            </w:rPr>
          </w:pPr>
          <w:r w:rsidRPr="00C56EC9">
            <w:rPr>
              <w:b/>
              <w:bCs/>
              <w:noProof/>
              <w:lang w:val="es-419"/>
            </w:rPr>
            <w:fldChar w:fldCharType="end"/>
          </w:r>
        </w:p>
      </w:sdtContent>
    </w:sdt>
    <w:p w14:paraId="1500DA2F" w14:textId="5A65D02C" w:rsidR="00AC6BAA" w:rsidRPr="00C56EC9" w:rsidRDefault="00AC6BAA" w:rsidP="00F72C6E">
      <w:pPr>
        <w:pStyle w:val="Sinespaciado"/>
        <w:jc w:val="center"/>
        <w:rPr>
          <w:rFonts w:eastAsiaTheme="majorEastAsia" w:cstheme="majorBidi"/>
          <w:b/>
          <w:sz w:val="28"/>
          <w:szCs w:val="40"/>
          <w:lang w:val="es-419"/>
        </w:rPr>
      </w:pPr>
      <w:r w:rsidRPr="00C56EC9">
        <w:rPr>
          <w:lang w:val="es-419"/>
        </w:rPr>
        <w:br w:type="page"/>
      </w:r>
      <w:r w:rsidR="006816E4">
        <w:rPr>
          <w:lang w:val="es-419"/>
        </w:rPr>
        <w:lastRenderedPageBreak/>
        <w:tab/>
      </w:r>
    </w:p>
    <w:p w14:paraId="5DE5B843" w14:textId="1F6147C7" w:rsidR="00696FC0" w:rsidRPr="00C56EC9" w:rsidRDefault="00740904" w:rsidP="00AC6BAA">
      <w:pPr>
        <w:pStyle w:val="Ttulo1"/>
        <w:numPr>
          <w:ilvl w:val="0"/>
          <w:numId w:val="1"/>
        </w:numPr>
        <w:rPr>
          <w:lang w:val="es-419"/>
        </w:rPr>
      </w:pPr>
      <w:bookmarkStart w:id="0" w:name="_Toc183978424"/>
      <w:r w:rsidRPr="00C56EC9">
        <w:rPr>
          <w:lang w:val="es-419"/>
        </w:rPr>
        <w:t>Contexto</w:t>
      </w:r>
      <w:bookmarkEnd w:id="0"/>
    </w:p>
    <w:p w14:paraId="5D064813" w14:textId="4F80809A" w:rsidR="00E50371" w:rsidRPr="00C56EC9" w:rsidRDefault="00E735E6" w:rsidP="00E50371">
      <w:pPr>
        <w:rPr>
          <w:lang w:val="es-419"/>
        </w:rPr>
      </w:pPr>
      <w:r w:rsidRPr="00C56EC9">
        <w:rPr>
          <w:lang w:val="es-419"/>
        </w:rPr>
        <w:t>La Caja de Seguro Social (CSS) de Panamá es una de las instituciones más emblemáticas y críticas para el bienestar social del país, pues tiene bajo su responsabilidad la protección de millones de panameños frente a riesgos de</w:t>
      </w:r>
      <w:r w:rsidR="00470DEA" w:rsidRPr="00C56EC9">
        <w:rPr>
          <w:lang w:val="es-419"/>
        </w:rPr>
        <w:t>l ciclo de vida, en especial el de</w:t>
      </w:r>
      <w:r w:rsidRPr="00C56EC9">
        <w:rPr>
          <w:lang w:val="es-419"/>
        </w:rPr>
        <w:t xml:space="preserve"> invalidez, vejez y muerte (IVM). </w:t>
      </w:r>
      <w:r w:rsidR="006724EB" w:rsidRPr="00C56EC9">
        <w:rPr>
          <w:lang w:val="es-419"/>
        </w:rPr>
        <w:t>Desde la entrada en vigencia de la Ley 51 de 2005, e</w:t>
      </w:r>
      <w:r w:rsidR="0081111F" w:rsidRPr="00C56EC9">
        <w:rPr>
          <w:lang w:val="es-419"/>
        </w:rPr>
        <w:t>l</w:t>
      </w:r>
      <w:r w:rsidRPr="00C56EC9">
        <w:rPr>
          <w:lang w:val="es-419"/>
        </w:rPr>
        <w:t xml:space="preserve"> programa</w:t>
      </w:r>
      <w:r w:rsidR="0081111F" w:rsidRPr="00C56EC9">
        <w:rPr>
          <w:lang w:val="es-419"/>
        </w:rPr>
        <w:t xml:space="preserve"> de IVM</w:t>
      </w:r>
      <w:r w:rsidRPr="00C56EC9">
        <w:rPr>
          <w:lang w:val="es-419"/>
        </w:rPr>
        <w:t xml:space="preserve"> está compuesto por dos subsistemas: el Subsistema Exclusivo de Beneficio Definido (SEBD) y el Subsistema Mixto de Pensiones (SMP), ambos diseñados para garantizar ingresos a las personas que llegan a la edad de retiro o enfrentan incapacidades que les impiden continuar trabajando. No obstante, las dinámicas demográficas y económicas del país han puesto en el centro del debate público la sostenibilidad del sistema y la necesidad de realizar ajustes estructurales para garantizar su viabilidad en el mediano y largo plazo.</w:t>
      </w:r>
    </w:p>
    <w:p w14:paraId="3D077507" w14:textId="77777777" w:rsidR="00C73701" w:rsidRPr="00C56EC9" w:rsidRDefault="00C73701" w:rsidP="00C73701">
      <w:pPr>
        <w:rPr>
          <w:b/>
          <w:bCs/>
          <w:lang w:val="es-419"/>
        </w:rPr>
      </w:pPr>
      <w:r w:rsidRPr="00C56EC9">
        <w:rPr>
          <w:b/>
          <w:bCs/>
          <w:lang w:val="es-419"/>
        </w:rPr>
        <w:t>Los subsistemas del programa de IVM</w:t>
      </w:r>
    </w:p>
    <w:p w14:paraId="62215F4A" w14:textId="77777777" w:rsidR="00C73701" w:rsidRPr="00C56EC9" w:rsidRDefault="00C73701" w:rsidP="00C73701">
      <w:pPr>
        <w:rPr>
          <w:lang w:val="es-419"/>
        </w:rPr>
      </w:pPr>
      <w:r w:rsidRPr="00C56EC9">
        <w:rPr>
          <w:lang w:val="es-419"/>
        </w:rPr>
        <w:t>El programa de IVM de la CSS se divide en dos subsistemas principales: el Subsistema Exclusivo de Beneficio Definido (SEBD) y el Subsistema Mixto de Pensiones (SMP).</w:t>
      </w:r>
    </w:p>
    <w:p w14:paraId="11CB66A1" w14:textId="77777777" w:rsidR="00C73701" w:rsidRPr="00C56EC9" w:rsidRDefault="00C73701" w:rsidP="00C73701">
      <w:pPr>
        <w:pStyle w:val="Prrafodelista"/>
        <w:numPr>
          <w:ilvl w:val="0"/>
          <w:numId w:val="2"/>
        </w:numPr>
        <w:rPr>
          <w:lang w:val="es-419"/>
        </w:rPr>
      </w:pPr>
      <w:r w:rsidRPr="00C56EC9">
        <w:rPr>
          <w:lang w:val="es-419"/>
        </w:rPr>
        <w:t>Subsistema Exclusivo de Beneficio Definido (SEBD):</w:t>
      </w:r>
    </w:p>
    <w:p w14:paraId="432CFA9E" w14:textId="6CB488E9" w:rsidR="00C73701" w:rsidRDefault="00C73701" w:rsidP="00C73701">
      <w:pPr>
        <w:rPr>
          <w:lang w:val="es-419"/>
        </w:rPr>
      </w:pPr>
      <w:r w:rsidRPr="00C56EC9">
        <w:rPr>
          <w:lang w:val="es-419"/>
        </w:rPr>
        <w:t>Este subsistema, heredado del modelo original de seguridad social, opera bajo un esquema de reparto basado en la solidaridad intergeneracional. Los trabajadores en activo financian las pensiones de los jubilados actuales, mientras que se espera que las generaciones futuras hagan lo mismo por los actuales cotizantes. Sin embargo, este modelo enfrenta desafíos estructurales debido al envejecimiento de la población y al creciente número de pensionados en relación con los cotizantes activos. El SEBD está destinado a desaparecer gradualmente, ya que los trabajadores más jóvenes están siendo incorporados al SMP. A pesar de ello, la transición está resultando compleja debido a los déficits financieros acumulados y al agotamiento proyectado de sus reservas en 2024.</w:t>
      </w:r>
    </w:p>
    <w:p w14:paraId="59AC68D6" w14:textId="77777777" w:rsidR="00C73701" w:rsidRPr="00C56EC9" w:rsidRDefault="00C73701" w:rsidP="00C73701">
      <w:pPr>
        <w:pStyle w:val="Prrafodelista"/>
        <w:numPr>
          <w:ilvl w:val="0"/>
          <w:numId w:val="2"/>
        </w:numPr>
        <w:rPr>
          <w:lang w:val="es-419"/>
        </w:rPr>
      </w:pPr>
      <w:r w:rsidRPr="00C56EC9">
        <w:rPr>
          <w:lang w:val="es-419"/>
        </w:rPr>
        <w:t>Subsistema Mixto de Pensiones (SMP):</w:t>
      </w:r>
    </w:p>
    <w:p w14:paraId="03AA0CB5" w14:textId="463EB022" w:rsidR="00C73701" w:rsidRPr="00C56EC9" w:rsidRDefault="00C73701" w:rsidP="00C73701">
      <w:pPr>
        <w:rPr>
          <w:lang w:val="es-419"/>
        </w:rPr>
      </w:pPr>
      <w:r w:rsidRPr="00C56EC9">
        <w:rPr>
          <w:lang w:val="es-419"/>
        </w:rPr>
        <w:lastRenderedPageBreak/>
        <w:t>El SMP fue introducido como parte de la Ley 51 de 2005 para abordar los problemas de sostenibilidad financiera del sistema. Este subsistema combina un componente de beneficio definido, financiado por las contribuciones sobre los primeros B/. 500 de ingresos mensuales de cada trabajador, con un componente de ahorro personal alimentado por las contribuciones sobre los ingresos que exceden este límite. A diferencia del SEBD, el SMP busca equilibrar la solidaridad intergeneracional con la responsabilidad individual, promoviendo la acumulación de recursos a lo largo de la vida laboral del trabajador. A pesar de ser más sostenible en el largo plazo, su diseño enfrenta retos para garantizar una pensión adecuada para las futuras generaciones, especialmente aquellas con salarios bajos.</w:t>
      </w:r>
    </w:p>
    <w:p w14:paraId="1A1AE283" w14:textId="77777777" w:rsidR="00977610" w:rsidRPr="00C56EC9" w:rsidRDefault="00977610" w:rsidP="00977610">
      <w:pPr>
        <w:rPr>
          <w:b/>
          <w:bCs/>
          <w:lang w:val="es-419"/>
        </w:rPr>
      </w:pPr>
      <w:r w:rsidRPr="00C56EC9">
        <w:rPr>
          <w:b/>
          <w:bCs/>
          <w:lang w:val="es-419"/>
        </w:rPr>
        <w:t>Dinámica demográfica y su impacto en el sistema de pensiones</w:t>
      </w:r>
    </w:p>
    <w:p w14:paraId="14707BCE" w14:textId="3A7F6842" w:rsidR="00977610" w:rsidRPr="00C56EC9" w:rsidRDefault="00977610" w:rsidP="00977610">
      <w:pPr>
        <w:rPr>
          <w:lang w:val="es-419"/>
        </w:rPr>
      </w:pPr>
      <w:r w:rsidRPr="00C56EC9">
        <w:rPr>
          <w:lang w:val="es-419"/>
        </w:rPr>
        <w:t xml:space="preserve">La evolución demográfica de Panamá es un factor determinante para la sostenibilidad del sistema de pensiones. La población panameña mayor de 65 años se ha triplicado en las últimas tres décadas, pasando de poco más de 100,000 personas al final del siglo XX a más de 400,000 en la actualidad. Las proyecciones demográficas indican que este grupo alcanzará un millón de personas en la década de 2050 y cerca de 1.9 millones para el año 2100. Este </w:t>
      </w:r>
      <w:r w:rsidR="00A7320C" w:rsidRPr="00C56EC9">
        <w:rPr>
          <w:lang w:val="es-419"/>
        </w:rPr>
        <w:t>será</w:t>
      </w:r>
      <w:r w:rsidRPr="00C56EC9">
        <w:rPr>
          <w:lang w:val="es-419"/>
        </w:rPr>
        <w:t xml:space="preserve"> un aumento en la esperanza de vida y una mejora general en las condiciones de salud y bienestar, pero también plantea desafíos significativos para el sistema de pensiones.</w:t>
      </w:r>
    </w:p>
    <w:p w14:paraId="1DA3B415" w14:textId="4440CE33" w:rsidR="00327DAF" w:rsidRPr="00C56EC9" w:rsidRDefault="00327DAF" w:rsidP="00327DAF">
      <w:pPr>
        <w:pStyle w:val="Grfico"/>
        <w:rPr>
          <w:rFonts w:ascii="Book Antiqua" w:hAnsi="Book Antiqua"/>
        </w:rPr>
      </w:pPr>
      <w:bookmarkStart w:id="1" w:name="_Toc164769828"/>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1</w:t>
      </w:r>
      <w:r w:rsidRPr="00C56EC9">
        <w:rPr>
          <w:rFonts w:ascii="Book Antiqua" w:hAnsi="Book Antiqua"/>
        </w:rPr>
        <w:fldChar w:fldCharType="end"/>
      </w:r>
      <w:r w:rsidRPr="00C56EC9">
        <w:rPr>
          <w:rFonts w:ascii="Book Antiqua" w:hAnsi="Book Antiqua"/>
        </w:rPr>
        <w:t>. Número de personas mayores de 65 años (millones – eje izquierdo) y proporción de la población mayor de 65 años sobre el total de la población (eje derecho)</w:t>
      </w:r>
      <w:bookmarkEnd w:id="1"/>
      <w:r w:rsidRPr="00C56EC9">
        <w:rPr>
          <w:rFonts w:ascii="Book Antiqua" w:hAnsi="Book Antiqua"/>
        </w:rPr>
        <w:t xml:space="preserve"> </w:t>
      </w:r>
    </w:p>
    <w:p w14:paraId="14E2CE2E" w14:textId="4B6C7173" w:rsidR="00B04BA6" w:rsidRPr="00C56EC9" w:rsidRDefault="00B04BA6" w:rsidP="00327DAF">
      <w:pPr>
        <w:pStyle w:val="Grfico"/>
      </w:pPr>
      <w:r w:rsidRPr="00C56EC9">
        <w:rPr>
          <w:noProof/>
          <w:lang w:val="es-PA" w:eastAsia="es-PA"/>
        </w:rPr>
        <w:drawing>
          <wp:inline distT="0" distB="0" distL="0" distR="0" wp14:anchorId="1A4925C4" wp14:editId="48DA1A75">
            <wp:extent cx="4267200" cy="2559965"/>
            <wp:effectExtent l="0" t="0" r="0" b="0"/>
            <wp:docPr id="3" name="Picture 3" descr="A graph of a number of y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71062" name="Picture 1" descr="A graph of a number of ye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1499" cy="2562544"/>
                    </a:xfrm>
                    <a:prstGeom prst="rect">
                      <a:avLst/>
                    </a:prstGeom>
                    <a:noFill/>
                  </pic:spPr>
                </pic:pic>
              </a:graphicData>
            </a:graphic>
          </wp:inline>
        </w:drawing>
      </w:r>
    </w:p>
    <w:p w14:paraId="1D871105" w14:textId="77777777" w:rsidR="008B2A02" w:rsidRPr="00C56EC9" w:rsidRDefault="008B2A02" w:rsidP="008B2A02">
      <w:pPr>
        <w:pStyle w:val="Captionfiguras"/>
        <w:ind w:left="709"/>
      </w:pPr>
      <w:r w:rsidRPr="00C56EC9">
        <w:t xml:space="preserve">Fuente: Proyecciones demográficas de Naciones Unidas para Panamá. </w:t>
      </w:r>
    </w:p>
    <w:p w14:paraId="25A79040" w14:textId="77777777" w:rsidR="00327DAF" w:rsidRPr="00C56EC9" w:rsidRDefault="00327DAF" w:rsidP="00327DAF">
      <w:pPr>
        <w:pStyle w:val="Grfico"/>
      </w:pPr>
    </w:p>
    <w:p w14:paraId="274A6E46" w14:textId="518C9FA2" w:rsidR="00C73701" w:rsidRPr="00C56EC9" w:rsidRDefault="00977610" w:rsidP="00977610">
      <w:pPr>
        <w:rPr>
          <w:lang w:val="es-419"/>
        </w:rPr>
      </w:pPr>
      <w:r w:rsidRPr="00C56EC9">
        <w:rPr>
          <w:lang w:val="es-419"/>
        </w:rPr>
        <w:t>La población adulta mayor de 65 años representa actualmente el 9% del total de la población panameña, proporción que se duplicará para 2050 y triplicará para 2100. Este fenómeno está acompañado por un cambio dramático en la relación de dependencia económica. Mientras que en 1950 había 15.1 personas en edad de trabajar por cada adulto mayor, esta relación ha disminuido a 7.6 en la actualidad y se proyecta que será de 3.6 en 2050 y de apenas 1.8 en 2100. Este cambio implica que un número creciente de jubilados dependerá de un número decreciente de cotizantes activos, lo que tensionará aún más la sostenibilidad del sistema.</w:t>
      </w:r>
    </w:p>
    <w:p w14:paraId="36DA0EAF" w14:textId="7016A450" w:rsidR="00AC620B" w:rsidRPr="00C56EC9" w:rsidRDefault="00AC620B" w:rsidP="00AC620B">
      <w:pPr>
        <w:pStyle w:val="Grfico"/>
        <w:rPr>
          <w:rFonts w:ascii="Book Antiqua" w:hAnsi="Book Antiqua"/>
        </w:rPr>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2</w:t>
      </w:r>
      <w:r w:rsidRPr="00C56EC9">
        <w:rPr>
          <w:rFonts w:ascii="Book Antiqua" w:hAnsi="Book Antiqua"/>
        </w:rPr>
        <w:fldChar w:fldCharType="end"/>
      </w:r>
      <w:r w:rsidRPr="00C56EC9">
        <w:rPr>
          <w:rFonts w:ascii="Book Antiqua" w:hAnsi="Book Antiqua"/>
        </w:rPr>
        <w:t xml:space="preserve">. </w:t>
      </w:r>
      <w:r w:rsidR="007F5007" w:rsidRPr="00C56EC9">
        <w:rPr>
          <w:rFonts w:ascii="Book Antiqua" w:hAnsi="Book Antiqua"/>
        </w:rPr>
        <w:t>Número de personas en edad de trabajar en relación con personas mayores de 65 años para el periodo de 1950-2050 según proyecciones demográficas</w:t>
      </w:r>
    </w:p>
    <w:p w14:paraId="388F063C" w14:textId="02025629" w:rsidR="008B2A02" w:rsidRPr="00C56EC9" w:rsidRDefault="00AC620B" w:rsidP="00AC620B">
      <w:pPr>
        <w:pStyle w:val="Grfico"/>
      </w:pPr>
      <w:r w:rsidRPr="00C56EC9">
        <w:rPr>
          <w:noProof/>
          <w:lang w:val="es-PA" w:eastAsia="es-PA"/>
        </w:rPr>
        <w:drawing>
          <wp:inline distT="0" distB="0" distL="0" distR="0" wp14:anchorId="2EB0146C" wp14:editId="79E0639A">
            <wp:extent cx="4116487" cy="2464405"/>
            <wp:effectExtent l="0" t="0" r="0" b="0"/>
            <wp:docPr id="4" name="Picture 4" descr="A line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8240" name="Picture 2" descr="A line graph with numbers and a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2629" cy="2498015"/>
                    </a:xfrm>
                    <a:prstGeom prst="rect">
                      <a:avLst/>
                    </a:prstGeom>
                    <a:noFill/>
                  </pic:spPr>
                </pic:pic>
              </a:graphicData>
            </a:graphic>
          </wp:inline>
        </w:drawing>
      </w:r>
    </w:p>
    <w:p w14:paraId="2EFF064A" w14:textId="77777777" w:rsidR="00AC620B" w:rsidRPr="00C56EC9" w:rsidRDefault="00AC620B" w:rsidP="00AC620B">
      <w:pPr>
        <w:pStyle w:val="Captionfiguras"/>
        <w:ind w:left="709"/>
      </w:pPr>
      <w:r w:rsidRPr="00C56EC9">
        <w:t xml:space="preserve">Fuente: Proyecciones demográficas de Naciones Unidas para Panamá. </w:t>
      </w:r>
    </w:p>
    <w:p w14:paraId="3F39FF2C" w14:textId="77777777" w:rsidR="00AC620B" w:rsidRPr="00C56EC9" w:rsidRDefault="00AC620B" w:rsidP="00AC620B">
      <w:pPr>
        <w:pStyle w:val="Grfico"/>
      </w:pPr>
    </w:p>
    <w:p w14:paraId="5D8BFBA8" w14:textId="553E94DC" w:rsidR="001667C1" w:rsidRPr="00C56EC9" w:rsidRDefault="001667C1" w:rsidP="001667C1">
      <w:pPr>
        <w:rPr>
          <w:b/>
          <w:bCs/>
          <w:lang w:val="es-419"/>
        </w:rPr>
      </w:pPr>
      <w:r w:rsidRPr="00C56EC9">
        <w:rPr>
          <w:b/>
          <w:bCs/>
          <w:lang w:val="es-419"/>
        </w:rPr>
        <w:t>Personas jubiladas en Panamá</w:t>
      </w:r>
    </w:p>
    <w:p w14:paraId="50F892AD" w14:textId="1D771B83" w:rsidR="001667C1" w:rsidRPr="00C56EC9" w:rsidRDefault="001667C1" w:rsidP="001667C1">
      <w:pPr>
        <w:rPr>
          <w:lang w:val="es-419"/>
        </w:rPr>
      </w:pPr>
      <w:r w:rsidRPr="00C56EC9">
        <w:rPr>
          <w:lang w:val="es-419"/>
        </w:rPr>
        <w:t xml:space="preserve">Actualmente, de la población en edad de retiro (57 años para las mujeres y 62 años para los hombres), el 41.8% ha logrado obtener el derecho a una pensión contributiva, mientras que el 21.2% tiene acceso a </w:t>
      </w:r>
      <w:r w:rsidR="00A024C6" w:rsidRPr="00C56EC9">
        <w:rPr>
          <w:lang w:val="es-419"/>
        </w:rPr>
        <w:t>subsidio de “120 a los 65”</w:t>
      </w:r>
      <w:r w:rsidRPr="00C56EC9">
        <w:rPr>
          <w:lang w:val="es-419"/>
        </w:rPr>
        <w:t>. Esto significa que, en total, aproximadamente el 63% de las personas mayores de 65 años cuenta con algún tipo de ingreso en la vejez. Sin embargo, esta cobertura presenta disparidades significativas entre hombres y mujeres.</w:t>
      </w:r>
    </w:p>
    <w:p w14:paraId="3434AE2D" w14:textId="3D9E8CBB" w:rsidR="001667C1" w:rsidRPr="00C56EC9" w:rsidRDefault="001667C1" w:rsidP="001667C1">
      <w:pPr>
        <w:rPr>
          <w:lang w:val="es-419"/>
        </w:rPr>
      </w:pPr>
      <w:r w:rsidRPr="00C56EC9">
        <w:rPr>
          <w:lang w:val="es-419"/>
        </w:rPr>
        <w:t xml:space="preserve">De los 564,262 panameños que han superado la edad de retiro, 118,180 hombres y 117,540 mujeres reciben una jubilación por vejez, lo que representa una cobertura del 54.7% para los hombres y del 33.7% para las mujeres. Esta diferencia se debe a varios </w:t>
      </w:r>
      <w:r w:rsidRPr="00C56EC9">
        <w:rPr>
          <w:lang w:val="es-419"/>
        </w:rPr>
        <w:lastRenderedPageBreak/>
        <w:t>factores, incluyendo la edad de retiro más temprana para las mujeres y su mayor esperanza de vida. Además, el programa de pensión social no contributiva "120 a los 65", implementado a finales de la década de 2000, ha contribuido a cerrar parcialmente la brecha de cobertura, beneficiando al 20.3% de los hombres y al 19.8% de las mujeres en edad de retiro.</w:t>
      </w:r>
    </w:p>
    <w:p w14:paraId="33E76B14" w14:textId="12D4C40C" w:rsidR="00765F18" w:rsidRPr="00C56EC9" w:rsidRDefault="00765F18" w:rsidP="001667C1">
      <w:pPr>
        <w:rPr>
          <w:b/>
          <w:bCs/>
          <w:lang w:val="es-419"/>
        </w:rPr>
      </w:pPr>
      <w:r w:rsidRPr="00C56EC9">
        <w:rPr>
          <w:b/>
          <w:bCs/>
          <w:lang w:val="es-419"/>
        </w:rPr>
        <w:t>Los principales desafíos que atiende el PL 163 de 2024:</w:t>
      </w:r>
    </w:p>
    <w:p w14:paraId="31EA14F2" w14:textId="56DC4F49" w:rsidR="00765F18" w:rsidRPr="00C56EC9" w:rsidRDefault="00957568" w:rsidP="00957568">
      <w:pPr>
        <w:pStyle w:val="Prrafodelista"/>
        <w:numPr>
          <w:ilvl w:val="0"/>
          <w:numId w:val="2"/>
        </w:numPr>
        <w:rPr>
          <w:lang w:val="es-419"/>
        </w:rPr>
      </w:pPr>
      <w:r w:rsidRPr="00C56EC9">
        <w:rPr>
          <w:lang w:val="es-419"/>
        </w:rPr>
        <w:t>El agotamiento de las reservas del SEBD en 2024 y la creciente carga de las obligaciones por el pago de pensiones ponen en riesgo la capacidad</w:t>
      </w:r>
      <w:r w:rsidR="00372FAE" w:rsidRPr="00C56EC9">
        <w:rPr>
          <w:lang w:val="es-419"/>
        </w:rPr>
        <w:t xml:space="preserve"> financiera</w:t>
      </w:r>
      <w:r w:rsidRPr="00C56EC9">
        <w:rPr>
          <w:lang w:val="es-419"/>
        </w:rPr>
        <w:t xml:space="preserve"> de la CSS para cumplir con sus compromisos. Esto requiere un replanteamiento integral del modelo de financiamiento, incluyendo posibles reformas en las tasas de contribución y la edad de retiro.</w:t>
      </w:r>
    </w:p>
    <w:p w14:paraId="3833DA9A" w14:textId="33704E1B" w:rsidR="00292D07" w:rsidRPr="00C56EC9" w:rsidRDefault="00292D07" w:rsidP="00957568">
      <w:pPr>
        <w:pStyle w:val="Prrafodelista"/>
        <w:numPr>
          <w:ilvl w:val="0"/>
          <w:numId w:val="2"/>
        </w:numPr>
        <w:rPr>
          <w:lang w:val="es-419"/>
        </w:rPr>
      </w:pPr>
      <w:r w:rsidRPr="00C56EC9">
        <w:rPr>
          <w:lang w:val="es-419"/>
        </w:rPr>
        <w:t>La transición del SEBD al SMP ha generado tensiones entre generaciones, ya que los cotizantes más jóvenes financian las pensiones de los jubilados actuales sin perspectivas claras de obtener beneficios equivalentes en el futuro.</w:t>
      </w:r>
    </w:p>
    <w:p w14:paraId="7209F577" w14:textId="75C08EEC" w:rsidR="00292D07" w:rsidRPr="00C56EC9" w:rsidRDefault="004F2D64" w:rsidP="00957568">
      <w:pPr>
        <w:pStyle w:val="Prrafodelista"/>
        <w:numPr>
          <w:ilvl w:val="0"/>
          <w:numId w:val="2"/>
        </w:numPr>
        <w:rPr>
          <w:lang w:val="es-419"/>
        </w:rPr>
      </w:pPr>
      <w:r w:rsidRPr="00C56EC9">
        <w:rPr>
          <w:lang w:val="es-419"/>
        </w:rPr>
        <w:t>Si bien el programa "120 a los 65" ha mejorado la cobertura de ingresos para los adultos mayores, aún queda una proporción significativa de la población en edad de retiro que no cuenta con ningún tipo de pensión.</w:t>
      </w:r>
    </w:p>
    <w:p w14:paraId="59991F2D" w14:textId="253B18F8" w:rsidR="004F2D64" w:rsidRPr="00C56EC9" w:rsidRDefault="004F2D64" w:rsidP="00957568">
      <w:pPr>
        <w:pStyle w:val="Prrafodelista"/>
        <w:numPr>
          <w:ilvl w:val="0"/>
          <w:numId w:val="2"/>
        </w:numPr>
        <w:rPr>
          <w:lang w:val="es-419"/>
        </w:rPr>
      </w:pPr>
      <w:r w:rsidRPr="00C56EC9">
        <w:rPr>
          <w:lang w:val="es-419"/>
        </w:rPr>
        <w:t>El cambio en la estructura demográfica del país requerirá ajustes en las políticas públicas, no solo en términos de pensiones, sino también en servicios de salud, cuidado de largo plazo y otros programas de apoyo para los adultos mayores.</w:t>
      </w:r>
    </w:p>
    <w:p w14:paraId="65D6B966" w14:textId="312DE636" w:rsidR="00E51F71" w:rsidRPr="00C56EC9" w:rsidRDefault="00E51F71" w:rsidP="00E51F71">
      <w:pPr>
        <w:rPr>
          <w:b/>
          <w:bCs/>
          <w:lang w:val="es-419"/>
        </w:rPr>
      </w:pPr>
      <w:r w:rsidRPr="00C56EC9">
        <w:rPr>
          <w:b/>
          <w:bCs/>
          <w:lang w:val="es-419"/>
        </w:rPr>
        <w:t>Por qué el PL 163</w:t>
      </w:r>
      <w:r w:rsidR="00BA736A" w:rsidRPr="00C56EC9">
        <w:rPr>
          <w:b/>
          <w:bCs/>
          <w:lang w:val="es-419"/>
        </w:rPr>
        <w:t xml:space="preserve"> de 2024</w:t>
      </w:r>
      <w:r w:rsidRPr="00C56EC9">
        <w:rPr>
          <w:b/>
          <w:bCs/>
          <w:lang w:val="es-419"/>
        </w:rPr>
        <w:t xml:space="preserve"> plantea un esquema solidario</w:t>
      </w:r>
    </w:p>
    <w:p w14:paraId="4EFF1FBF" w14:textId="10CA1043" w:rsidR="00E51F71" w:rsidRPr="00C56EC9" w:rsidRDefault="008D7987" w:rsidP="00E51F71">
      <w:pPr>
        <w:rPr>
          <w:lang w:val="es-419"/>
        </w:rPr>
      </w:pPr>
      <w:r w:rsidRPr="00C56EC9">
        <w:rPr>
          <w:lang w:val="es-419"/>
        </w:rPr>
        <w:t>El PL 163 de 2024 no solo es una reforma técnica, sino una transformación estructural con un enfoque profundamente solidario. Responde a los retos financieros, sociales y demográficos de Panamá, estableciendo un sistema de pensiones inclusivo, sostenible y justo. Con medidas innovadoras como la Pensión Básica Universal, la actualización de las pensiones por IPC, y la modernización de políticas de inversión, este proyecto redefine el futuro del IVM en Panamá, garantizando protección y dignidad para todos los afiliados y asegurando la equidad intergeneracional:</w:t>
      </w:r>
    </w:p>
    <w:p w14:paraId="25C1A3F1" w14:textId="77777777" w:rsidR="005E66D2" w:rsidRPr="00C56EC9" w:rsidRDefault="005E66D2" w:rsidP="005E66D2">
      <w:pPr>
        <w:pStyle w:val="Prrafodelista"/>
        <w:numPr>
          <w:ilvl w:val="0"/>
          <w:numId w:val="4"/>
        </w:numPr>
        <w:rPr>
          <w:lang w:val="es-419"/>
        </w:rPr>
      </w:pPr>
      <w:r w:rsidRPr="00C56EC9">
        <w:rPr>
          <w:lang w:val="es-419"/>
        </w:rPr>
        <w:t>Inclusión de la Pensión Básica Universal</w:t>
      </w:r>
    </w:p>
    <w:p w14:paraId="10BB17C4" w14:textId="77777777" w:rsidR="005E66D2" w:rsidRPr="00C56EC9" w:rsidRDefault="005E66D2" w:rsidP="005E66D2">
      <w:pPr>
        <w:rPr>
          <w:lang w:val="es-419"/>
        </w:rPr>
      </w:pPr>
      <w:r w:rsidRPr="00C56EC9">
        <w:rPr>
          <w:lang w:val="es-419"/>
        </w:rPr>
        <w:lastRenderedPageBreak/>
        <w:t>El proyecto de ley formaliza e institucionaliza la Pensión Básica Universal, ampliando la cobertura a poblaciones vulnerables históricamente excluidas, como trabajadores rurales, comunidades indígenas, trabajadoras del hogar y personas con discapacidad no aseguradas. Este programa representa un avance sustancial en términos de justicia social al garantizar que ningún panameño quede desprotegido en la vejez, aun cuando no haya podido cotizar. De este modo, se incorpora esta prestación como una obligación institucional de la CSS, consolidando un sistema más equitativo y solidario. Con esta pensión Panamá pasaría al segundo lugar de pensiones no contributivas de mayor valor en América Latina, lo que evidencia el esfuerzo para proteger los derechos a una vida digna a quienes no han logrado aportar a lo largo de sus vidas:</w:t>
      </w:r>
    </w:p>
    <w:p w14:paraId="748B6B0E" w14:textId="5A24A3E4" w:rsidR="005E66D2" w:rsidRPr="00C56EC9" w:rsidRDefault="005E66D2" w:rsidP="005E66D2">
      <w:pPr>
        <w:pStyle w:val="Grfico"/>
      </w:pPr>
      <w:r w:rsidRPr="00C56EC9">
        <w:t xml:space="preserve">Gráfico </w:t>
      </w:r>
      <w:r w:rsidRPr="00C56EC9">
        <w:fldChar w:fldCharType="begin"/>
      </w:r>
      <w:r w:rsidRPr="00C56EC9">
        <w:instrText xml:space="preserve"> SEQ Gráfico \* ARABIC </w:instrText>
      </w:r>
      <w:r w:rsidRPr="00C56EC9">
        <w:fldChar w:fldCharType="separate"/>
      </w:r>
      <w:r w:rsidR="00B24233">
        <w:rPr>
          <w:noProof/>
        </w:rPr>
        <w:t>3</w:t>
      </w:r>
      <w:r w:rsidRPr="00C56EC9">
        <w:fldChar w:fldCharType="end"/>
      </w:r>
      <w:r w:rsidRPr="00C56EC9">
        <w:t>. Pensiones no contributivas en América Latina</w:t>
      </w:r>
    </w:p>
    <w:p w14:paraId="6E78A664" w14:textId="77777777" w:rsidR="005E66D2" w:rsidRPr="00C56EC9" w:rsidRDefault="005E66D2" w:rsidP="005E66D2">
      <w:pPr>
        <w:jc w:val="center"/>
        <w:rPr>
          <w:lang w:val="es-419"/>
        </w:rPr>
      </w:pPr>
      <w:r w:rsidRPr="00C56EC9">
        <w:rPr>
          <w:noProof/>
          <w:lang w:val="es-PA" w:eastAsia="es-PA"/>
        </w:rPr>
        <w:drawing>
          <wp:inline distT="0" distB="0" distL="0" distR="0" wp14:anchorId="259438C6" wp14:editId="4E29D7D7">
            <wp:extent cx="5398671" cy="3723943"/>
            <wp:effectExtent l="0" t="0" r="0" b="0"/>
            <wp:docPr id="1199427322" name="Picture 9"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27322" name="Picture 9" descr="A graph of different colored bar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266" cy="3741598"/>
                    </a:xfrm>
                    <a:prstGeom prst="rect">
                      <a:avLst/>
                    </a:prstGeom>
                    <a:noFill/>
                  </pic:spPr>
                </pic:pic>
              </a:graphicData>
            </a:graphic>
          </wp:inline>
        </w:drawing>
      </w:r>
    </w:p>
    <w:p w14:paraId="1785EA16" w14:textId="22323BE3" w:rsidR="00713570" w:rsidRPr="00C56EC9" w:rsidRDefault="00713570" w:rsidP="008D7987">
      <w:pPr>
        <w:pStyle w:val="Prrafodelista"/>
        <w:numPr>
          <w:ilvl w:val="0"/>
          <w:numId w:val="4"/>
        </w:numPr>
        <w:rPr>
          <w:lang w:val="es-419"/>
        </w:rPr>
      </w:pPr>
      <w:r w:rsidRPr="00C56EC9">
        <w:rPr>
          <w:lang w:val="es-419"/>
        </w:rPr>
        <w:t xml:space="preserve">Aporte Estatal sin </w:t>
      </w:r>
      <w:r w:rsidR="008D7987" w:rsidRPr="00C56EC9">
        <w:rPr>
          <w:lang w:val="es-419"/>
        </w:rPr>
        <w:t>p</w:t>
      </w:r>
      <w:r w:rsidRPr="00C56EC9">
        <w:rPr>
          <w:lang w:val="es-419"/>
        </w:rPr>
        <w:t>recedentes</w:t>
      </w:r>
    </w:p>
    <w:p w14:paraId="3B86EC14" w14:textId="501CAC4D" w:rsidR="00713570" w:rsidRPr="00C56EC9" w:rsidRDefault="00713570" w:rsidP="00713570">
      <w:pPr>
        <w:rPr>
          <w:lang w:val="es-419"/>
        </w:rPr>
      </w:pPr>
      <w:r w:rsidRPr="00C56EC9">
        <w:rPr>
          <w:lang w:val="es-419"/>
        </w:rPr>
        <w:t xml:space="preserve">El PL 163 de 2024 incluye un compromiso histórico del Estado panameño: un aporte económico sin igual desde la creación de la Caja de Seguro Social (CSS). Este esfuerzo financiero refuerza el sistema de Invalidez, Vejez y Muerte (IVM) al garantizar recursos significativos para atender las necesidades actuales y futuras de los afiliados. Es un reconocimiento explícito de la responsabilidad estatal en proteger el derecho a </w:t>
      </w:r>
      <w:r w:rsidRPr="00C56EC9">
        <w:rPr>
          <w:lang w:val="es-419"/>
        </w:rPr>
        <w:lastRenderedPageBreak/>
        <w:t>una pensión digna, especialmente en un contexto de transición hacia un modelo más sostenible.</w:t>
      </w:r>
    </w:p>
    <w:p w14:paraId="7CF3C868" w14:textId="5E20DF50" w:rsidR="00713570" w:rsidRPr="00C56EC9" w:rsidRDefault="00713570" w:rsidP="008D7987">
      <w:pPr>
        <w:pStyle w:val="Prrafodelista"/>
        <w:numPr>
          <w:ilvl w:val="0"/>
          <w:numId w:val="4"/>
        </w:numPr>
        <w:rPr>
          <w:lang w:val="es-419"/>
        </w:rPr>
      </w:pPr>
      <w:proofErr w:type="spellStart"/>
      <w:r w:rsidRPr="00C56EC9">
        <w:rPr>
          <w:lang w:val="es-419"/>
        </w:rPr>
        <w:t>Solidarización</w:t>
      </w:r>
      <w:proofErr w:type="spellEnd"/>
      <w:r w:rsidRPr="00C56EC9">
        <w:rPr>
          <w:lang w:val="es-419"/>
        </w:rPr>
        <w:t xml:space="preserve"> de </w:t>
      </w:r>
      <w:r w:rsidR="008D7987" w:rsidRPr="00C56EC9">
        <w:rPr>
          <w:lang w:val="es-419"/>
        </w:rPr>
        <w:t>r</w:t>
      </w:r>
      <w:r w:rsidRPr="00C56EC9">
        <w:rPr>
          <w:lang w:val="es-419"/>
        </w:rPr>
        <w:t>ecursos del SEBD y SMP</w:t>
      </w:r>
    </w:p>
    <w:p w14:paraId="7DE2DF66" w14:textId="362D922E" w:rsidR="00713570" w:rsidRPr="00C56EC9" w:rsidRDefault="00713570" w:rsidP="00713570">
      <w:pPr>
        <w:rPr>
          <w:lang w:val="es-419"/>
        </w:rPr>
      </w:pPr>
      <w:r w:rsidRPr="00C56EC9">
        <w:rPr>
          <w:lang w:val="es-419"/>
        </w:rPr>
        <w:t>El proyecto responde a la realidad inminente de que las reservas del SEBD se han agotado. Frente a este escenario, el PL 163</w:t>
      </w:r>
      <w:r w:rsidR="00BA733D" w:rsidRPr="00C56EC9">
        <w:rPr>
          <w:lang w:val="es-419"/>
        </w:rPr>
        <w:t xml:space="preserve"> de 2024</w:t>
      </w:r>
      <w:r w:rsidRPr="00C56EC9">
        <w:rPr>
          <w:lang w:val="es-419"/>
        </w:rPr>
        <w:t xml:space="preserve"> propone solidarizar las reservas de todo el sistema, incluyendo las del Subsistema Mixto de Pensiones (SMP), para cumplir con los compromisos adquiridos con los pensionados actuales del SEBD. Este enfoque garantiza la estabilidad y continuidad en el pago de las pensiones hasta que el SEBD complete su ciclo de marchitamiento, previsto para finales del presente siglo. Es un paso crucial para salvaguardar los derechos adquiridos de quienes confiaron en el sistema.</w:t>
      </w:r>
    </w:p>
    <w:p w14:paraId="03A13F99" w14:textId="5D28C859" w:rsidR="00713570" w:rsidRPr="00C56EC9" w:rsidRDefault="00713570" w:rsidP="008D7987">
      <w:pPr>
        <w:pStyle w:val="Prrafodelista"/>
        <w:numPr>
          <w:ilvl w:val="0"/>
          <w:numId w:val="4"/>
        </w:numPr>
        <w:rPr>
          <w:lang w:val="es-419"/>
        </w:rPr>
      </w:pPr>
      <w:r w:rsidRPr="00C56EC9">
        <w:rPr>
          <w:lang w:val="es-419"/>
        </w:rPr>
        <w:t xml:space="preserve">Financiación </w:t>
      </w:r>
      <w:r w:rsidR="008D7987" w:rsidRPr="00C56EC9">
        <w:rPr>
          <w:lang w:val="es-419"/>
        </w:rPr>
        <w:t>i</w:t>
      </w:r>
      <w:r w:rsidRPr="00C56EC9">
        <w:rPr>
          <w:lang w:val="es-419"/>
        </w:rPr>
        <w:t>ntergeneracional</w:t>
      </w:r>
    </w:p>
    <w:p w14:paraId="5C1187A7" w14:textId="77777777" w:rsidR="00713570" w:rsidRPr="00C56EC9" w:rsidRDefault="00713570" w:rsidP="00713570">
      <w:pPr>
        <w:rPr>
          <w:lang w:val="es-419"/>
        </w:rPr>
      </w:pPr>
      <w:r w:rsidRPr="00C56EC9">
        <w:rPr>
          <w:lang w:val="es-419"/>
        </w:rPr>
        <w:t>Reconociendo que las reservas existentes, tanto del SMP como los aportes estatales, no serán suficientes para cubrir el déficit del SEBD, el PL 163 introduce una financiación intergeneracional. Los aportes al nuevo Sistema de Capitalización con Garantía Solidaria permitirán a los jóvenes panameños y las generaciones por venir contribuir al sostenimiento de las pensiones actuales. Este esquema refuerza la solidaridad entre generaciones, garantizando no solo la sostenibilidad financiera, sino también el compromiso colectivo con el bienestar social.</w:t>
      </w:r>
    </w:p>
    <w:p w14:paraId="0D792A68" w14:textId="77777777" w:rsidR="00713570" w:rsidRPr="00C56EC9" w:rsidRDefault="00713570" w:rsidP="008D7987">
      <w:pPr>
        <w:pStyle w:val="Prrafodelista"/>
        <w:numPr>
          <w:ilvl w:val="0"/>
          <w:numId w:val="4"/>
        </w:numPr>
        <w:rPr>
          <w:lang w:val="es-419"/>
        </w:rPr>
      </w:pPr>
      <w:r w:rsidRPr="00C56EC9">
        <w:rPr>
          <w:lang w:val="es-419"/>
        </w:rPr>
        <w:t>Pensión Garantizada Solidaria con Actualización por IPC</w:t>
      </w:r>
    </w:p>
    <w:p w14:paraId="7C5C919F" w14:textId="77777777" w:rsidR="00713570" w:rsidRPr="00C56EC9" w:rsidRDefault="00713570" w:rsidP="00713570">
      <w:pPr>
        <w:rPr>
          <w:lang w:val="es-419"/>
        </w:rPr>
      </w:pPr>
      <w:r w:rsidRPr="00C56EC9">
        <w:rPr>
          <w:lang w:val="es-419"/>
        </w:rPr>
        <w:t>Por primera vez, el proyecto instituye una Pensión Garantizada Solidaria para quienes no logren acumular una capitalización individual suficiente. Este modelo asegura que ningún trabajador afiliado quede sin ingresos en su vejez, estableciendo una pensión mínima ajustada permanentemente según el Índice de Precios al Consumidor (IPC). Esto representa un hito en la historia del sistema de pensiones panameño al garantizar un poder adquisitivo estable y una mayor equidad para los afiliados, particularmente en el contexto de salarios bajos y densidades de cotización insuficientes.</w:t>
      </w:r>
    </w:p>
    <w:p w14:paraId="1AECC67A" w14:textId="77777777" w:rsidR="00713570" w:rsidRPr="00C56EC9" w:rsidRDefault="00713570" w:rsidP="008D7987">
      <w:pPr>
        <w:pStyle w:val="Prrafodelista"/>
        <w:numPr>
          <w:ilvl w:val="0"/>
          <w:numId w:val="4"/>
        </w:numPr>
        <w:rPr>
          <w:lang w:val="es-419"/>
        </w:rPr>
      </w:pPr>
      <w:r w:rsidRPr="00C56EC9">
        <w:rPr>
          <w:lang w:val="es-419"/>
        </w:rPr>
        <w:t>Modernización de Políticas de Inversión</w:t>
      </w:r>
    </w:p>
    <w:p w14:paraId="69DB91B1" w14:textId="79109FF1" w:rsidR="00EB742F" w:rsidRPr="00C56EC9" w:rsidRDefault="00713570" w:rsidP="00713570">
      <w:pPr>
        <w:rPr>
          <w:lang w:val="es-419"/>
        </w:rPr>
      </w:pPr>
      <w:r w:rsidRPr="00C56EC9">
        <w:rPr>
          <w:lang w:val="es-419"/>
        </w:rPr>
        <w:lastRenderedPageBreak/>
        <w:t>Para maximizar los recursos disponibles y ofrecer mejores beneficios, el PL 163 actualiza las políticas de inversión del sistema. Estas nuevas reglas permitirán obtener mayores rendimientos, optimizando las reservas del SMP y del nuevo esquema de capitalización solidaria. Con un enfoque más eficiente y diversificado, se busca fortalecer las prestaciones económicas tanto para los afiliados actuales como para las generaciones futuras, reforzando así la sostenibilidad y la confianza en el sistema.</w:t>
      </w:r>
      <w:r w:rsidR="004F4355" w:rsidRPr="00C56EC9">
        <w:rPr>
          <w:lang w:val="es-419"/>
        </w:rPr>
        <w:t xml:space="preserve"> Entre países seleccionados que manejan fondos de pensiones o seguros de IVM, </w:t>
      </w:r>
      <w:r w:rsidR="00A30E71" w:rsidRPr="00C56EC9">
        <w:rPr>
          <w:lang w:val="es-419"/>
        </w:rPr>
        <w:t>Panamá es el de desempeño más pobre:</w:t>
      </w:r>
    </w:p>
    <w:p w14:paraId="52824CF0" w14:textId="4D9D1F36" w:rsidR="000F53C9" w:rsidRPr="00C56EC9" w:rsidRDefault="000F53C9" w:rsidP="000F53C9">
      <w:pPr>
        <w:pStyle w:val="Descripcin"/>
      </w:pPr>
      <w:bookmarkStart w:id="2" w:name="_Toc164769847"/>
      <w:r w:rsidRPr="00C56EC9">
        <w:t xml:space="preserve">Tabla </w:t>
      </w:r>
      <w:r w:rsidRPr="00C56EC9">
        <w:fldChar w:fldCharType="begin"/>
      </w:r>
      <w:r w:rsidRPr="00C56EC9">
        <w:instrText xml:space="preserve"> SEQ Tabla \* ARABIC </w:instrText>
      </w:r>
      <w:r w:rsidRPr="00C56EC9">
        <w:fldChar w:fldCharType="separate"/>
      </w:r>
      <w:r w:rsidR="00B24233">
        <w:rPr>
          <w:noProof/>
        </w:rPr>
        <w:t>1</w:t>
      </w:r>
      <w:r w:rsidRPr="00C56EC9">
        <w:fldChar w:fldCharType="end"/>
      </w:r>
      <w:r w:rsidRPr="00C56EC9">
        <w:t xml:space="preserve">. Composición de los portafolios de inversión en capitalización individual obligatoria en algunos países de la región a 1 de </w:t>
      </w:r>
      <w:r w:rsidR="00D42398">
        <w:t>enero</w:t>
      </w:r>
      <w:r w:rsidRPr="00C56EC9">
        <w:t xml:space="preserve"> de 202</w:t>
      </w:r>
      <w:bookmarkEnd w:id="2"/>
      <w:r w:rsidR="00D42398">
        <w:t>3</w:t>
      </w:r>
    </w:p>
    <w:tbl>
      <w:tblPr>
        <w:tblW w:w="5000" w:type="pct"/>
        <w:tblLook w:val="04A0" w:firstRow="1" w:lastRow="0" w:firstColumn="1" w:lastColumn="0" w:noHBand="0" w:noVBand="1"/>
      </w:tblPr>
      <w:tblGrid>
        <w:gridCol w:w="976"/>
        <w:gridCol w:w="1411"/>
        <w:gridCol w:w="847"/>
        <w:gridCol w:w="594"/>
        <w:gridCol w:w="595"/>
        <w:gridCol w:w="784"/>
        <w:gridCol w:w="683"/>
        <w:gridCol w:w="722"/>
        <w:gridCol w:w="626"/>
        <w:gridCol w:w="1002"/>
        <w:gridCol w:w="777"/>
      </w:tblGrid>
      <w:tr w:rsidR="000F53C9" w:rsidRPr="00C56EC9" w14:paraId="1699A8A4" w14:textId="77777777" w:rsidTr="004F4355">
        <w:trPr>
          <w:trHeight w:val="278"/>
        </w:trPr>
        <w:tc>
          <w:tcPr>
            <w:tcW w:w="10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E7079" w14:textId="77777777" w:rsidR="000F53C9" w:rsidRPr="00C56EC9" w:rsidRDefault="000F53C9" w:rsidP="004F4355">
            <w:pPr>
              <w:pStyle w:val="Tablas"/>
              <w:rPr>
                <w:b/>
                <w:bCs w:val="0"/>
                <w:sz w:val="14"/>
                <w:szCs w:val="14"/>
              </w:rPr>
            </w:pPr>
            <w:r w:rsidRPr="00C56EC9">
              <w:rPr>
                <w:b/>
                <w:bCs w:val="0"/>
                <w:sz w:val="14"/>
                <w:szCs w:val="14"/>
              </w:rPr>
              <w:t>Emisor / Tipo de instrumento</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69BDB143" w14:textId="77777777" w:rsidR="000F53C9" w:rsidRPr="00C56EC9" w:rsidRDefault="000F53C9" w:rsidP="004F4355">
            <w:pPr>
              <w:pStyle w:val="Tablas"/>
              <w:rPr>
                <w:b/>
                <w:bCs w:val="0"/>
                <w:sz w:val="14"/>
                <w:szCs w:val="14"/>
              </w:rPr>
            </w:pPr>
            <w:r w:rsidRPr="00C56EC9">
              <w:rPr>
                <w:b/>
                <w:bCs w:val="0"/>
                <w:sz w:val="14"/>
                <w:szCs w:val="14"/>
              </w:rPr>
              <w:t>Colombia</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2D465958" w14:textId="77777777" w:rsidR="000F53C9" w:rsidRPr="00C56EC9" w:rsidRDefault="000F53C9" w:rsidP="004F4355">
            <w:pPr>
              <w:pStyle w:val="Tablas"/>
              <w:rPr>
                <w:b/>
                <w:bCs w:val="0"/>
                <w:sz w:val="14"/>
                <w:szCs w:val="14"/>
              </w:rPr>
            </w:pPr>
            <w:r w:rsidRPr="00C56EC9">
              <w:rPr>
                <w:b/>
                <w:bCs w:val="0"/>
                <w:sz w:val="14"/>
                <w:szCs w:val="14"/>
              </w:rPr>
              <w:t>Costa Rica</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7EDE3E10" w14:textId="77777777" w:rsidR="000F53C9" w:rsidRPr="00C56EC9" w:rsidRDefault="000F53C9" w:rsidP="004F4355">
            <w:pPr>
              <w:pStyle w:val="Tablas"/>
              <w:rPr>
                <w:b/>
                <w:bCs w:val="0"/>
                <w:sz w:val="14"/>
                <w:szCs w:val="14"/>
              </w:rPr>
            </w:pPr>
            <w:r w:rsidRPr="00C56EC9">
              <w:rPr>
                <w:b/>
                <w:bCs w:val="0"/>
                <w:sz w:val="14"/>
                <w:szCs w:val="14"/>
              </w:rPr>
              <w:t>Chile</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2EFFD563" w14:textId="77777777" w:rsidR="000F53C9" w:rsidRPr="00C56EC9" w:rsidRDefault="000F53C9" w:rsidP="004F4355">
            <w:pPr>
              <w:pStyle w:val="Tablas"/>
              <w:rPr>
                <w:b/>
                <w:bCs w:val="0"/>
                <w:sz w:val="14"/>
                <w:szCs w:val="14"/>
              </w:rPr>
            </w:pPr>
            <w:r w:rsidRPr="00C56EC9">
              <w:rPr>
                <w:b/>
                <w:bCs w:val="0"/>
                <w:sz w:val="14"/>
                <w:szCs w:val="14"/>
              </w:rPr>
              <w:t>El Salvador</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27AA0E42" w14:textId="77777777" w:rsidR="000F53C9" w:rsidRPr="00C56EC9" w:rsidRDefault="000F53C9" w:rsidP="004F4355">
            <w:pPr>
              <w:pStyle w:val="Tablas"/>
              <w:rPr>
                <w:b/>
                <w:bCs w:val="0"/>
                <w:sz w:val="14"/>
                <w:szCs w:val="14"/>
              </w:rPr>
            </w:pPr>
            <w:r w:rsidRPr="00C56EC9">
              <w:rPr>
                <w:b/>
                <w:bCs w:val="0"/>
                <w:sz w:val="14"/>
                <w:szCs w:val="14"/>
              </w:rPr>
              <w:t>México</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41F1C4E8" w14:textId="77777777" w:rsidR="000F53C9" w:rsidRPr="00C56EC9" w:rsidRDefault="000F53C9" w:rsidP="004F4355">
            <w:pPr>
              <w:pStyle w:val="Tablas"/>
              <w:rPr>
                <w:b/>
                <w:bCs w:val="0"/>
                <w:sz w:val="14"/>
                <w:szCs w:val="14"/>
              </w:rPr>
            </w:pPr>
            <w:r w:rsidRPr="00C56EC9">
              <w:rPr>
                <w:b/>
                <w:bCs w:val="0"/>
                <w:sz w:val="14"/>
                <w:szCs w:val="14"/>
              </w:rPr>
              <w:t>Panamá</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731BC455" w14:textId="77777777" w:rsidR="000F53C9" w:rsidRPr="00C56EC9" w:rsidRDefault="000F53C9" w:rsidP="004F4355">
            <w:pPr>
              <w:pStyle w:val="Tablas"/>
              <w:rPr>
                <w:b/>
                <w:bCs w:val="0"/>
                <w:sz w:val="14"/>
                <w:szCs w:val="14"/>
              </w:rPr>
            </w:pPr>
            <w:r w:rsidRPr="00C56EC9">
              <w:rPr>
                <w:b/>
                <w:bCs w:val="0"/>
                <w:sz w:val="14"/>
                <w:szCs w:val="14"/>
              </w:rPr>
              <w:t>Perú</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0B47D8BC" w14:textId="77777777" w:rsidR="000F53C9" w:rsidRPr="00C56EC9" w:rsidRDefault="000F53C9" w:rsidP="004F4355">
            <w:pPr>
              <w:pStyle w:val="Tablas"/>
              <w:rPr>
                <w:b/>
                <w:bCs w:val="0"/>
                <w:sz w:val="14"/>
                <w:szCs w:val="14"/>
              </w:rPr>
            </w:pPr>
            <w:r w:rsidRPr="00C56EC9">
              <w:rPr>
                <w:b/>
                <w:bCs w:val="0"/>
                <w:sz w:val="14"/>
                <w:szCs w:val="14"/>
              </w:rPr>
              <w:t>R. Dominicana</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5E524E7B" w14:textId="77777777" w:rsidR="000F53C9" w:rsidRPr="00C56EC9" w:rsidRDefault="000F53C9" w:rsidP="004F4355">
            <w:pPr>
              <w:pStyle w:val="Tablas"/>
              <w:rPr>
                <w:b/>
                <w:bCs w:val="0"/>
                <w:sz w:val="14"/>
                <w:szCs w:val="14"/>
              </w:rPr>
            </w:pPr>
            <w:r w:rsidRPr="00C56EC9">
              <w:rPr>
                <w:b/>
                <w:bCs w:val="0"/>
                <w:sz w:val="14"/>
                <w:szCs w:val="14"/>
              </w:rPr>
              <w:t>Uruguay</w:t>
            </w:r>
          </w:p>
        </w:tc>
      </w:tr>
      <w:tr w:rsidR="004F4355" w:rsidRPr="00C56EC9" w14:paraId="32BABE1C" w14:textId="77777777" w:rsidTr="00310A83">
        <w:trPr>
          <w:trHeight w:val="278"/>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FE75AE5" w14:textId="77777777" w:rsidR="000F53C9" w:rsidRPr="00C56EC9" w:rsidRDefault="000F53C9" w:rsidP="004F4355">
            <w:pPr>
              <w:pStyle w:val="Tablas"/>
              <w:rPr>
                <w:sz w:val="14"/>
                <w:szCs w:val="14"/>
              </w:rPr>
            </w:pPr>
            <w:r w:rsidRPr="00C56EC9">
              <w:rPr>
                <w:sz w:val="14"/>
                <w:szCs w:val="14"/>
              </w:rPr>
              <w:t>Gobierno</w:t>
            </w:r>
          </w:p>
        </w:tc>
        <w:tc>
          <w:tcPr>
            <w:tcW w:w="715" w:type="pct"/>
            <w:tcBorders>
              <w:top w:val="nil"/>
              <w:left w:val="nil"/>
              <w:bottom w:val="single" w:sz="4" w:space="0" w:color="auto"/>
              <w:right w:val="single" w:sz="4" w:space="0" w:color="auto"/>
            </w:tcBorders>
            <w:shd w:val="clear" w:color="auto" w:fill="auto"/>
            <w:vAlign w:val="center"/>
            <w:hideMark/>
          </w:tcPr>
          <w:p w14:paraId="0996C954" w14:textId="77777777" w:rsidR="000F53C9" w:rsidRPr="00C56EC9" w:rsidRDefault="000F53C9" w:rsidP="004F4355">
            <w:pPr>
              <w:pStyle w:val="Tablas"/>
              <w:rPr>
                <w:sz w:val="14"/>
                <w:szCs w:val="14"/>
              </w:rPr>
            </w:pPr>
            <w:r w:rsidRPr="00C56EC9">
              <w:rPr>
                <w:sz w:val="14"/>
                <w:szCs w:val="14"/>
              </w:rPr>
              <w:t>R. Fija</w:t>
            </w:r>
          </w:p>
        </w:tc>
        <w:tc>
          <w:tcPr>
            <w:tcW w:w="438" w:type="pct"/>
            <w:tcBorders>
              <w:top w:val="nil"/>
              <w:left w:val="nil"/>
              <w:bottom w:val="single" w:sz="4" w:space="0" w:color="auto"/>
              <w:right w:val="single" w:sz="4" w:space="0" w:color="auto"/>
            </w:tcBorders>
            <w:shd w:val="clear" w:color="auto" w:fill="auto"/>
            <w:noWrap/>
            <w:vAlign w:val="bottom"/>
            <w:hideMark/>
          </w:tcPr>
          <w:p w14:paraId="78B64F96" w14:textId="77777777" w:rsidR="000F53C9" w:rsidRPr="00C56EC9" w:rsidRDefault="000F53C9" w:rsidP="004F4355">
            <w:pPr>
              <w:pStyle w:val="Tablas"/>
              <w:rPr>
                <w:sz w:val="14"/>
                <w:szCs w:val="14"/>
              </w:rPr>
            </w:pPr>
            <w:r w:rsidRPr="00C56EC9">
              <w:rPr>
                <w:sz w:val="14"/>
                <w:szCs w:val="14"/>
              </w:rPr>
              <w:t>28.3%</w:t>
            </w:r>
          </w:p>
        </w:tc>
        <w:tc>
          <w:tcPr>
            <w:tcW w:w="438" w:type="pct"/>
            <w:tcBorders>
              <w:top w:val="nil"/>
              <w:left w:val="nil"/>
              <w:bottom w:val="single" w:sz="4" w:space="0" w:color="auto"/>
              <w:right w:val="single" w:sz="4" w:space="0" w:color="auto"/>
            </w:tcBorders>
            <w:shd w:val="clear" w:color="auto" w:fill="auto"/>
            <w:noWrap/>
            <w:vAlign w:val="bottom"/>
            <w:hideMark/>
          </w:tcPr>
          <w:p w14:paraId="051836EA" w14:textId="77777777" w:rsidR="000F53C9" w:rsidRPr="00C56EC9" w:rsidRDefault="000F53C9" w:rsidP="004F4355">
            <w:pPr>
              <w:pStyle w:val="Tablas"/>
              <w:rPr>
                <w:sz w:val="14"/>
                <w:szCs w:val="14"/>
              </w:rPr>
            </w:pPr>
            <w:r w:rsidRPr="00C56EC9">
              <w:rPr>
                <w:sz w:val="14"/>
                <w:szCs w:val="14"/>
              </w:rPr>
              <w:t>61.7%</w:t>
            </w:r>
          </w:p>
        </w:tc>
        <w:tc>
          <w:tcPr>
            <w:tcW w:w="438" w:type="pct"/>
            <w:tcBorders>
              <w:top w:val="nil"/>
              <w:left w:val="nil"/>
              <w:bottom w:val="single" w:sz="4" w:space="0" w:color="auto"/>
              <w:right w:val="single" w:sz="4" w:space="0" w:color="auto"/>
            </w:tcBorders>
            <w:shd w:val="clear" w:color="auto" w:fill="auto"/>
            <w:noWrap/>
            <w:vAlign w:val="bottom"/>
            <w:hideMark/>
          </w:tcPr>
          <w:p w14:paraId="0CFF6795" w14:textId="77777777" w:rsidR="000F53C9" w:rsidRPr="00C56EC9" w:rsidRDefault="000F53C9" w:rsidP="004F4355">
            <w:pPr>
              <w:pStyle w:val="Tablas"/>
              <w:rPr>
                <w:sz w:val="14"/>
                <w:szCs w:val="14"/>
              </w:rPr>
            </w:pPr>
            <w:r w:rsidRPr="00C56EC9">
              <w:rPr>
                <w:sz w:val="14"/>
                <w:szCs w:val="14"/>
              </w:rPr>
              <w:t>21.3%</w:t>
            </w:r>
          </w:p>
        </w:tc>
        <w:tc>
          <w:tcPr>
            <w:tcW w:w="438" w:type="pct"/>
            <w:tcBorders>
              <w:top w:val="nil"/>
              <w:left w:val="nil"/>
              <w:bottom w:val="single" w:sz="4" w:space="0" w:color="auto"/>
              <w:right w:val="single" w:sz="4" w:space="0" w:color="auto"/>
            </w:tcBorders>
            <w:shd w:val="clear" w:color="auto" w:fill="auto"/>
            <w:noWrap/>
            <w:vAlign w:val="bottom"/>
            <w:hideMark/>
          </w:tcPr>
          <w:p w14:paraId="3D3577ED" w14:textId="77777777" w:rsidR="000F53C9" w:rsidRPr="00C56EC9" w:rsidRDefault="000F53C9" w:rsidP="004F4355">
            <w:pPr>
              <w:pStyle w:val="Tablas"/>
              <w:rPr>
                <w:sz w:val="14"/>
                <w:szCs w:val="14"/>
              </w:rPr>
            </w:pPr>
            <w:r w:rsidRPr="00C56EC9">
              <w:rPr>
                <w:sz w:val="14"/>
                <w:szCs w:val="14"/>
              </w:rPr>
              <w:t>80.9%</w:t>
            </w:r>
          </w:p>
        </w:tc>
        <w:tc>
          <w:tcPr>
            <w:tcW w:w="438" w:type="pct"/>
            <w:tcBorders>
              <w:top w:val="nil"/>
              <w:left w:val="nil"/>
              <w:bottom w:val="single" w:sz="4" w:space="0" w:color="auto"/>
              <w:right w:val="single" w:sz="4" w:space="0" w:color="auto"/>
            </w:tcBorders>
            <w:shd w:val="clear" w:color="auto" w:fill="auto"/>
            <w:noWrap/>
            <w:vAlign w:val="bottom"/>
            <w:hideMark/>
          </w:tcPr>
          <w:p w14:paraId="47468CCC" w14:textId="77777777" w:rsidR="000F53C9" w:rsidRPr="00C56EC9" w:rsidRDefault="000F53C9" w:rsidP="004F4355">
            <w:pPr>
              <w:pStyle w:val="Tablas"/>
              <w:rPr>
                <w:sz w:val="14"/>
                <w:szCs w:val="14"/>
              </w:rPr>
            </w:pPr>
            <w:r w:rsidRPr="00C56EC9">
              <w:rPr>
                <w:sz w:val="14"/>
                <w:szCs w:val="14"/>
              </w:rPr>
              <w:t>50.5%</w:t>
            </w:r>
          </w:p>
        </w:tc>
        <w:tc>
          <w:tcPr>
            <w:tcW w:w="438" w:type="pct"/>
            <w:tcBorders>
              <w:top w:val="nil"/>
              <w:left w:val="nil"/>
              <w:bottom w:val="single" w:sz="4" w:space="0" w:color="auto"/>
              <w:right w:val="single" w:sz="4" w:space="0" w:color="auto"/>
            </w:tcBorders>
            <w:shd w:val="clear" w:color="auto" w:fill="auto"/>
            <w:noWrap/>
            <w:vAlign w:val="bottom"/>
            <w:hideMark/>
          </w:tcPr>
          <w:p w14:paraId="789455CF" w14:textId="77777777" w:rsidR="000F53C9" w:rsidRPr="00C56EC9" w:rsidRDefault="000F53C9" w:rsidP="004F4355">
            <w:pPr>
              <w:pStyle w:val="Tablas"/>
              <w:rPr>
                <w:sz w:val="14"/>
                <w:szCs w:val="14"/>
              </w:rPr>
            </w:pPr>
            <w:r w:rsidRPr="00C56EC9">
              <w:rPr>
                <w:sz w:val="14"/>
                <w:szCs w:val="14"/>
              </w:rPr>
              <w:t>42.8%</w:t>
            </w:r>
          </w:p>
        </w:tc>
        <w:tc>
          <w:tcPr>
            <w:tcW w:w="438" w:type="pct"/>
            <w:tcBorders>
              <w:top w:val="nil"/>
              <w:left w:val="nil"/>
              <w:bottom w:val="single" w:sz="4" w:space="0" w:color="auto"/>
              <w:right w:val="single" w:sz="4" w:space="0" w:color="auto"/>
            </w:tcBorders>
            <w:shd w:val="clear" w:color="auto" w:fill="auto"/>
            <w:noWrap/>
            <w:vAlign w:val="bottom"/>
            <w:hideMark/>
          </w:tcPr>
          <w:p w14:paraId="6DACCF05" w14:textId="77777777" w:rsidR="000F53C9" w:rsidRPr="00C56EC9" w:rsidRDefault="000F53C9" w:rsidP="004F4355">
            <w:pPr>
              <w:pStyle w:val="Tablas"/>
              <w:rPr>
                <w:color w:val="000000"/>
                <w:sz w:val="14"/>
                <w:szCs w:val="14"/>
              </w:rPr>
            </w:pPr>
            <w:r w:rsidRPr="00C56EC9">
              <w:rPr>
                <w:color w:val="000000"/>
                <w:sz w:val="14"/>
                <w:szCs w:val="14"/>
              </w:rPr>
              <w:t>19.2%</w:t>
            </w:r>
          </w:p>
        </w:tc>
        <w:tc>
          <w:tcPr>
            <w:tcW w:w="438" w:type="pct"/>
            <w:tcBorders>
              <w:top w:val="nil"/>
              <w:left w:val="nil"/>
              <w:bottom w:val="single" w:sz="4" w:space="0" w:color="auto"/>
              <w:right w:val="single" w:sz="4" w:space="0" w:color="auto"/>
            </w:tcBorders>
            <w:shd w:val="clear" w:color="auto" w:fill="auto"/>
            <w:noWrap/>
            <w:vAlign w:val="bottom"/>
            <w:hideMark/>
          </w:tcPr>
          <w:p w14:paraId="198EF784" w14:textId="77777777" w:rsidR="000F53C9" w:rsidRPr="00C56EC9" w:rsidRDefault="000F53C9" w:rsidP="004F4355">
            <w:pPr>
              <w:pStyle w:val="Tablas"/>
              <w:rPr>
                <w:color w:val="000000"/>
                <w:sz w:val="14"/>
                <w:szCs w:val="14"/>
              </w:rPr>
            </w:pPr>
            <w:r w:rsidRPr="00C56EC9">
              <w:rPr>
                <w:color w:val="000000"/>
                <w:sz w:val="14"/>
                <w:szCs w:val="14"/>
              </w:rPr>
              <w:t>74.4%</w:t>
            </w:r>
          </w:p>
        </w:tc>
        <w:tc>
          <w:tcPr>
            <w:tcW w:w="438" w:type="pct"/>
            <w:tcBorders>
              <w:top w:val="nil"/>
              <w:left w:val="nil"/>
              <w:bottom w:val="single" w:sz="4" w:space="0" w:color="auto"/>
              <w:right w:val="single" w:sz="4" w:space="0" w:color="auto"/>
            </w:tcBorders>
            <w:shd w:val="clear" w:color="auto" w:fill="auto"/>
            <w:noWrap/>
            <w:vAlign w:val="bottom"/>
            <w:hideMark/>
          </w:tcPr>
          <w:p w14:paraId="1CBA50CE" w14:textId="77777777" w:rsidR="000F53C9" w:rsidRPr="00C56EC9" w:rsidRDefault="000F53C9" w:rsidP="004F4355">
            <w:pPr>
              <w:pStyle w:val="Tablas"/>
              <w:rPr>
                <w:color w:val="000000"/>
                <w:sz w:val="14"/>
                <w:szCs w:val="14"/>
              </w:rPr>
            </w:pPr>
            <w:r w:rsidRPr="00C56EC9">
              <w:rPr>
                <w:color w:val="000000"/>
                <w:sz w:val="14"/>
                <w:szCs w:val="14"/>
              </w:rPr>
              <w:t>55.1%</w:t>
            </w:r>
          </w:p>
        </w:tc>
      </w:tr>
      <w:tr w:rsidR="004F4355" w:rsidRPr="00C56EC9" w14:paraId="0EF3A5F3" w14:textId="77777777" w:rsidTr="00310A83">
        <w:trPr>
          <w:trHeight w:val="278"/>
        </w:trPr>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411C18C1" w14:textId="77777777" w:rsidR="000F53C9" w:rsidRPr="00C56EC9" w:rsidRDefault="000F53C9" w:rsidP="004F4355">
            <w:pPr>
              <w:pStyle w:val="Tablas"/>
              <w:rPr>
                <w:sz w:val="14"/>
                <w:szCs w:val="14"/>
              </w:rPr>
            </w:pPr>
            <w:r w:rsidRPr="00C56EC9">
              <w:rPr>
                <w:sz w:val="14"/>
                <w:szCs w:val="14"/>
              </w:rPr>
              <w:t>Corporativo</w:t>
            </w:r>
          </w:p>
        </w:tc>
        <w:tc>
          <w:tcPr>
            <w:tcW w:w="715" w:type="pct"/>
            <w:tcBorders>
              <w:top w:val="nil"/>
              <w:left w:val="nil"/>
              <w:bottom w:val="single" w:sz="4" w:space="0" w:color="auto"/>
              <w:right w:val="single" w:sz="4" w:space="0" w:color="auto"/>
            </w:tcBorders>
            <w:shd w:val="clear" w:color="auto" w:fill="auto"/>
            <w:vAlign w:val="center"/>
            <w:hideMark/>
          </w:tcPr>
          <w:p w14:paraId="6DEE831F" w14:textId="77777777" w:rsidR="000F53C9" w:rsidRPr="00C56EC9" w:rsidRDefault="000F53C9" w:rsidP="004F4355">
            <w:pPr>
              <w:pStyle w:val="Tablas"/>
              <w:rPr>
                <w:sz w:val="14"/>
                <w:szCs w:val="14"/>
              </w:rPr>
            </w:pPr>
            <w:r w:rsidRPr="00C56EC9">
              <w:rPr>
                <w:sz w:val="14"/>
                <w:szCs w:val="14"/>
              </w:rPr>
              <w:t>R. Fija</w:t>
            </w:r>
          </w:p>
        </w:tc>
        <w:tc>
          <w:tcPr>
            <w:tcW w:w="438" w:type="pct"/>
            <w:tcBorders>
              <w:top w:val="nil"/>
              <w:left w:val="nil"/>
              <w:bottom w:val="single" w:sz="4" w:space="0" w:color="auto"/>
              <w:right w:val="single" w:sz="4" w:space="0" w:color="auto"/>
            </w:tcBorders>
            <w:shd w:val="clear" w:color="auto" w:fill="auto"/>
            <w:noWrap/>
            <w:vAlign w:val="bottom"/>
            <w:hideMark/>
          </w:tcPr>
          <w:p w14:paraId="72292263" w14:textId="77777777" w:rsidR="000F53C9" w:rsidRPr="00C56EC9" w:rsidRDefault="000F53C9" w:rsidP="004F4355">
            <w:pPr>
              <w:pStyle w:val="Tablas"/>
              <w:rPr>
                <w:sz w:val="14"/>
                <w:szCs w:val="14"/>
              </w:rPr>
            </w:pPr>
            <w:r w:rsidRPr="00C56EC9">
              <w:rPr>
                <w:sz w:val="14"/>
                <w:szCs w:val="14"/>
              </w:rPr>
              <w:t>1.04%</w:t>
            </w:r>
          </w:p>
        </w:tc>
        <w:tc>
          <w:tcPr>
            <w:tcW w:w="438" w:type="pct"/>
            <w:tcBorders>
              <w:top w:val="nil"/>
              <w:left w:val="nil"/>
              <w:bottom w:val="single" w:sz="4" w:space="0" w:color="auto"/>
              <w:right w:val="single" w:sz="4" w:space="0" w:color="auto"/>
            </w:tcBorders>
            <w:shd w:val="clear" w:color="auto" w:fill="auto"/>
            <w:noWrap/>
            <w:vAlign w:val="bottom"/>
            <w:hideMark/>
          </w:tcPr>
          <w:p w14:paraId="2F191FFC" w14:textId="77777777" w:rsidR="000F53C9" w:rsidRPr="00C56EC9" w:rsidRDefault="000F53C9" w:rsidP="004F4355">
            <w:pPr>
              <w:pStyle w:val="Tablas"/>
              <w:rPr>
                <w:sz w:val="14"/>
                <w:szCs w:val="14"/>
              </w:rPr>
            </w:pPr>
            <w:r w:rsidRPr="00C56EC9">
              <w:rPr>
                <w:sz w:val="14"/>
                <w:szCs w:val="14"/>
              </w:rPr>
              <w:t>1.01%</w:t>
            </w:r>
          </w:p>
        </w:tc>
        <w:tc>
          <w:tcPr>
            <w:tcW w:w="438" w:type="pct"/>
            <w:tcBorders>
              <w:top w:val="nil"/>
              <w:left w:val="nil"/>
              <w:bottom w:val="single" w:sz="4" w:space="0" w:color="auto"/>
              <w:right w:val="single" w:sz="4" w:space="0" w:color="auto"/>
            </w:tcBorders>
            <w:shd w:val="clear" w:color="auto" w:fill="auto"/>
            <w:noWrap/>
            <w:vAlign w:val="bottom"/>
            <w:hideMark/>
          </w:tcPr>
          <w:p w14:paraId="71ECCF4D" w14:textId="77777777" w:rsidR="000F53C9" w:rsidRPr="00C56EC9" w:rsidRDefault="000F53C9" w:rsidP="004F4355">
            <w:pPr>
              <w:pStyle w:val="Tablas"/>
              <w:rPr>
                <w:sz w:val="14"/>
                <w:szCs w:val="14"/>
              </w:rPr>
            </w:pPr>
            <w:r w:rsidRPr="00C56EC9">
              <w:rPr>
                <w:sz w:val="14"/>
                <w:szCs w:val="14"/>
              </w:rPr>
              <w:t>9.80%</w:t>
            </w:r>
          </w:p>
        </w:tc>
        <w:tc>
          <w:tcPr>
            <w:tcW w:w="438" w:type="pct"/>
            <w:tcBorders>
              <w:top w:val="nil"/>
              <w:left w:val="nil"/>
              <w:bottom w:val="single" w:sz="4" w:space="0" w:color="auto"/>
              <w:right w:val="single" w:sz="4" w:space="0" w:color="auto"/>
            </w:tcBorders>
            <w:shd w:val="clear" w:color="auto" w:fill="auto"/>
            <w:noWrap/>
            <w:vAlign w:val="bottom"/>
            <w:hideMark/>
          </w:tcPr>
          <w:p w14:paraId="24D9A520" w14:textId="77777777" w:rsidR="000F53C9" w:rsidRPr="00C56EC9" w:rsidRDefault="000F53C9" w:rsidP="004F4355">
            <w:pPr>
              <w:pStyle w:val="Tablas"/>
              <w:rPr>
                <w:sz w:val="14"/>
                <w:szCs w:val="14"/>
              </w:rPr>
            </w:pPr>
            <w:r w:rsidRPr="00C56EC9">
              <w:rPr>
                <w:sz w:val="14"/>
                <w:szCs w:val="14"/>
              </w:rPr>
              <w:t>7.70%</w:t>
            </w:r>
          </w:p>
        </w:tc>
        <w:tc>
          <w:tcPr>
            <w:tcW w:w="438" w:type="pct"/>
            <w:tcBorders>
              <w:top w:val="nil"/>
              <w:left w:val="nil"/>
              <w:bottom w:val="single" w:sz="4" w:space="0" w:color="auto"/>
              <w:right w:val="single" w:sz="4" w:space="0" w:color="auto"/>
            </w:tcBorders>
            <w:shd w:val="clear" w:color="auto" w:fill="auto"/>
            <w:noWrap/>
            <w:vAlign w:val="bottom"/>
            <w:hideMark/>
          </w:tcPr>
          <w:p w14:paraId="4CA082AF" w14:textId="77777777" w:rsidR="000F53C9" w:rsidRPr="00C56EC9" w:rsidRDefault="000F53C9" w:rsidP="004F4355">
            <w:pPr>
              <w:pStyle w:val="Tablas"/>
              <w:rPr>
                <w:sz w:val="14"/>
                <w:szCs w:val="14"/>
              </w:rPr>
            </w:pPr>
            <w:r w:rsidRPr="00C56EC9">
              <w:rPr>
                <w:sz w:val="14"/>
                <w:szCs w:val="14"/>
              </w:rPr>
              <w:t>12.2%</w:t>
            </w:r>
          </w:p>
        </w:tc>
        <w:tc>
          <w:tcPr>
            <w:tcW w:w="438" w:type="pct"/>
            <w:tcBorders>
              <w:top w:val="nil"/>
              <w:left w:val="nil"/>
              <w:bottom w:val="single" w:sz="4" w:space="0" w:color="auto"/>
              <w:right w:val="single" w:sz="4" w:space="0" w:color="auto"/>
            </w:tcBorders>
            <w:shd w:val="clear" w:color="auto" w:fill="auto"/>
            <w:noWrap/>
            <w:vAlign w:val="bottom"/>
            <w:hideMark/>
          </w:tcPr>
          <w:p w14:paraId="44C2470B"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6C2C582C" w14:textId="77777777" w:rsidR="000F53C9" w:rsidRPr="00C56EC9" w:rsidRDefault="000F53C9" w:rsidP="004F4355">
            <w:pPr>
              <w:pStyle w:val="Tablas"/>
              <w:rPr>
                <w:color w:val="000000"/>
                <w:sz w:val="14"/>
                <w:szCs w:val="14"/>
              </w:rPr>
            </w:pPr>
            <w:r w:rsidRPr="00C56EC9">
              <w:rPr>
                <w:color w:val="000000"/>
                <w:sz w:val="14"/>
                <w:szCs w:val="14"/>
              </w:rPr>
              <w:t>7.89%</w:t>
            </w:r>
          </w:p>
        </w:tc>
        <w:tc>
          <w:tcPr>
            <w:tcW w:w="438" w:type="pct"/>
            <w:tcBorders>
              <w:top w:val="nil"/>
              <w:left w:val="nil"/>
              <w:bottom w:val="single" w:sz="4" w:space="0" w:color="auto"/>
              <w:right w:val="single" w:sz="4" w:space="0" w:color="auto"/>
            </w:tcBorders>
            <w:shd w:val="clear" w:color="auto" w:fill="auto"/>
            <w:noWrap/>
            <w:vAlign w:val="bottom"/>
            <w:hideMark/>
          </w:tcPr>
          <w:p w14:paraId="7C3F6E64" w14:textId="77777777" w:rsidR="000F53C9" w:rsidRPr="00C56EC9" w:rsidRDefault="000F53C9" w:rsidP="004F4355">
            <w:pPr>
              <w:pStyle w:val="Tablas"/>
              <w:rPr>
                <w:color w:val="000000"/>
                <w:sz w:val="14"/>
                <w:szCs w:val="14"/>
              </w:rPr>
            </w:pPr>
            <w:r w:rsidRPr="00C56EC9">
              <w:rPr>
                <w:color w:val="000000"/>
                <w:sz w:val="14"/>
                <w:szCs w:val="14"/>
              </w:rPr>
              <w:t>2.81%</w:t>
            </w:r>
          </w:p>
        </w:tc>
        <w:tc>
          <w:tcPr>
            <w:tcW w:w="438" w:type="pct"/>
            <w:tcBorders>
              <w:top w:val="nil"/>
              <w:left w:val="nil"/>
              <w:bottom w:val="single" w:sz="4" w:space="0" w:color="auto"/>
              <w:right w:val="single" w:sz="4" w:space="0" w:color="auto"/>
            </w:tcBorders>
            <w:shd w:val="clear" w:color="auto" w:fill="auto"/>
            <w:noWrap/>
            <w:vAlign w:val="bottom"/>
            <w:hideMark/>
          </w:tcPr>
          <w:p w14:paraId="287AED70" w14:textId="77777777" w:rsidR="000F53C9" w:rsidRPr="00C56EC9" w:rsidRDefault="000F53C9" w:rsidP="004F4355">
            <w:pPr>
              <w:pStyle w:val="Tablas"/>
              <w:rPr>
                <w:color w:val="000000"/>
                <w:sz w:val="14"/>
                <w:szCs w:val="14"/>
              </w:rPr>
            </w:pPr>
            <w:r w:rsidRPr="00C56EC9">
              <w:rPr>
                <w:color w:val="000000"/>
                <w:sz w:val="14"/>
                <w:szCs w:val="14"/>
              </w:rPr>
              <w:t>11.9%</w:t>
            </w:r>
          </w:p>
        </w:tc>
      </w:tr>
      <w:tr w:rsidR="004F4355" w:rsidRPr="00C56EC9" w14:paraId="79CB2836" w14:textId="77777777" w:rsidTr="00310A83">
        <w:trPr>
          <w:trHeight w:val="278"/>
        </w:trPr>
        <w:tc>
          <w:tcPr>
            <w:tcW w:w="345" w:type="pct"/>
            <w:vMerge/>
            <w:tcBorders>
              <w:top w:val="nil"/>
              <w:left w:val="single" w:sz="4" w:space="0" w:color="auto"/>
              <w:bottom w:val="single" w:sz="4" w:space="0" w:color="auto"/>
              <w:right w:val="single" w:sz="4" w:space="0" w:color="auto"/>
            </w:tcBorders>
            <w:vAlign w:val="center"/>
            <w:hideMark/>
          </w:tcPr>
          <w:p w14:paraId="343220F6" w14:textId="77777777" w:rsidR="000F53C9" w:rsidRPr="00C56EC9" w:rsidRDefault="000F53C9" w:rsidP="004F4355">
            <w:pPr>
              <w:pStyle w:val="Tablas"/>
              <w:rPr>
                <w:sz w:val="14"/>
                <w:szCs w:val="14"/>
              </w:rPr>
            </w:pPr>
          </w:p>
        </w:tc>
        <w:tc>
          <w:tcPr>
            <w:tcW w:w="715" w:type="pct"/>
            <w:tcBorders>
              <w:top w:val="nil"/>
              <w:left w:val="nil"/>
              <w:bottom w:val="single" w:sz="4" w:space="0" w:color="auto"/>
              <w:right w:val="single" w:sz="4" w:space="0" w:color="auto"/>
            </w:tcBorders>
            <w:shd w:val="clear" w:color="auto" w:fill="auto"/>
            <w:vAlign w:val="center"/>
            <w:hideMark/>
          </w:tcPr>
          <w:p w14:paraId="0227545D" w14:textId="77777777" w:rsidR="000F53C9" w:rsidRPr="00C56EC9" w:rsidRDefault="000F53C9" w:rsidP="004F4355">
            <w:pPr>
              <w:pStyle w:val="Tablas"/>
              <w:rPr>
                <w:sz w:val="14"/>
                <w:szCs w:val="14"/>
              </w:rPr>
            </w:pPr>
            <w:r w:rsidRPr="00C56EC9">
              <w:rPr>
                <w:sz w:val="14"/>
                <w:szCs w:val="14"/>
              </w:rPr>
              <w:t>R. Variable</w:t>
            </w:r>
          </w:p>
        </w:tc>
        <w:tc>
          <w:tcPr>
            <w:tcW w:w="438" w:type="pct"/>
            <w:tcBorders>
              <w:top w:val="nil"/>
              <w:left w:val="nil"/>
              <w:bottom w:val="single" w:sz="4" w:space="0" w:color="auto"/>
              <w:right w:val="single" w:sz="4" w:space="0" w:color="auto"/>
            </w:tcBorders>
            <w:shd w:val="clear" w:color="auto" w:fill="auto"/>
            <w:noWrap/>
            <w:vAlign w:val="bottom"/>
            <w:hideMark/>
          </w:tcPr>
          <w:p w14:paraId="39DC22D7" w14:textId="77777777" w:rsidR="000F53C9" w:rsidRPr="00C56EC9" w:rsidRDefault="000F53C9" w:rsidP="004F4355">
            <w:pPr>
              <w:pStyle w:val="Tablas"/>
              <w:rPr>
                <w:sz w:val="14"/>
                <w:szCs w:val="14"/>
              </w:rPr>
            </w:pPr>
            <w:r w:rsidRPr="00C56EC9">
              <w:rPr>
                <w:sz w:val="14"/>
                <w:szCs w:val="14"/>
              </w:rPr>
              <w:t>5.03%</w:t>
            </w:r>
          </w:p>
        </w:tc>
        <w:tc>
          <w:tcPr>
            <w:tcW w:w="438" w:type="pct"/>
            <w:tcBorders>
              <w:top w:val="nil"/>
              <w:left w:val="nil"/>
              <w:bottom w:val="single" w:sz="4" w:space="0" w:color="auto"/>
              <w:right w:val="single" w:sz="4" w:space="0" w:color="auto"/>
            </w:tcBorders>
            <w:shd w:val="clear" w:color="auto" w:fill="auto"/>
            <w:noWrap/>
            <w:vAlign w:val="bottom"/>
            <w:hideMark/>
          </w:tcPr>
          <w:p w14:paraId="4D316EA5" w14:textId="77777777" w:rsidR="000F53C9" w:rsidRPr="00C56EC9" w:rsidRDefault="000F53C9" w:rsidP="004F4355">
            <w:pPr>
              <w:pStyle w:val="Tablas"/>
              <w:rPr>
                <w:sz w:val="14"/>
                <w:szCs w:val="14"/>
              </w:rPr>
            </w:pPr>
            <w:r w:rsidRPr="00C56EC9">
              <w:rPr>
                <w:sz w:val="14"/>
                <w:szCs w:val="14"/>
              </w:rPr>
              <w:t>0.02%</w:t>
            </w:r>
          </w:p>
        </w:tc>
        <w:tc>
          <w:tcPr>
            <w:tcW w:w="438" w:type="pct"/>
            <w:tcBorders>
              <w:top w:val="nil"/>
              <w:left w:val="nil"/>
              <w:bottom w:val="single" w:sz="4" w:space="0" w:color="auto"/>
              <w:right w:val="single" w:sz="4" w:space="0" w:color="auto"/>
            </w:tcBorders>
            <w:shd w:val="clear" w:color="auto" w:fill="auto"/>
            <w:noWrap/>
            <w:vAlign w:val="bottom"/>
            <w:hideMark/>
          </w:tcPr>
          <w:p w14:paraId="7C6E86EE" w14:textId="77777777" w:rsidR="000F53C9" w:rsidRPr="00C56EC9" w:rsidRDefault="000F53C9" w:rsidP="004F4355">
            <w:pPr>
              <w:pStyle w:val="Tablas"/>
              <w:rPr>
                <w:sz w:val="14"/>
                <w:szCs w:val="14"/>
              </w:rPr>
            </w:pPr>
            <w:r w:rsidRPr="00C56EC9">
              <w:rPr>
                <w:sz w:val="14"/>
                <w:szCs w:val="14"/>
              </w:rPr>
              <w:t>6.70%</w:t>
            </w:r>
          </w:p>
        </w:tc>
        <w:tc>
          <w:tcPr>
            <w:tcW w:w="438" w:type="pct"/>
            <w:tcBorders>
              <w:top w:val="nil"/>
              <w:left w:val="nil"/>
              <w:bottom w:val="single" w:sz="4" w:space="0" w:color="auto"/>
              <w:right w:val="single" w:sz="4" w:space="0" w:color="auto"/>
            </w:tcBorders>
            <w:shd w:val="clear" w:color="auto" w:fill="auto"/>
            <w:noWrap/>
            <w:vAlign w:val="bottom"/>
            <w:hideMark/>
          </w:tcPr>
          <w:p w14:paraId="373B543E"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A1BAB0F" w14:textId="77777777" w:rsidR="000F53C9" w:rsidRPr="00C56EC9" w:rsidRDefault="000F53C9" w:rsidP="004F4355">
            <w:pPr>
              <w:pStyle w:val="Tablas"/>
              <w:rPr>
                <w:sz w:val="14"/>
                <w:szCs w:val="14"/>
              </w:rPr>
            </w:pPr>
            <w:r w:rsidRPr="00C56EC9">
              <w:rPr>
                <w:sz w:val="14"/>
                <w:szCs w:val="14"/>
              </w:rPr>
              <w:t>6.70%</w:t>
            </w:r>
          </w:p>
        </w:tc>
        <w:tc>
          <w:tcPr>
            <w:tcW w:w="438" w:type="pct"/>
            <w:tcBorders>
              <w:top w:val="nil"/>
              <w:left w:val="nil"/>
              <w:bottom w:val="single" w:sz="4" w:space="0" w:color="auto"/>
              <w:right w:val="single" w:sz="4" w:space="0" w:color="auto"/>
            </w:tcBorders>
            <w:shd w:val="clear" w:color="auto" w:fill="auto"/>
            <w:noWrap/>
            <w:vAlign w:val="bottom"/>
            <w:hideMark/>
          </w:tcPr>
          <w:p w14:paraId="127E44CE"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11224B1C" w14:textId="77777777" w:rsidR="000F53C9" w:rsidRPr="00C56EC9" w:rsidRDefault="000F53C9" w:rsidP="004F4355">
            <w:pPr>
              <w:pStyle w:val="Tablas"/>
              <w:rPr>
                <w:color w:val="000000"/>
                <w:sz w:val="14"/>
                <w:szCs w:val="14"/>
              </w:rPr>
            </w:pPr>
            <w:r w:rsidRPr="00C56EC9">
              <w:rPr>
                <w:color w:val="000000"/>
                <w:sz w:val="14"/>
                <w:szCs w:val="14"/>
              </w:rPr>
              <w:t>22.0%</w:t>
            </w:r>
          </w:p>
        </w:tc>
        <w:tc>
          <w:tcPr>
            <w:tcW w:w="438" w:type="pct"/>
            <w:tcBorders>
              <w:top w:val="nil"/>
              <w:left w:val="nil"/>
              <w:bottom w:val="single" w:sz="4" w:space="0" w:color="auto"/>
              <w:right w:val="single" w:sz="4" w:space="0" w:color="auto"/>
            </w:tcBorders>
            <w:shd w:val="clear" w:color="auto" w:fill="auto"/>
            <w:noWrap/>
            <w:vAlign w:val="bottom"/>
            <w:hideMark/>
          </w:tcPr>
          <w:p w14:paraId="6BA83475"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2EF14AB1" w14:textId="77777777" w:rsidR="000F53C9" w:rsidRPr="00C56EC9" w:rsidRDefault="000F53C9" w:rsidP="004F4355">
            <w:pPr>
              <w:pStyle w:val="Tablas"/>
              <w:rPr>
                <w:color w:val="000000"/>
                <w:sz w:val="14"/>
                <w:szCs w:val="14"/>
              </w:rPr>
            </w:pPr>
            <w:r w:rsidRPr="00C56EC9">
              <w:rPr>
                <w:color w:val="000000"/>
                <w:sz w:val="14"/>
                <w:szCs w:val="14"/>
              </w:rPr>
              <w:t>11.7%</w:t>
            </w:r>
          </w:p>
        </w:tc>
      </w:tr>
      <w:tr w:rsidR="004F4355" w:rsidRPr="00C56EC9" w14:paraId="7030E03A" w14:textId="77777777" w:rsidTr="00310A83">
        <w:trPr>
          <w:trHeight w:val="278"/>
        </w:trPr>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01D29D80" w14:textId="77777777" w:rsidR="000F53C9" w:rsidRPr="00C56EC9" w:rsidRDefault="000F53C9" w:rsidP="004F4355">
            <w:pPr>
              <w:pStyle w:val="Tablas"/>
              <w:rPr>
                <w:sz w:val="14"/>
                <w:szCs w:val="14"/>
              </w:rPr>
            </w:pPr>
            <w:r w:rsidRPr="00C56EC9">
              <w:rPr>
                <w:sz w:val="14"/>
                <w:szCs w:val="14"/>
              </w:rPr>
              <w:t>Financiero</w:t>
            </w:r>
          </w:p>
        </w:tc>
        <w:tc>
          <w:tcPr>
            <w:tcW w:w="715" w:type="pct"/>
            <w:tcBorders>
              <w:top w:val="nil"/>
              <w:left w:val="nil"/>
              <w:bottom w:val="single" w:sz="4" w:space="0" w:color="auto"/>
              <w:right w:val="single" w:sz="4" w:space="0" w:color="auto"/>
            </w:tcBorders>
            <w:shd w:val="clear" w:color="auto" w:fill="auto"/>
            <w:vAlign w:val="center"/>
            <w:hideMark/>
          </w:tcPr>
          <w:p w14:paraId="07F0F0F9" w14:textId="77777777" w:rsidR="000F53C9" w:rsidRPr="00C56EC9" w:rsidRDefault="000F53C9" w:rsidP="004F4355">
            <w:pPr>
              <w:pStyle w:val="Tablas"/>
              <w:rPr>
                <w:sz w:val="14"/>
                <w:szCs w:val="14"/>
              </w:rPr>
            </w:pPr>
            <w:r w:rsidRPr="00C56EC9">
              <w:rPr>
                <w:sz w:val="14"/>
                <w:szCs w:val="14"/>
              </w:rPr>
              <w:t>R. Fija</w:t>
            </w:r>
          </w:p>
        </w:tc>
        <w:tc>
          <w:tcPr>
            <w:tcW w:w="438" w:type="pct"/>
            <w:tcBorders>
              <w:top w:val="nil"/>
              <w:left w:val="nil"/>
              <w:bottom w:val="single" w:sz="4" w:space="0" w:color="auto"/>
              <w:right w:val="single" w:sz="4" w:space="0" w:color="auto"/>
            </w:tcBorders>
            <w:shd w:val="clear" w:color="auto" w:fill="auto"/>
            <w:noWrap/>
            <w:vAlign w:val="bottom"/>
            <w:hideMark/>
          </w:tcPr>
          <w:p w14:paraId="41594026" w14:textId="77777777" w:rsidR="000F53C9" w:rsidRPr="00C56EC9" w:rsidRDefault="000F53C9" w:rsidP="004F4355">
            <w:pPr>
              <w:pStyle w:val="Tablas"/>
              <w:rPr>
                <w:sz w:val="14"/>
                <w:szCs w:val="14"/>
              </w:rPr>
            </w:pPr>
            <w:r w:rsidRPr="00C56EC9">
              <w:rPr>
                <w:sz w:val="14"/>
                <w:szCs w:val="14"/>
              </w:rPr>
              <w:t>4.77%</w:t>
            </w:r>
          </w:p>
        </w:tc>
        <w:tc>
          <w:tcPr>
            <w:tcW w:w="438" w:type="pct"/>
            <w:tcBorders>
              <w:top w:val="nil"/>
              <w:left w:val="nil"/>
              <w:bottom w:val="single" w:sz="4" w:space="0" w:color="auto"/>
              <w:right w:val="single" w:sz="4" w:space="0" w:color="auto"/>
            </w:tcBorders>
            <w:shd w:val="clear" w:color="auto" w:fill="auto"/>
            <w:noWrap/>
            <w:vAlign w:val="bottom"/>
            <w:hideMark/>
          </w:tcPr>
          <w:p w14:paraId="17FECB6A" w14:textId="77777777" w:rsidR="000F53C9" w:rsidRPr="00C56EC9" w:rsidRDefault="000F53C9" w:rsidP="004F4355">
            <w:pPr>
              <w:pStyle w:val="Tablas"/>
              <w:rPr>
                <w:sz w:val="14"/>
                <w:szCs w:val="14"/>
              </w:rPr>
            </w:pPr>
            <w:r w:rsidRPr="00C56EC9">
              <w:rPr>
                <w:sz w:val="14"/>
                <w:szCs w:val="14"/>
              </w:rPr>
              <w:t>5.59%</w:t>
            </w:r>
          </w:p>
        </w:tc>
        <w:tc>
          <w:tcPr>
            <w:tcW w:w="438" w:type="pct"/>
            <w:tcBorders>
              <w:top w:val="nil"/>
              <w:left w:val="nil"/>
              <w:bottom w:val="single" w:sz="4" w:space="0" w:color="auto"/>
              <w:right w:val="single" w:sz="4" w:space="0" w:color="auto"/>
            </w:tcBorders>
            <w:shd w:val="clear" w:color="auto" w:fill="auto"/>
            <w:noWrap/>
            <w:vAlign w:val="bottom"/>
            <w:hideMark/>
          </w:tcPr>
          <w:p w14:paraId="24CE4EFE" w14:textId="77777777" w:rsidR="000F53C9" w:rsidRPr="00C56EC9" w:rsidRDefault="000F53C9" w:rsidP="004F4355">
            <w:pPr>
              <w:pStyle w:val="Tablas"/>
              <w:rPr>
                <w:sz w:val="14"/>
                <w:szCs w:val="14"/>
              </w:rPr>
            </w:pPr>
            <w:r w:rsidRPr="00C56EC9">
              <w:rPr>
                <w:sz w:val="14"/>
                <w:szCs w:val="14"/>
              </w:rPr>
              <w:t>17.8%</w:t>
            </w:r>
          </w:p>
        </w:tc>
        <w:tc>
          <w:tcPr>
            <w:tcW w:w="438" w:type="pct"/>
            <w:tcBorders>
              <w:top w:val="nil"/>
              <w:left w:val="nil"/>
              <w:bottom w:val="single" w:sz="4" w:space="0" w:color="auto"/>
              <w:right w:val="single" w:sz="4" w:space="0" w:color="auto"/>
            </w:tcBorders>
            <w:shd w:val="clear" w:color="auto" w:fill="auto"/>
            <w:noWrap/>
            <w:vAlign w:val="bottom"/>
            <w:hideMark/>
          </w:tcPr>
          <w:p w14:paraId="19B92391" w14:textId="77777777" w:rsidR="000F53C9" w:rsidRPr="00C56EC9" w:rsidRDefault="000F53C9" w:rsidP="004F4355">
            <w:pPr>
              <w:pStyle w:val="Tablas"/>
              <w:rPr>
                <w:sz w:val="14"/>
                <w:szCs w:val="14"/>
              </w:rPr>
            </w:pPr>
            <w:r w:rsidRPr="00C56EC9">
              <w:rPr>
                <w:sz w:val="14"/>
                <w:szCs w:val="14"/>
              </w:rPr>
              <w:t>4.30%</w:t>
            </w:r>
          </w:p>
        </w:tc>
        <w:tc>
          <w:tcPr>
            <w:tcW w:w="438" w:type="pct"/>
            <w:tcBorders>
              <w:top w:val="nil"/>
              <w:left w:val="nil"/>
              <w:bottom w:val="single" w:sz="4" w:space="0" w:color="auto"/>
              <w:right w:val="single" w:sz="4" w:space="0" w:color="auto"/>
            </w:tcBorders>
            <w:shd w:val="clear" w:color="auto" w:fill="auto"/>
            <w:noWrap/>
            <w:vAlign w:val="bottom"/>
            <w:hideMark/>
          </w:tcPr>
          <w:p w14:paraId="6E963B7A" w14:textId="77777777" w:rsidR="000F53C9" w:rsidRPr="00C56EC9" w:rsidRDefault="000F53C9" w:rsidP="004F4355">
            <w:pPr>
              <w:pStyle w:val="Tablas"/>
              <w:rPr>
                <w:sz w:val="14"/>
                <w:szCs w:val="14"/>
              </w:rPr>
            </w:pPr>
            <w:r w:rsidRPr="00C56EC9">
              <w:rPr>
                <w:sz w:val="14"/>
                <w:szCs w:val="14"/>
              </w:rPr>
              <w:t>3.20%</w:t>
            </w:r>
          </w:p>
        </w:tc>
        <w:tc>
          <w:tcPr>
            <w:tcW w:w="438" w:type="pct"/>
            <w:tcBorders>
              <w:top w:val="nil"/>
              <w:left w:val="nil"/>
              <w:bottom w:val="single" w:sz="4" w:space="0" w:color="auto"/>
              <w:right w:val="single" w:sz="4" w:space="0" w:color="auto"/>
            </w:tcBorders>
            <w:shd w:val="clear" w:color="auto" w:fill="auto"/>
            <w:noWrap/>
            <w:vAlign w:val="bottom"/>
            <w:hideMark/>
          </w:tcPr>
          <w:p w14:paraId="1474B44E" w14:textId="77777777" w:rsidR="000F53C9" w:rsidRPr="00C56EC9" w:rsidRDefault="000F53C9" w:rsidP="004F4355">
            <w:pPr>
              <w:pStyle w:val="Tablas"/>
              <w:rPr>
                <w:sz w:val="14"/>
                <w:szCs w:val="14"/>
              </w:rPr>
            </w:pPr>
            <w:r w:rsidRPr="00C56EC9">
              <w:rPr>
                <w:sz w:val="14"/>
                <w:szCs w:val="14"/>
              </w:rPr>
              <w:t>55.7%</w:t>
            </w:r>
          </w:p>
        </w:tc>
        <w:tc>
          <w:tcPr>
            <w:tcW w:w="438" w:type="pct"/>
            <w:tcBorders>
              <w:top w:val="nil"/>
              <w:left w:val="nil"/>
              <w:bottom w:val="single" w:sz="4" w:space="0" w:color="auto"/>
              <w:right w:val="single" w:sz="4" w:space="0" w:color="auto"/>
            </w:tcBorders>
            <w:shd w:val="clear" w:color="auto" w:fill="auto"/>
            <w:noWrap/>
            <w:vAlign w:val="bottom"/>
            <w:hideMark/>
          </w:tcPr>
          <w:p w14:paraId="5C35C6E9" w14:textId="77777777" w:rsidR="000F53C9" w:rsidRPr="00C56EC9" w:rsidRDefault="000F53C9" w:rsidP="004F4355">
            <w:pPr>
              <w:pStyle w:val="Tablas"/>
              <w:rPr>
                <w:color w:val="000000"/>
                <w:sz w:val="14"/>
                <w:szCs w:val="14"/>
              </w:rPr>
            </w:pPr>
            <w:r w:rsidRPr="00C56EC9">
              <w:rPr>
                <w:color w:val="000000"/>
                <w:sz w:val="14"/>
                <w:szCs w:val="14"/>
              </w:rPr>
              <w:t>9.72%</w:t>
            </w:r>
          </w:p>
        </w:tc>
        <w:tc>
          <w:tcPr>
            <w:tcW w:w="438" w:type="pct"/>
            <w:tcBorders>
              <w:top w:val="nil"/>
              <w:left w:val="nil"/>
              <w:bottom w:val="single" w:sz="4" w:space="0" w:color="auto"/>
              <w:right w:val="single" w:sz="4" w:space="0" w:color="auto"/>
            </w:tcBorders>
            <w:shd w:val="clear" w:color="auto" w:fill="auto"/>
            <w:noWrap/>
            <w:vAlign w:val="bottom"/>
            <w:hideMark/>
          </w:tcPr>
          <w:p w14:paraId="161CC9CA" w14:textId="77777777" w:rsidR="000F53C9" w:rsidRPr="00C56EC9" w:rsidRDefault="000F53C9" w:rsidP="004F4355">
            <w:pPr>
              <w:pStyle w:val="Tablas"/>
              <w:rPr>
                <w:color w:val="000000"/>
                <w:sz w:val="14"/>
                <w:szCs w:val="14"/>
              </w:rPr>
            </w:pPr>
            <w:r w:rsidRPr="00C56EC9">
              <w:rPr>
                <w:color w:val="000000"/>
                <w:sz w:val="14"/>
                <w:szCs w:val="14"/>
              </w:rPr>
              <w:t>9.88%</w:t>
            </w:r>
          </w:p>
        </w:tc>
        <w:tc>
          <w:tcPr>
            <w:tcW w:w="438" w:type="pct"/>
            <w:tcBorders>
              <w:top w:val="nil"/>
              <w:left w:val="nil"/>
              <w:bottom w:val="single" w:sz="4" w:space="0" w:color="auto"/>
              <w:right w:val="single" w:sz="4" w:space="0" w:color="auto"/>
            </w:tcBorders>
            <w:shd w:val="clear" w:color="auto" w:fill="auto"/>
            <w:noWrap/>
            <w:vAlign w:val="bottom"/>
            <w:hideMark/>
          </w:tcPr>
          <w:p w14:paraId="6976087F" w14:textId="77777777" w:rsidR="000F53C9" w:rsidRPr="00C56EC9" w:rsidRDefault="000F53C9" w:rsidP="004F4355">
            <w:pPr>
              <w:pStyle w:val="Tablas"/>
              <w:rPr>
                <w:color w:val="000000"/>
                <w:sz w:val="14"/>
                <w:szCs w:val="14"/>
              </w:rPr>
            </w:pPr>
            <w:r w:rsidRPr="00C56EC9">
              <w:rPr>
                <w:color w:val="000000"/>
                <w:sz w:val="14"/>
                <w:szCs w:val="14"/>
              </w:rPr>
              <w:t>6.06%</w:t>
            </w:r>
          </w:p>
        </w:tc>
      </w:tr>
      <w:tr w:rsidR="004F4355" w:rsidRPr="00C56EC9" w14:paraId="6374E9B3" w14:textId="77777777" w:rsidTr="00310A83">
        <w:trPr>
          <w:trHeight w:val="278"/>
        </w:trPr>
        <w:tc>
          <w:tcPr>
            <w:tcW w:w="345" w:type="pct"/>
            <w:vMerge/>
            <w:tcBorders>
              <w:top w:val="nil"/>
              <w:left w:val="single" w:sz="4" w:space="0" w:color="auto"/>
              <w:bottom w:val="single" w:sz="4" w:space="0" w:color="auto"/>
              <w:right w:val="single" w:sz="4" w:space="0" w:color="auto"/>
            </w:tcBorders>
            <w:vAlign w:val="center"/>
            <w:hideMark/>
          </w:tcPr>
          <w:p w14:paraId="1E170716" w14:textId="77777777" w:rsidR="000F53C9" w:rsidRPr="00C56EC9" w:rsidRDefault="000F53C9" w:rsidP="004F4355">
            <w:pPr>
              <w:pStyle w:val="Tablas"/>
              <w:rPr>
                <w:sz w:val="14"/>
                <w:szCs w:val="14"/>
              </w:rPr>
            </w:pPr>
          </w:p>
        </w:tc>
        <w:tc>
          <w:tcPr>
            <w:tcW w:w="715" w:type="pct"/>
            <w:tcBorders>
              <w:top w:val="nil"/>
              <w:left w:val="nil"/>
              <w:bottom w:val="single" w:sz="4" w:space="0" w:color="auto"/>
              <w:right w:val="single" w:sz="4" w:space="0" w:color="auto"/>
            </w:tcBorders>
            <w:shd w:val="clear" w:color="auto" w:fill="auto"/>
            <w:vAlign w:val="center"/>
            <w:hideMark/>
          </w:tcPr>
          <w:p w14:paraId="74778DC3" w14:textId="77777777" w:rsidR="000F53C9" w:rsidRPr="00C56EC9" w:rsidRDefault="000F53C9" w:rsidP="004F4355">
            <w:pPr>
              <w:pStyle w:val="Tablas"/>
              <w:rPr>
                <w:sz w:val="14"/>
                <w:szCs w:val="14"/>
              </w:rPr>
            </w:pPr>
            <w:r w:rsidRPr="00C56EC9">
              <w:rPr>
                <w:sz w:val="14"/>
                <w:szCs w:val="14"/>
              </w:rPr>
              <w:t>R. Variable</w:t>
            </w:r>
          </w:p>
        </w:tc>
        <w:tc>
          <w:tcPr>
            <w:tcW w:w="438" w:type="pct"/>
            <w:tcBorders>
              <w:top w:val="nil"/>
              <w:left w:val="nil"/>
              <w:bottom w:val="single" w:sz="4" w:space="0" w:color="auto"/>
              <w:right w:val="single" w:sz="4" w:space="0" w:color="auto"/>
            </w:tcBorders>
            <w:shd w:val="clear" w:color="auto" w:fill="auto"/>
            <w:noWrap/>
            <w:vAlign w:val="bottom"/>
            <w:hideMark/>
          </w:tcPr>
          <w:p w14:paraId="29866994" w14:textId="77777777" w:rsidR="000F53C9" w:rsidRPr="00C56EC9" w:rsidRDefault="000F53C9" w:rsidP="004F4355">
            <w:pPr>
              <w:pStyle w:val="Tablas"/>
              <w:rPr>
                <w:sz w:val="14"/>
                <w:szCs w:val="14"/>
              </w:rPr>
            </w:pPr>
            <w:r w:rsidRPr="00C56EC9">
              <w:rPr>
                <w:sz w:val="14"/>
                <w:szCs w:val="14"/>
              </w:rPr>
              <w:t>6.84%</w:t>
            </w:r>
          </w:p>
        </w:tc>
        <w:tc>
          <w:tcPr>
            <w:tcW w:w="438" w:type="pct"/>
            <w:tcBorders>
              <w:top w:val="nil"/>
              <w:left w:val="nil"/>
              <w:bottom w:val="single" w:sz="4" w:space="0" w:color="auto"/>
              <w:right w:val="single" w:sz="4" w:space="0" w:color="auto"/>
            </w:tcBorders>
            <w:shd w:val="clear" w:color="auto" w:fill="auto"/>
            <w:noWrap/>
            <w:vAlign w:val="bottom"/>
            <w:hideMark/>
          </w:tcPr>
          <w:p w14:paraId="248D106F" w14:textId="77777777" w:rsidR="000F53C9" w:rsidRPr="00C56EC9" w:rsidRDefault="000F53C9" w:rsidP="004F4355">
            <w:pPr>
              <w:pStyle w:val="Tablas"/>
              <w:rPr>
                <w:sz w:val="14"/>
                <w:szCs w:val="14"/>
              </w:rPr>
            </w:pPr>
            <w:r w:rsidRPr="00C56EC9">
              <w:rPr>
                <w:sz w:val="14"/>
                <w:szCs w:val="14"/>
              </w:rPr>
              <w:t>2.08%</w:t>
            </w:r>
          </w:p>
        </w:tc>
        <w:tc>
          <w:tcPr>
            <w:tcW w:w="438" w:type="pct"/>
            <w:tcBorders>
              <w:top w:val="nil"/>
              <w:left w:val="nil"/>
              <w:bottom w:val="single" w:sz="4" w:space="0" w:color="auto"/>
              <w:right w:val="single" w:sz="4" w:space="0" w:color="auto"/>
            </w:tcBorders>
            <w:shd w:val="clear" w:color="auto" w:fill="auto"/>
            <w:noWrap/>
            <w:vAlign w:val="bottom"/>
            <w:hideMark/>
          </w:tcPr>
          <w:p w14:paraId="52BC389B" w14:textId="77777777" w:rsidR="000F53C9" w:rsidRPr="00C56EC9" w:rsidRDefault="000F53C9" w:rsidP="004F4355">
            <w:pPr>
              <w:pStyle w:val="Tablas"/>
              <w:rPr>
                <w:sz w:val="14"/>
                <w:szCs w:val="14"/>
              </w:rPr>
            </w:pPr>
            <w:r w:rsidRPr="00C56EC9">
              <w:rPr>
                <w:sz w:val="14"/>
                <w:szCs w:val="14"/>
              </w:rPr>
              <w:t>1.70%</w:t>
            </w:r>
          </w:p>
        </w:tc>
        <w:tc>
          <w:tcPr>
            <w:tcW w:w="438" w:type="pct"/>
            <w:tcBorders>
              <w:top w:val="nil"/>
              <w:left w:val="nil"/>
              <w:bottom w:val="single" w:sz="4" w:space="0" w:color="auto"/>
              <w:right w:val="single" w:sz="4" w:space="0" w:color="auto"/>
            </w:tcBorders>
            <w:shd w:val="clear" w:color="auto" w:fill="auto"/>
            <w:noWrap/>
            <w:vAlign w:val="bottom"/>
            <w:hideMark/>
          </w:tcPr>
          <w:p w14:paraId="19D47AB0"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07736664"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12BC37F"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36F7CFAE" w14:textId="77777777" w:rsidR="000F53C9" w:rsidRPr="00C56EC9" w:rsidRDefault="000F53C9" w:rsidP="004F4355">
            <w:pPr>
              <w:pStyle w:val="Tablas"/>
              <w:rPr>
                <w:color w:val="000000"/>
                <w:sz w:val="14"/>
                <w:szCs w:val="14"/>
              </w:rPr>
            </w:pPr>
            <w:r w:rsidRPr="00C56EC9">
              <w:rPr>
                <w:color w:val="000000"/>
                <w:sz w:val="14"/>
                <w:szCs w:val="14"/>
              </w:rPr>
              <w:t>4.41%</w:t>
            </w:r>
          </w:p>
        </w:tc>
        <w:tc>
          <w:tcPr>
            <w:tcW w:w="438" w:type="pct"/>
            <w:tcBorders>
              <w:top w:val="nil"/>
              <w:left w:val="nil"/>
              <w:bottom w:val="single" w:sz="4" w:space="0" w:color="auto"/>
              <w:right w:val="single" w:sz="4" w:space="0" w:color="auto"/>
            </w:tcBorders>
            <w:shd w:val="clear" w:color="auto" w:fill="auto"/>
            <w:noWrap/>
            <w:vAlign w:val="bottom"/>
            <w:hideMark/>
          </w:tcPr>
          <w:p w14:paraId="5BE71974"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4BC86FC6" w14:textId="77777777" w:rsidR="000F53C9" w:rsidRPr="00C56EC9" w:rsidRDefault="000F53C9" w:rsidP="004F4355">
            <w:pPr>
              <w:pStyle w:val="Tablas"/>
              <w:rPr>
                <w:color w:val="000000"/>
                <w:sz w:val="14"/>
                <w:szCs w:val="14"/>
              </w:rPr>
            </w:pPr>
            <w:r w:rsidRPr="00C56EC9">
              <w:rPr>
                <w:color w:val="000000"/>
                <w:sz w:val="14"/>
                <w:szCs w:val="14"/>
              </w:rPr>
              <w:t>0.00%</w:t>
            </w:r>
          </w:p>
        </w:tc>
      </w:tr>
      <w:tr w:rsidR="004F4355" w:rsidRPr="00C56EC9" w14:paraId="7CF2C78B" w14:textId="77777777" w:rsidTr="00310A83">
        <w:trPr>
          <w:trHeight w:val="278"/>
        </w:trPr>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17367203" w14:textId="77777777" w:rsidR="000F53C9" w:rsidRPr="00C56EC9" w:rsidRDefault="000F53C9" w:rsidP="004F4355">
            <w:pPr>
              <w:pStyle w:val="Tablas"/>
              <w:rPr>
                <w:sz w:val="14"/>
                <w:szCs w:val="14"/>
              </w:rPr>
            </w:pPr>
            <w:r w:rsidRPr="00C56EC9">
              <w:rPr>
                <w:sz w:val="14"/>
                <w:szCs w:val="14"/>
              </w:rPr>
              <w:t>Extranjero</w:t>
            </w:r>
          </w:p>
        </w:tc>
        <w:tc>
          <w:tcPr>
            <w:tcW w:w="715" w:type="pct"/>
            <w:tcBorders>
              <w:top w:val="nil"/>
              <w:left w:val="nil"/>
              <w:bottom w:val="single" w:sz="4" w:space="0" w:color="auto"/>
              <w:right w:val="single" w:sz="4" w:space="0" w:color="auto"/>
            </w:tcBorders>
            <w:shd w:val="clear" w:color="auto" w:fill="auto"/>
            <w:vAlign w:val="center"/>
            <w:hideMark/>
          </w:tcPr>
          <w:p w14:paraId="1EC0ABD8" w14:textId="77777777" w:rsidR="000F53C9" w:rsidRPr="00C56EC9" w:rsidRDefault="000F53C9" w:rsidP="004F4355">
            <w:pPr>
              <w:pStyle w:val="Tablas"/>
              <w:rPr>
                <w:sz w:val="14"/>
                <w:szCs w:val="14"/>
              </w:rPr>
            </w:pPr>
            <w:r w:rsidRPr="00C56EC9">
              <w:rPr>
                <w:sz w:val="14"/>
                <w:szCs w:val="14"/>
              </w:rPr>
              <w:t>R. Fija</w:t>
            </w:r>
          </w:p>
        </w:tc>
        <w:tc>
          <w:tcPr>
            <w:tcW w:w="438" w:type="pct"/>
            <w:tcBorders>
              <w:top w:val="nil"/>
              <w:left w:val="nil"/>
              <w:bottom w:val="single" w:sz="4" w:space="0" w:color="auto"/>
              <w:right w:val="single" w:sz="4" w:space="0" w:color="auto"/>
            </w:tcBorders>
            <w:shd w:val="clear" w:color="auto" w:fill="auto"/>
            <w:noWrap/>
            <w:vAlign w:val="bottom"/>
            <w:hideMark/>
          </w:tcPr>
          <w:p w14:paraId="608D2D45" w14:textId="77777777" w:rsidR="000F53C9" w:rsidRPr="00C56EC9" w:rsidRDefault="000F53C9" w:rsidP="004F4355">
            <w:pPr>
              <w:pStyle w:val="Tablas"/>
              <w:rPr>
                <w:sz w:val="14"/>
                <w:szCs w:val="14"/>
              </w:rPr>
            </w:pPr>
            <w:r w:rsidRPr="00C56EC9">
              <w:rPr>
                <w:sz w:val="14"/>
                <w:szCs w:val="14"/>
              </w:rPr>
              <w:t>4.44%</w:t>
            </w:r>
          </w:p>
        </w:tc>
        <w:tc>
          <w:tcPr>
            <w:tcW w:w="438" w:type="pct"/>
            <w:tcBorders>
              <w:top w:val="nil"/>
              <w:left w:val="nil"/>
              <w:bottom w:val="single" w:sz="4" w:space="0" w:color="auto"/>
              <w:right w:val="single" w:sz="4" w:space="0" w:color="auto"/>
            </w:tcBorders>
            <w:shd w:val="clear" w:color="auto" w:fill="auto"/>
            <w:noWrap/>
            <w:vAlign w:val="bottom"/>
            <w:hideMark/>
          </w:tcPr>
          <w:p w14:paraId="230EABED" w14:textId="77777777" w:rsidR="000F53C9" w:rsidRPr="00C56EC9" w:rsidRDefault="000F53C9" w:rsidP="004F4355">
            <w:pPr>
              <w:pStyle w:val="Tablas"/>
              <w:rPr>
                <w:sz w:val="14"/>
                <w:szCs w:val="14"/>
              </w:rPr>
            </w:pPr>
            <w:r w:rsidRPr="00C56EC9">
              <w:rPr>
                <w:sz w:val="14"/>
                <w:szCs w:val="14"/>
              </w:rPr>
              <w:t>0.52%</w:t>
            </w:r>
          </w:p>
        </w:tc>
        <w:tc>
          <w:tcPr>
            <w:tcW w:w="438" w:type="pct"/>
            <w:tcBorders>
              <w:top w:val="nil"/>
              <w:left w:val="nil"/>
              <w:bottom w:val="single" w:sz="4" w:space="0" w:color="auto"/>
              <w:right w:val="single" w:sz="4" w:space="0" w:color="auto"/>
            </w:tcBorders>
            <w:shd w:val="clear" w:color="auto" w:fill="auto"/>
            <w:noWrap/>
            <w:vAlign w:val="bottom"/>
            <w:hideMark/>
          </w:tcPr>
          <w:p w14:paraId="04E6603E" w14:textId="77777777" w:rsidR="000F53C9" w:rsidRPr="00C56EC9" w:rsidRDefault="000F53C9" w:rsidP="004F4355">
            <w:pPr>
              <w:pStyle w:val="Tablas"/>
              <w:rPr>
                <w:sz w:val="14"/>
                <w:szCs w:val="14"/>
              </w:rPr>
            </w:pPr>
            <w:r w:rsidRPr="00C56EC9">
              <w:rPr>
                <w:sz w:val="14"/>
                <w:szCs w:val="14"/>
              </w:rPr>
              <w:t>13.7%</w:t>
            </w:r>
          </w:p>
        </w:tc>
        <w:tc>
          <w:tcPr>
            <w:tcW w:w="438" w:type="pct"/>
            <w:tcBorders>
              <w:top w:val="nil"/>
              <w:left w:val="nil"/>
              <w:bottom w:val="single" w:sz="4" w:space="0" w:color="auto"/>
              <w:right w:val="single" w:sz="4" w:space="0" w:color="auto"/>
            </w:tcBorders>
            <w:shd w:val="clear" w:color="auto" w:fill="auto"/>
            <w:noWrap/>
            <w:vAlign w:val="bottom"/>
            <w:hideMark/>
          </w:tcPr>
          <w:p w14:paraId="1506E665" w14:textId="77777777" w:rsidR="000F53C9" w:rsidRPr="00C56EC9" w:rsidRDefault="000F53C9" w:rsidP="004F4355">
            <w:pPr>
              <w:pStyle w:val="Tablas"/>
              <w:rPr>
                <w:sz w:val="14"/>
                <w:szCs w:val="14"/>
              </w:rPr>
            </w:pPr>
            <w:r w:rsidRPr="00C56EC9">
              <w:rPr>
                <w:sz w:val="14"/>
                <w:szCs w:val="14"/>
              </w:rPr>
              <w:t>0.50%</w:t>
            </w:r>
          </w:p>
        </w:tc>
        <w:tc>
          <w:tcPr>
            <w:tcW w:w="438" w:type="pct"/>
            <w:tcBorders>
              <w:top w:val="nil"/>
              <w:left w:val="nil"/>
              <w:bottom w:val="single" w:sz="4" w:space="0" w:color="auto"/>
              <w:right w:val="single" w:sz="4" w:space="0" w:color="auto"/>
            </w:tcBorders>
            <w:shd w:val="clear" w:color="auto" w:fill="auto"/>
            <w:noWrap/>
            <w:vAlign w:val="bottom"/>
            <w:hideMark/>
          </w:tcPr>
          <w:p w14:paraId="44C16930" w14:textId="77777777" w:rsidR="000F53C9" w:rsidRPr="00C56EC9" w:rsidRDefault="000F53C9" w:rsidP="004F4355">
            <w:pPr>
              <w:pStyle w:val="Tablas"/>
              <w:rPr>
                <w:sz w:val="14"/>
                <w:szCs w:val="14"/>
              </w:rPr>
            </w:pPr>
            <w:r w:rsidRPr="00C56EC9">
              <w:rPr>
                <w:sz w:val="14"/>
                <w:szCs w:val="14"/>
              </w:rPr>
              <w:t>0.90%</w:t>
            </w:r>
          </w:p>
        </w:tc>
        <w:tc>
          <w:tcPr>
            <w:tcW w:w="438" w:type="pct"/>
            <w:tcBorders>
              <w:top w:val="nil"/>
              <w:left w:val="nil"/>
              <w:bottom w:val="single" w:sz="4" w:space="0" w:color="auto"/>
              <w:right w:val="single" w:sz="4" w:space="0" w:color="auto"/>
            </w:tcBorders>
            <w:shd w:val="clear" w:color="auto" w:fill="auto"/>
            <w:noWrap/>
            <w:vAlign w:val="bottom"/>
            <w:hideMark/>
          </w:tcPr>
          <w:p w14:paraId="4AED2EA1" w14:textId="77777777" w:rsidR="000F53C9" w:rsidRPr="00C56EC9" w:rsidRDefault="000F53C9" w:rsidP="004F4355">
            <w:pPr>
              <w:pStyle w:val="Tablas"/>
              <w:rPr>
                <w:sz w:val="14"/>
                <w:szCs w:val="14"/>
              </w:rPr>
            </w:pPr>
            <w:r w:rsidRPr="00C56EC9">
              <w:rPr>
                <w:sz w:val="14"/>
                <w:szCs w:val="14"/>
              </w:rPr>
              <w:t>1.51%</w:t>
            </w:r>
          </w:p>
        </w:tc>
        <w:tc>
          <w:tcPr>
            <w:tcW w:w="438" w:type="pct"/>
            <w:tcBorders>
              <w:top w:val="nil"/>
              <w:left w:val="nil"/>
              <w:bottom w:val="single" w:sz="4" w:space="0" w:color="auto"/>
              <w:right w:val="single" w:sz="4" w:space="0" w:color="auto"/>
            </w:tcBorders>
            <w:shd w:val="clear" w:color="auto" w:fill="auto"/>
            <w:noWrap/>
            <w:vAlign w:val="bottom"/>
            <w:hideMark/>
          </w:tcPr>
          <w:p w14:paraId="0822A850" w14:textId="77777777" w:rsidR="000F53C9" w:rsidRPr="00C56EC9" w:rsidRDefault="000F53C9" w:rsidP="004F4355">
            <w:pPr>
              <w:pStyle w:val="Tablas"/>
              <w:rPr>
                <w:color w:val="000000"/>
                <w:sz w:val="14"/>
                <w:szCs w:val="14"/>
              </w:rPr>
            </w:pPr>
            <w:r w:rsidRPr="00C56EC9">
              <w:rPr>
                <w:color w:val="000000"/>
                <w:sz w:val="14"/>
                <w:szCs w:val="14"/>
              </w:rPr>
              <w:t>5.76%</w:t>
            </w:r>
          </w:p>
        </w:tc>
        <w:tc>
          <w:tcPr>
            <w:tcW w:w="438" w:type="pct"/>
            <w:tcBorders>
              <w:top w:val="nil"/>
              <w:left w:val="nil"/>
              <w:bottom w:val="single" w:sz="4" w:space="0" w:color="auto"/>
              <w:right w:val="single" w:sz="4" w:space="0" w:color="auto"/>
            </w:tcBorders>
            <w:shd w:val="clear" w:color="auto" w:fill="auto"/>
            <w:noWrap/>
            <w:vAlign w:val="bottom"/>
            <w:hideMark/>
          </w:tcPr>
          <w:p w14:paraId="349FC607"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07CC086" w14:textId="77777777" w:rsidR="000F53C9" w:rsidRPr="00C56EC9" w:rsidRDefault="000F53C9" w:rsidP="004F4355">
            <w:pPr>
              <w:pStyle w:val="Tablas"/>
              <w:rPr>
                <w:color w:val="000000"/>
                <w:sz w:val="14"/>
                <w:szCs w:val="14"/>
              </w:rPr>
            </w:pPr>
            <w:r w:rsidRPr="00C56EC9">
              <w:rPr>
                <w:color w:val="000000"/>
                <w:sz w:val="14"/>
                <w:szCs w:val="14"/>
              </w:rPr>
              <w:t>14.2%</w:t>
            </w:r>
          </w:p>
        </w:tc>
      </w:tr>
      <w:tr w:rsidR="004F4355" w:rsidRPr="00C56EC9" w14:paraId="0D04EBE7" w14:textId="77777777" w:rsidTr="00310A83">
        <w:trPr>
          <w:trHeight w:val="278"/>
        </w:trPr>
        <w:tc>
          <w:tcPr>
            <w:tcW w:w="345" w:type="pct"/>
            <w:vMerge/>
            <w:tcBorders>
              <w:top w:val="nil"/>
              <w:left w:val="single" w:sz="4" w:space="0" w:color="auto"/>
              <w:bottom w:val="single" w:sz="4" w:space="0" w:color="auto"/>
              <w:right w:val="single" w:sz="4" w:space="0" w:color="auto"/>
            </w:tcBorders>
            <w:vAlign w:val="center"/>
            <w:hideMark/>
          </w:tcPr>
          <w:p w14:paraId="08DE0ADF" w14:textId="77777777" w:rsidR="000F53C9" w:rsidRPr="00C56EC9" w:rsidRDefault="000F53C9" w:rsidP="004F4355">
            <w:pPr>
              <w:pStyle w:val="Tablas"/>
              <w:rPr>
                <w:sz w:val="14"/>
                <w:szCs w:val="14"/>
              </w:rPr>
            </w:pPr>
          </w:p>
        </w:tc>
        <w:tc>
          <w:tcPr>
            <w:tcW w:w="715" w:type="pct"/>
            <w:tcBorders>
              <w:top w:val="nil"/>
              <w:left w:val="nil"/>
              <w:bottom w:val="single" w:sz="4" w:space="0" w:color="auto"/>
              <w:right w:val="single" w:sz="4" w:space="0" w:color="auto"/>
            </w:tcBorders>
            <w:shd w:val="clear" w:color="auto" w:fill="auto"/>
            <w:vAlign w:val="center"/>
            <w:hideMark/>
          </w:tcPr>
          <w:p w14:paraId="4953CBBA" w14:textId="77777777" w:rsidR="000F53C9" w:rsidRPr="00C56EC9" w:rsidRDefault="000F53C9" w:rsidP="004F4355">
            <w:pPr>
              <w:pStyle w:val="Tablas"/>
              <w:rPr>
                <w:sz w:val="14"/>
                <w:szCs w:val="14"/>
              </w:rPr>
            </w:pPr>
            <w:r w:rsidRPr="00C56EC9">
              <w:rPr>
                <w:sz w:val="14"/>
                <w:szCs w:val="14"/>
              </w:rPr>
              <w:t>R. Variable</w:t>
            </w:r>
          </w:p>
        </w:tc>
        <w:tc>
          <w:tcPr>
            <w:tcW w:w="438" w:type="pct"/>
            <w:tcBorders>
              <w:top w:val="nil"/>
              <w:left w:val="nil"/>
              <w:bottom w:val="single" w:sz="4" w:space="0" w:color="auto"/>
              <w:right w:val="single" w:sz="4" w:space="0" w:color="auto"/>
            </w:tcBorders>
            <w:shd w:val="clear" w:color="auto" w:fill="auto"/>
            <w:noWrap/>
            <w:vAlign w:val="bottom"/>
            <w:hideMark/>
          </w:tcPr>
          <w:p w14:paraId="2EBB79AF" w14:textId="77777777" w:rsidR="000F53C9" w:rsidRPr="00C56EC9" w:rsidRDefault="000F53C9" w:rsidP="004F4355">
            <w:pPr>
              <w:pStyle w:val="Tablas"/>
              <w:rPr>
                <w:sz w:val="14"/>
                <w:szCs w:val="14"/>
              </w:rPr>
            </w:pPr>
            <w:r w:rsidRPr="00C56EC9">
              <w:rPr>
                <w:sz w:val="14"/>
                <w:szCs w:val="14"/>
              </w:rPr>
              <w:t>49.8%</w:t>
            </w:r>
          </w:p>
        </w:tc>
        <w:tc>
          <w:tcPr>
            <w:tcW w:w="438" w:type="pct"/>
            <w:tcBorders>
              <w:top w:val="nil"/>
              <w:left w:val="nil"/>
              <w:bottom w:val="single" w:sz="4" w:space="0" w:color="auto"/>
              <w:right w:val="single" w:sz="4" w:space="0" w:color="auto"/>
            </w:tcBorders>
            <w:shd w:val="clear" w:color="auto" w:fill="auto"/>
            <w:noWrap/>
            <w:vAlign w:val="bottom"/>
            <w:hideMark/>
          </w:tcPr>
          <w:p w14:paraId="6938039E" w14:textId="77777777" w:rsidR="000F53C9" w:rsidRPr="00C56EC9" w:rsidRDefault="000F53C9" w:rsidP="004F4355">
            <w:pPr>
              <w:pStyle w:val="Tablas"/>
              <w:rPr>
                <w:sz w:val="14"/>
                <w:szCs w:val="14"/>
              </w:rPr>
            </w:pPr>
            <w:r w:rsidRPr="00C56EC9">
              <w:rPr>
                <w:sz w:val="14"/>
                <w:szCs w:val="14"/>
              </w:rPr>
              <w:t>27.1%</w:t>
            </w:r>
          </w:p>
        </w:tc>
        <w:tc>
          <w:tcPr>
            <w:tcW w:w="438" w:type="pct"/>
            <w:tcBorders>
              <w:top w:val="nil"/>
              <w:left w:val="nil"/>
              <w:bottom w:val="single" w:sz="4" w:space="0" w:color="auto"/>
              <w:right w:val="single" w:sz="4" w:space="0" w:color="auto"/>
            </w:tcBorders>
            <w:shd w:val="clear" w:color="auto" w:fill="auto"/>
            <w:noWrap/>
            <w:vAlign w:val="bottom"/>
            <w:hideMark/>
          </w:tcPr>
          <w:p w14:paraId="24EFA475" w14:textId="77777777" w:rsidR="000F53C9" w:rsidRPr="00C56EC9" w:rsidRDefault="000F53C9" w:rsidP="004F4355">
            <w:pPr>
              <w:pStyle w:val="Tablas"/>
              <w:rPr>
                <w:sz w:val="14"/>
                <w:szCs w:val="14"/>
              </w:rPr>
            </w:pPr>
            <w:r w:rsidRPr="00C56EC9">
              <w:rPr>
                <w:sz w:val="14"/>
                <w:szCs w:val="14"/>
              </w:rPr>
              <w:t>27.6%</w:t>
            </w:r>
          </w:p>
        </w:tc>
        <w:tc>
          <w:tcPr>
            <w:tcW w:w="438" w:type="pct"/>
            <w:tcBorders>
              <w:top w:val="nil"/>
              <w:left w:val="nil"/>
              <w:bottom w:val="single" w:sz="4" w:space="0" w:color="auto"/>
              <w:right w:val="single" w:sz="4" w:space="0" w:color="auto"/>
            </w:tcBorders>
            <w:shd w:val="clear" w:color="auto" w:fill="auto"/>
            <w:noWrap/>
            <w:vAlign w:val="bottom"/>
            <w:hideMark/>
          </w:tcPr>
          <w:p w14:paraId="1884F11A" w14:textId="77777777" w:rsidR="000F53C9" w:rsidRPr="00C56EC9" w:rsidRDefault="000F53C9" w:rsidP="004F4355">
            <w:pPr>
              <w:pStyle w:val="Tablas"/>
              <w:rPr>
                <w:sz w:val="14"/>
                <w:szCs w:val="14"/>
              </w:rPr>
            </w:pPr>
            <w:r w:rsidRPr="00C56EC9">
              <w:rPr>
                <w:sz w:val="14"/>
                <w:szCs w:val="14"/>
              </w:rPr>
              <w:t>6.00%</w:t>
            </w:r>
          </w:p>
        </w:tc>
        <w:tc>
          <w:tcPr>
            <w:tcW w:w="438" w:type="pct"/>
            <w:tcBorders>
              <w:top w:val="nil"/>
              <w:left w:val="nil"/>
              <w:bottom w:val="single" w:sz="4" w:space="0" w:color="auto"/>
              <w:right w:val="single" w:sz="4" w:space="0" w:color="auto"/>
            </w:tcBorders>
            <w:shd w:val="clear" w:color="auto" w:fill="auto"/>
            <w:noWrap/>
            <w:vAlign w:val="bottom"/>
            <w:hideMark/>
          </w:tcPr>
          <w:p w14:paraId="3F2228B2" w14:textId="77777777" w:rsidR="000F53C9" w:rsidRPr="00C56EC9" w:rsidRDefault="000F53C9" w:rsidP="004F4355">
            <w:pPr>
              <w:pStyle w:val="Tablas"/>
              <w:rPr>
                <w:sz w:val="14"/>
                <w:szCs w:val="14"/>
              </w:rPr>
            </w:pPr>
            <w:r w:rsidRPr="00C56EC9">
              <w:rPr>
                <w:sz w:val="14"/>
                <w:szCs w:val="14"/>
              </w:rPr>
              <w:t>12.6%</w:t>
            </w:r>
          </w:p>
        </w:tc>
        <w:tc>
          <w:tcPr>
            <w:tcW w:w="438" w:type="pct"/>
            <w:tcBorders>
              <w:top w:val="nil"/>
              <w:left w:val="nil"/>
              <w:bottom w:val="single" w:sz="4" w:space="0" w:color="auto"/>
              <w:right w:val="single" w:sz="4" w:space="0" w:color="auto"/>
            </w:tcBorders>
            <w:shd w:val="clear" w:color="auto" w:fill="auto"/>
            <w:noWrap/>
            <w:vAlign w:val="bottom"/>
            <w:hideMark/>
          </w:tcPr>
          <w:p w14:paraId="1C7FFBA0"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4E4DD1F" w14:textId="77777777" w:rsidR="000F53C9" w:rsidRPr="00C56EC9" w:rsidRDefault="000F53C9" w:rsidP="004F4355">
            <w:pPr>
              <w:pStyle w:val="Tablas"/>
              <w:rPr>
                <w:color w:val="000000"/>
                <w:sz w:val="14"/>
                <w:szCs w:val="14"/>
              </w:rPr>
            </w:pPr>
            <w:r w:rsidRPr="00C56EC9">
              <w:rPr>
                <w:color w:val="000000"/>
                <w:sz w:val="14"/>
                <w:szCs w:val="14"/>
              </w:rPr>
              <w:t>31.2%</w:t>
            </w:r>
          </w:p>
        </w:tc>
        <w:tc>
          <w:tcPr>
            <w:tcW w:w="438" w:type="pct"/>
            <w:tcBorders>
              <w:top w:val="nil"/>
              <w:left w:val="nil"/>
              <w:bottom w:val="single" w:sz="4" w:space="0" w:color="auto"/>
              <w:right w:val="single" w:sz="4" w:space="0" w:color="auto"/>
            </w:tcBorders>
            <w:shd w:val="clear" w:color="auto" w:fill="auto"/>
            <w:noWrap/>
            <w:vAlign w:val="bottom"/>
            <w:hideMark/>
          </w:tcPr>
          <w:p w14:paraId="0B03F0B7"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31365919" w14:textId="77777777" w:rsidR="000F53C9" w:rsidRPr="00C56EC9" w:rsidRDefault="000F53C9" w:rsidP="004F4355">
            <w:pPr>
              <w:pStyle w:val="Tablas"/>
              <w:rPr>
                <w:color w:val="000000"/>
                <w:sz w:val="14"/>
                <w:szCs w:val="14"/>
              </w:rPr>
            </w:pPr>
            <w:r w:rsidRPr="00C56EC9">
              <w:rPr>
                <w:color w:val="000000"/>
                <w:sz w:val="14"/>
                <w:szCs w:val="14"/>
              </w:rPr>
              <w:t>0.00%</w:t>
            </w:r>
          </w:p>
        </w:tc>
      </w:tr>
      <w:tr w:rsidR="000F53C9" w:rsidRPr="00C56EC9" w14:paraId="1AB4B548" w14:textId="77777777" w:rsidTr="00310A83">
        <w:trPr>
          <w:trHeight w:val="278"/>
        </w:trPr>
        <w:tc>
          <w:tcPr>
            <w:tcW w:w="10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ABE7" w14:textId="77777777" w:rsidR="000F53C9" w:rsidRPr="00C56EC9" w:rsidRDefault="000F53C9" w:rsidP="004F4355">
            <w:pPr>
              <w:pStyle w:val="Tablas"/>
              <w:rPr>
                <w:sz w:val="14"/>
                <w:szCs w:val="14"/>
              </w:rPr>
            </w:pPr>
            <w:r w:rsidRPr="00C56EC9">
              <w:rPr>
                <w:sz w:val="14"/>
                <w:szCs w:val="14"/>
              </w:rPr>
              <w:t>Otros activos</w:t>
            </w:r>
          </w:p>
        </w:tc>
        <w:tc>
          <w:tcPr>
            <w:tcW w:w="438" w:type="pct"/>
            <w:tcBorders>
              <w:top w:val="nil"/>
              <w:left w:val="nil"/>
              <w:bottom w:val="single" w:sz="4" w:space="0" w:color="auto"/>
              <w:right w:val="single" w:sz="4" w:space="0" w:color="auto"/>
            </w:tcBorders>
            <w:shd w:val="clear" w:color="auto" w:fill="auto"/>
            <w:noWrap/>
            <w:vAlign w:val="bottom"/>
            <w:hideMark/>
          </w:tcPr>
          <w:p w14:paraId="30016C20" w14:textId="77777777" w:rsidR="000F53C9" w:rsidRPr="00C56EC9" w:rsidRDefault="000F53C9" w:rsidP="004F4355">
            <w:pPr>
              <w:pStyle w:val="Tablas"/>
              <w:rPr>
                <w:sz w:val="14"/>
                <w:szCs w:val="14"/>
              </w:rPr>
            </w:pPr>
            <w:r w:rsidRPr="00C56EC9">
              <w:rPr>
                <w:sz w:val="14"/>
                <w:szCs w:val="14"/>
              </w:rPr>
              <w:t>-3.16%</w:t>
            </w:r>
          </w:p>
        </w:tc>
        <w:tc>
          <w:tcPr>
            <w:tcW w:w="438" w:type="pct"/>
            <w:tcBorders>
              <w:top w:val="nil"/>
              <w:left w:val="nil"/>
              <w:bottom w:val="single" w:sz="4" w:space="0" w:color="auto"/>
              <w:right w:val="single" w:sz="4" w:space="0" w:color="auto"/>
            </w:tcBorders>
            <w:shd w:val="clear" w:color="auto" w:fill="auto"/>
            <w:noWrap/>
            <w:vAlign w:val="bottom"/>
            <w:hideMark/>
          </w:tcPr>
          <w:p w14:paraId="419DCBBC"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5D9DC968" w14:textId="77777777" w:rsidR="000F53C9" w:rsidRPr="00C56EC9" w:rsidRDefault="000F53C9" w:rsidP="004F4355">
            <w:pPr>
              <w:pStyle w:val="Tablas"/>
              <w:rPr>
                <w:sz w:val="14"/>
                <w:szCs w:val="14"/>
              </w:rPr>
            </w:pPr>
            <w:r w:rsidRPr="00C56EC9">
              <w:rPr>
                <w:sz w:val="14"/>
                <w:szCs w:val="14"/>
              </w:rPr>
              <w:t>2.08%</w:t>
            </w:r>
          </w:p>
        </w:tc>
        <w:tc>
          <w:tcPr>
            <w:tcW w:w="438" w:type="pct"/>
            <w:tcBorders>
              <w:top w:val="nil"/>
              <w:left w:val="nil"/>
              <w:bottom w:val="single" w:sz="4" w:space="0" w:color="auto"/>
              <w:right w:val="single" w:sz="4" w:space="0" w:color="auto"/>
            </w:tcBorders>
            <w:shd w:val="clear" w:color="auto" w:fill="auto"/>
            <w:noWrap/>
            <w:vAlign w:val="bottom"/>
            <w:hideMark/>
          </w:tcPr>
          <w:p w14:paraId="09447A05"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2309C020" w14:textId="77777777" w:rsidR="000F53C9" w:rsidRPr="00C56EC9" w:rsidRDefault="000F53C9" w:rsidP="004F4355">
            <w:pPr>
              <w:pStyle w:val="Tablas"/>
              <w:rPr>
                <w:sz w:val="14"/>
                <w:szCs w:val="14"/>
              </w:rPr>
            </w:pPr>
            <w:r w:rsidRPr="00C56EC9">
              <w:rPr>
                <w:sz w:val="14"/>
                <w:szCs w:val="14"/>
              </w:rPr>
              <w:t>13.9%</w:t>
            </w:r>
          </w:p>
        </w:tc>
        <w:tc>
          <w:tcPr>
            <w:tcW w:w="438" w:type="pct"/>
            <w:tcBorders>
              <w:top w:val="nil"/>
              <w:left w:val="nil"/>
              <w:bottom w:val="single" w:sz="4" w:space="0" w:color="auto"/>
              <w:right w:val="single" w:sz="4" w:space="0" w:color="auto"/>
            </w:tcBorders>
            <w:shd w:val="clear" w:color="auto" w:fill="auto"/>
            <w:noWrap/>
            <w:vAlign w:val="bottom"/>
            <w:hideMark/>
          </w:tcPr>
          <w:p w14:paraId="481C48D7"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0023494F" w14:textId="77777777" w:rsidR="000F53C9" w:rsidRPr="00C56EC9" w:rsidRDefault="000F53C9" w:rsidP="004F4355">
            <w:pPr>
              <w:pStyle w:val="Tablas"/>
              <w:rPr>
                <w:color w:val="000000"/>
                <w:sz w:val="14"/>
                <w:szCs w:val="14"/>
              </w:rPr>
            </w:pPr>
            <w:r w:rsidRPr="00C56EC9">
              <w:rPr>
                <w:color w:val="000000"/>
                <w:sz w:val="14"/>
                <w:szCs w:val="14"/>
              </w:rPr>
              <w:t>-0.11%</w:t>
            </w:r>
          </w:p>
        </w:tc>
        <w:tc>
          <w:tcPr>
            <w:tcW w:w="438" w:type="pct"/>
            <w:tcBorders>
              <w:top w:val="nil"/>
              <w:left w:val="nil"/>
              <w:bottom w:val="single" w:sz="4" w:space="0" w:color="auto"/>
              <w:right w:val="single" w:sz="4" w:space="0" w:color="auto"/>
            </w:tcBorders>
            <w:shd w:val="clear" w:color="auto" w:fill="auto"/>
            <w:noWrap/>
            <w:vAlign w:val="bottom"/>
            <w:hideMark/>
          </w:tcPr>
          <w:p w14:paraId="64C01012" w14:textId="77777777" w:rsidR="000F53C9" w:rsidRPr="00C56EC9" w:rsidRDefault="000F53C9" w:rsidP="004F4355">
            <w:pPr>
              <w:pStyle w:val="Tablas"/>
              <w:rPr>
                <w:color w:val="000000"/>
                <w:sz w:val="14"/>
                <w:szCs w:val="14"/>
              </w:rPr>
            </w:pPr>
            <w:r w:rsidRPr="00C56EC9">
              <w:rPr>
                <w:color w:val="000000"/>
                <w:sz w:val="14"/>
                <w:szCs w:val="14"/>
              </w:rPr>
              <w:t>12.9%</w:t>
            </w:r>
          </w:p>
        </w:tc>
        <w:tc>
          <w:tcPr>
            <w:tcW w:w="438" w:type="pct"/>
            <w:tcBorders>
              <w:top w:val="nil"/>
              <w:left w:val="nil"/>
              <w:bottom w:val="single" w:sz="4" w:space="0" w:color="auto"/>
              <w:right w:val="single" w:sz="4" w:space="0" w:color="auto"/>
            </w:tcBorders>
            <w:shd w:val="clear" w:color="auto" w:fill="auto"/>
            <w:noWrap/>
            <w:vAlign w:val="bottom"/>
            <w:hideMark/>
          </w:tcPr>
          <w:p w14:paraId="37358178" w14:textId="77777777" w:rsidR="000F53C9" w:rsidRPr="00C56EC9" w:rsidRDefault="000F53C9" w:rsidP="004F4355">
            <w:pPr>
              <w:pStyle w:val="Tablas"/>
              <w:rPr>
                <w:color w:val="000000"/>
                <w:sz w:val="14"/>
                <w:szCs w:val="14"/>
              </w:rPr>
            </w:pPr>
            <w:r w:rsidRPr="00C56EC9">
              <w:rPr>
                <w:color w:val="000000"/>
                <w:sz w:val="14"/>
                <w:szCs w:val="14"/>
              </w:rPr>
              <w:t>0.00%</w:t>
            </w:r>
          </w:p>
        </w:tc>
      </w:tr>
      <w:tr w:rsidR="000F53C9" w:rsidRPr="00C56EC9" w14:paraId="70EF27BF" w14:textId="77777777" w:rsidTr="00310A83">
        <w:trPr>
          <w:trHeight w:val="278"/>
        </w:trPr>
        <w:tc>
          <w:tcPr>
            <w:tcW w:w="10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B5915" w14:textId="77777777" w:rsidR="000F53C9" w:rsidRPr="00C56EC9" w:rsidRDefault="000F53C9" w:rsidP="004F4355">
            <w:pPr>
              <w:pStyle w:val="Tablas"/>
              <w:rPr>
                <w:sz w:val="14"/>
                <w:szCs w:val="14"/>
              </w:rPr>
            </w:pPr>
            <w:r w:rsidRPr="00C56EC9">
              <w:rPr>
                <w:sz w:val="14"/>
                <w:szCs w:val="14"/>
              </w:rPr>
              <w:t>Liquidez</w:t>
            </w:r>
          </w:p>
        </w:tc>
        <w:tc>
          <w:tcPr>
            <w:tcW w:w="438" w:type="pct"/>
            <w:tcBorders>
              <w:top w:val="nil"/>
              <w:left w:val="nil"/>
              <w:bottom w:val="single" w:sz="4" w:space="0" w:color="auto"/>
              <w:right w:val="single" w:sz="4" w:space="0" w:color="auto"/>
            </w:tcBorders>
            <w:shd w:val="clear" w:color="auto" w:fill="auto"/>
            <w:noWrap/>
            <w:vAlign w:val="bottom"/>
            <w:hideMark/>
          </w:tcPr>
          <w:p w14:paraId="5FB550DF" w14:textId="77777777" w:rsidR="000F53C9" w:rsidRPr="00C56EC9" w:rsidRDefault="000F53C9" w:rsidP="004F4355">
            <w:pPr>
              <w:pStyle w:val="Tablas"/>
              <w:rPr>
                <w:sz w:val="14"/>
                <w:szCs w:val="14"/>
              </w:rPr>
            </w:pPr>
            <w:r w:rsidRPr="00C56EC9">
              <w:rPr>
                <w:sz w:val="14"/>
                <w:szCs w:val="14"/>
              </w:rPr>
              <w:t>2.94%</w:t>
            </w:r>
          </w:p>
        </w:tc>
        <w:tc>
          <w:tcPr>
            <w:tcW w:w="438" w:type="pct"/>
            <w:tcBorders>
              <w:top w:val="nil"/>
              <w:left w:val="nil"/>
              <w:bottom w:val="single" w:sz="4" w:space="0" w:color="auto"/>
              <w:right w:val="single" w:sz="4" w:space="0" w:color="auto"/>
            </w:tcBorders>
            <w:shd w:val="clear" w:color="auto" w:fill="auto"/>
            <w:noWrap/>
            <w:vAlign w:val="bottom"/>
            <w:hideMark/>
          </w:tcPr>
          <w:p w14:paraId="49EC5779" w14:textId="77777777" w:rsidR="000F53C9" w:rsidRPr="00C56EC9" w:rsidRDefault="000F53C9" w:rsidP="004F4355">
            <w:pPr>
              <w:pStyle w:val="Tablas"/>
              <w:rPr>
                <w:sz w:val="14"/>
                <w:szCs w:val="14"/>
              </w:rPr>
            </w:pPr>
            <w:r w:rsidRPr="00C56EC9">
              <w:rPr>
                <w:sz w:val="14"/>
                <w:szCs w:val="14"/>
              </w:rPr>
              <w:t>1.98%</w:t>
            </w:r>
          </w:p>
        </w:tc>
        <w:tc>
          <w:tcPr>
            <w:tcW w:w="438" w:type="pct"/>
            <w:tcBorders>
              <w:top w:val="nil"/>
              <w:left w:val="nil"/>
              <w:bottom w:val="single" w:sz="4" w:space="0" w:color="auto"/>
              <w:right w:val="single" w:sz="4" w:space="0" w:color="auto"/>
            </w:tcBorders>
            <w:shd w:val="clear" w:color="auto" w:fill="auto"/>
            <w:noWrap/>
            <w:vAlign w:val="bottom"/>
            <w:hideMark/>
          </w:tcPr>
          <w:p w14:paraId="0AE49C58"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F4E9835" w14:textId="77777777" w:rsidR="000F53C9" w:rsidRPr="00C56EC9" w:rsidRDefault="000F53C9" w:rsidP="004F4355">
            <w:pPr>
              <w:pStyle w:val="Tablas"/>
              <w:rPr>
                <w:sz w:val="14"/>
                <w:szCs w:val="14"/>
              </w:rPr>
            </w:pPr>
            <w:r w:rsidRPr="00C56EC9">
              <w:rPr>
                <w:sz w:val="14"/>
                <w:szCs w:val="14"/>
              </w:rPr>
              <w:t>0.50%</w:t>
            </w:r>
          </w:p>
        </w:tc>
        <w:tc>
          <w:tcPr>
            <w:tcW w:w="438" w:type="pct"/>
            <w:tcBorders>
              <w:top w:val="nil"/>
              <w:left w:val="nil"/>
              <w:bottom w:val="single" w:sz="4" w:space="0" w:color="auto"/>
              <w:right w:val="single" w:sz="4" w:space="0" w:color="auto"/>
            </w:tcBorders>
            <w:shd w:val="clear" w:color="auto" w:fill="auto"/>
            <w:noWrap/>
            <w:vAlign w:val="bottom"/>
            <w:hideMark/>
          </w:tcPr>
          <w:p w14:paraId="05322AF5"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0A6BCA9" w14:textId="77777777" w:rsidR="000F53C9" w:rsidRPr="00C56EC9" w:rsidRDefault="000F53C9" w:rsidP="004F4355">
            <w:pPr>
              <w:pStyle w:val="Tablas"/>
              <w:rPr>
                <w:sz w:val="14"/>
                <w:szCs w:val="14"/>
              </w:rPr>
            </w:pPr>
            <w:r w:rsidRPr="00C56EC9">
              <w:rPr>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47A0A06C"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83720FA" w14:textId="77777777" w:rsidR="000F53C9" w:rsidRPr="00C56EC9" w:rsidRDefault="000F53C9" w:rsidP="004F4355">
            <w:pPr>
              <w:pStyle w:val="Tablas"/>
              <w:rPr>
                <w:color w:val="000000"/>
                <w:sz w:val="14"/>
                <w:szCs w:val="14"/>
              </w:rPr>
            </w:pPr>
            <w:r w:rsidRPr="00C56EC9">
              <w:rPr>
                <w:color w:val="000000"/>
                <w:sz w:val="14"/>
                <w:szCs w:val="14"/>
              </w:rPr>
              <w:t>0.00%</w:t>
            </w:r>
          </w:p>
        </w:tc>
        <w:tc>
          <w:tcPr>
            <w:tcW w:w="438" w:type="pct"/>
            <w:tcBorders>
              <w:top w:val="nil"/>
              <w:left w:val="nil"/>
              <w:bottom w:val="single" w:sz="4" w:space="0" w:color="auto"/>
              <w:right w:val="single" w:sz="4" w:space="0" w:color="auto"/>
            </w:tcBorders>
            <w:shd w:val="clear" w:color="auto" w:fill="auto"/>
            <w:noWrap/>
            <w:vAlign w:val="bottom"/>
            <w:hideMark/>
          </w:tcPr>
          <w:p w14:paraId="75F91D8A" w14:textId="77777777" w:rsidR="000F53C9" w:rsidRPr="00C56EC9" w:rsidRDefault="000F53C9" w:rsidP="004F4355">
            <w:pPr>
              <w:pStyle w:val="Tablas"/>
              <w:rPr>
                <w:color w:val="000000"/>
                <w:sz w:val="14"/>
                <w:szCs w:val="14"/>
              </w:rPr>
            </w:pPr>
            <w:r w:rsidRPr="00C56EC9">
              <w:rPr>
                <w:color w:val="000000"/>
                <w:sz w:val="14"/>
                <w:szCs w:val="14"/>
              </w:rPr>
              <w:t>1.11%</w:t>
            </w:r>
          </w:p>
        </w:tc>
      </w:tr>
      <w:tr w:rsidR="000F53C9" w:rsidRPr="00C56EC9" w14:paraId="091C1E6D" w14:textId="77777777" w:rsidTr="00310A83">
        <w:trPr>
          <w:trHeight w:val="278"/>
        </w:trPr>
        <w:tc>
          <w:tcPr>
            <w:tcW w:w="10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CAE4" w14:textId="77777777" w:rsidR="000F53C9" w:rsidRPr="00C56EC9" w:rsidRDefault="000F53C9" w:rsidP="004F4355">
            <w:pPr>
              <w:pStyle w:val="Tablas"/>
              <w:rPr>
                <w:sz w:val="14"/>
                <w:szCs w:val="14"/>
              </w:rPr>
            </w:pPr>
            <w:r w:rsidRPr="00C56EC9">
              <w:rPr>
                <w:sz w:val="14"/>
                <w:szCs w:val="14"/>
              </w:rPr>
              <w:t>Total</w:t>
            </w:r>
          </w:p>
        </w:tc>
        <w:tc>
          <w:tcPr>
            <w:tcW w:w="438" w:type="pct"/>
            <w:tcBorders>
              <w:top w:val="nil"/>
              <w:left w:val="nil"/>
              <w:bottom w:val="single" w:sz="4" w:space="0" w:color="auto"/>
              <w:right w:val="single" w:sz="4" w:space="0" w:color="auto"/>
            </w:tcBorders>
            <w:shd w:val="clear" w:color="auto" w:fill="auto"/>
            <w:noWrap/>
            <w:vAlign w:val="bottom"/>
            <w:hideMark/>
          </w:tcPr>
          <w:p w14:paraId="7B785415"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523E9FDD"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4787D367"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40C5E265"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028B1D94"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2DFA64EC"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79FE8760"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349C7652" w14:textId="77777777" w:rsidR="000F53C9" w:rsidRPr="00C56EC9" w:rsidRDefault="000F53C9" w:rsidP="004F4355">
            <w:pPr>
              <w:pStyle w:val="Tablas"/>
              <w:rPr>
                <w:sz w:val="14"/>
                <w:szCs w:val="14"/>
              </w:rPr>
            </w:pPr>
            <w:r w:rsidRPr="00C56EC9">
              <w:rPr>
                <w:sz w:val="14"/>
                <w:szCs w:val="14"/>
              </w:rPr>
              <w:t>100%</w:t>
            </w:r>
          </w:p>
        </w:tc>
        <w:tc>
          <w:tcPr>
            <w:tcW w:w="438" w:type="pct"/>
            <w:tcBorders>
              <w:top w:val="nil"/>
              <w:left w:val="nil"/>
              <w:bottom w:val="single" w:sz="4" w:space="0" w:color="auto"/>
              <w:right w:val="single" w:sz="4" w:space="0" w:color="auto"/>
            </w:tcBorders>
            <w:shd w:val="clear" w:color="auto" w:fill="auto"/>
            <w:noWrap/>
            <w:vAlign w:val="bottom"/>
            <w:hideMark/>
          </w:tcPr>
          <w:p w14:paraId="7173F8C9" w14:textId="77777777" w:rsidR="000F53C9" w:rsidRPr="00C56EC9" w:rsidRDefault="000F53C9" w:rsidP="004F4355">
            <w:pPr>
              <w:pStyle w:val="Tablas"/>
              <w:rPr>
                <w:sz w:val="14"/>
                <w:szCs w:val="14"/>
              </w:rPr>
            </w:pPr>
            <w:r w:rsidRPr="00C56EC9">
              <w:rPr>
                <w:sz w:val="14"/>
                <w:szCs w:val="14"/>
              </w:rPr>
              <w:t>100%</w:t>
            </w:r>
          </w:p>
        </w:tc>
      </w:tr>
      <w:tr w:rsidR="000F53C9" w:rsidRPr="00C56EC9" w14:paraId="1FEE4FAB" w14:textId="77777777" w:rsidTr="00310A83">
        <w:trPr>
          <w:trHeight w:val="278"/>
        </w:trPr>
        <w:tc>
          <w:tcPr>
            <w:tcW w:w="10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E230" w14:textId="77777777" w:rsidR="000F53C9" w:rsidRPr="00C56EC9" w:rsidRDefault="000F53C9" w:rsidP="004F4355">
            <w:pPr>
              <w:pStyle w:val="Tablas"/>
              <w:rPr>
                <w:b/>
                <w:bCs w:val="0"/>
                <w:sz w:val="14"/>
                <w:szCs w:val="14"/>
              </w:rPr>
            </w:pPr>
            <w:r w:rsidRPr="00C56EC9">
              <w:rPr>
                <w:b/>
                <w:bCs w:val="0"/>
                <w:sz w:val="14"/>
                <w:szCs w:val="14"/>
              </w:rPr>
              <w:t>Rentabilidad promedio 5 años</w:t>
            </w:r>
          </w:p>
        </w:tc>
        <w:tc>
          <w:tcPr>
            <w:tcW w:w="438" w:type="pct"/>
            <w:tcBorders>
              <w:top w:val="nil"/>
              <w:left w:val="nil"/>
              <w:bottom w:val="single" w:sz="4" w:space="0" w:color="auto"/>
              <w:right w:val="single" w:sz="4" w:space="0" w:color="auto"/>
            </w:tcBorders>
            <w:shd w:val="clear" w:color="auto" w:fill="auto"/>
            <w:noWrap/>
            <w:vAlign w:val="bottom"/>
            <w:hideMark/>
          </w:tcPr>
          <w:p w14:paraId="0D3D13D2" w14:textId="77777777" w:rsidR="000F53C9" w:rsidRPr="00C56EC9" w:rsidRDefault="000F53C9" w:rsidP="004F4355">
            <w:pPr>
              <w:pStyle w:val="Tablas"/>
              <w:rPr>
                <w:b/>
                <w:bCs w:val="0"/>
                <w:sz w:val="14"/>
                <w:szCs w:val="14"/>
              </w:rPr>
            </w:pPr>
            <w:r w:rsidRPr="00C56EC9">
              <w:rPr>
                <w:b/>
                <w:bCs w:val="0"/>
                <w:sz w:val="14"/>
                <w:szCs w:val="14"/>
              </w:rPr>
              <w:t>6.80%</w:t>
            </w:r>
          </w:p>
        </w:tc>
        <w:tc>
          <w:tcPr>
            <w:tcW w:w="438" w:type="pct"/>
            <w:tcBorders>
              <w:top w:val="nil"/>
              <w:left w:val="nil"/>
              <w:bottom w:val="single" w:sz="4" w:space="0" w:color="auto"/>
              <w:right w:val="single" w:sz="4" w:space="0" w:color="auto"/>
            </w:tcBorders>
            <w:shd w:val="clear" w:color="auto" w:fill="auto"/>
            <w:noWrap/>
            <w:vAlign w:val="bottom"/>
            <w:hideMark/>
          </w:tcPr>
          <w:p w14:paraId="7B2E2498" w14:textId="77777777" w:rsidR="000F53C9" w:rsidRPr="00C56EC9" w:rsidRDefault="000F53C9" w:rsidP="004F4355">
            <w:pPr>
              <w:pStyle w:val="Tablas"/>
              <w:rPr>
                <w:b/>
                <w:bCs w:val="0"/>
                <w:sz w:val="14"/>
                <w:szCs w:val="14"/>
              </w:rPr>
            </w:pPr>
            <w:r w:rsidRPr="00C56EC9">
              <w:rPr>
                <w:b/>
                <w:bCs w:val="0"/>
                <w:sz w:val="14"/>
                <w:szCs w:val="14"/>
              </w:rPr>
              <w:t>8.66%</w:t>
            </w:r>
          </w:p>
        </w:tc>
        <w:tc>
          <w:tcPr>
            <w:tcW w:w="438" w:type="pct"/>
            <w:tcBorders>
              <w:top w:val="nil"/>
              <w:left w:val="nil"/>
              <w:bottom w:val="single" w:sz="4" w:space="0" w:color="auto"/>
              <w:right w:val="single" w:sz="4" w:space="0" w:color="auto"/>
            </w:tcBorders>
            <w:shd w:val="clear" w:color="auto" w:fill="auto"/>
            <w:noWrap/>
            <w:vAlign w:val="bottom"/>
            <w:hideMark/>
          </w:tcPr>
          <w:p w14:paraId="343EDC19" w14:textId="77777777" w:rsidR="000F53C9" w:rsidRPr="00C56EC9" w:rsidRDefault="000F53C9" w:rsidP="004F4355">
            <w:pPr>
              <w:pStyle w:val="Tablas"/>
              <w:rPr>
                <w:b/>
                <w:bCs w:val="0"/>
                <w:sz w:val="14"/>
                <w:szCs w:val="14"/>
              </w:rPr>
            </w:pPr>
            <w:r w:rsidRPr="00C56EC9">
              <w:rPr>
                <w:b/>
                <w:bCs w:val="0"/>
                <w:sz w:val="14"/>
                <w:szCs w:val="14"/>
              </w:rPr>
              <w:t>5.25%</w:t>
            </w:r>
          </w:p>
        </w:tc>
        <w:tc>
          <w:tcPr>
            <w:tcW w:w="438" w:type="pct"/>
            <w:tcBorders>
              <w:top w:val="nil"/>
              <w:left w:val="nil"/>
              <w:bottom w:val="single" w:sz="4" w:space="0" w:color="auto"/>
              <w:right w:val="single" w:sz="4" w:space="0" w:color="auto"/>
            </w:tcBorders>
            <w:shd w:val="clear" w:color="auto" w:fill="auto"/>
            <w:noWrap/>
            <w:vAlign w:val="bottom"/>
            <w:hideMark/>
          </w:tcPr>
          <w:p w14:paraId="6A8E6EBD" w14:textId="77777777" w:rsidR="000F53C9" w:rsidRPr="00C56EC9" w:rsidRDefault="000F53C9" w:rsidP="004F4355">
            <w:pPr>
              <w:pStyle w:val="Tablas"/>
              <w:rPr>
                <w:b/>
                <w:bCs w:val="0"/>
                <w:sz w:val="14"/>
                <w:szCs w:val="14"/>
              </w:rPr>
            </w:pPr>
            <w:r w:rsidRPr="00C56EC9">
              <w:rPr>
                <w:b/>
                <w:bCs w:val="0"/>
                <w:sz w:val="14"/>
                <w:szCs w:val="14"/>
              </w:rPr>
              <w:t>2.80%</w:t>
            </w:r>
          </w:p>
        </w:tc>
        <w:tc>
          <w:tcPr>
            <w:tcW w:w="438" w:type="pct"/>
            <w:tcBorders>
              <w:top w:val="nil"/>
              <w:left w:val="nil"/>
              <w:bottom w:val="single" w:sz="4" w:space="0" w:color="auto"/>
              <w:right w:val="single" w:sz="4" w:space="0" w:color="auto"/>
            </w:tcBorders>
            <w:shd w:val="clear" w:color="auto" w:fill="auto"/>
            <w:noWrap/>
            <w:vAlign w:val="bottom"/>
            <w:hideMark/>
          </w:tcPr>
          <w:p w14:paraId="753B49AF" w14:textId="77777777" w:rsidR="000F53C9" w:rsidRPr="00C56EC9" w:rsidRDefault="000F53C9" w:rsidP="004F4355">
            <w:pPr>
              <w:pStyle w:val="Tablas"/>
              <w:rPr>
                <w:b/>
                <w:bCs w:val="0"/>
                <w:sz w:val="14"/>
                <w:szCs w:val="14"/>
              </w:rPr>
            </w:pPr>
            <w:r w:rsidRPr="00C56EC9">
              <w:rPr>
                <w:b/>
                <w:bCs w:val="0"/>
                <w:sz w:val="14"/>
                <w:szCs w:val="14"/>
              </w:rPr>
              <w:t>4.81%</w:t>
            </w:r>
          </w:p>
        </w:tc>
        <w:tc>
          <w:tcPr>
            <w:tcW w:w="438" w:type="pct"/>
            <w:tcBorders>
              <w:top w:val="nil"/>
              <w:left w:val="nil"/>
              <w:bottom w:val="single" w:sz="4" w:space="0" w:color="auto"/>
              <w:right w:val="single" w:sz="4" w:space="0" w:color="auto"/>
            </w:tcBorders>
            <w:shd w:val="clear" w:color="auto" w:fill="auto"/>
            <w:noWrap/>
            <w:vAlign w:val="bottom"/>
            <w:hideMark/>
          </w:tcPr>
          <w:p w14:paraId="7E86B688" w14:textId="77777777" w:rsidR="000F53C9" w:rsidRPr="00C56EC9" w:rsidRDefault="000F53C9" w:rsidP="004F4355">
            <w:pPr>
              <w:pStyle w:val="Tablas"/>
              <w:rPr>
                <w:b/>
                <w:bCs w:val="0"/>
                <w:sz w:val="14"/>
                <w:szCs w:val="14"/>
              </w:rPr>
            </w:pPr>
            <w:r w:rsidRPr="00C56EC9">
              <w:rPr>
                <w:b/>
                <w:bCs w:val="0"/>
                <w:sz w:val="14"/>
                <w:szCs w:val="14"/>
              </w:rPr>
              <w:t>3.66%</w:t>
            </w:r>
          </w:p>
        </w:tc>
        <w:tc>
          <w:tcPr>
            <w:tcW w:w="438" w:type="pct"/>
            <w:tcBorders>
              <w:top w:val="nil"/>
              <w:left w:val="nil"/>
              <w:bottom w:val="single" w:sz="4" w:space="0" w:color="auto"/>
              <w:right w:val="single" w:sz="4" w:space="0" w:color="auto"/>
            </w:tcBorders>
            <w:shd w:val="clear" w:color="auto" w:fill="auto"/>
            <w:noWrap/>
            <w:vAlign w:val="bottom"/>
            <w:hideMark/>
          </w:tcPr>
          <w:p w14:paraId="11157845" w14:textId="77777777" w:rsidR="000F53C9" w:rsidRPr="00C56EC9" w:rsidRDefault="000F53C9" w:rsidP="004F4355">
            <w:pPr>
              <w:pStyle w:val="Tablas"/>
              <w:rPr>
                <w:b/>
                <w:bCs w:val="0"/>
                <w:color w:val="000000"/>
                <w:sz w:val="14"/>
                <w:szCs w:val="14"/>
              </w:rPr>
            </w:pPr>
            <w:r w:rsidRPr="00C56EC9">
              <w:rPr>
                <w:b/>
                <w:bCs w:val="0"/>
                <w:color w:val="000000"/>
                <w:sz w:val="14"/>
                <w:szCs w:val="14"/>
              </w:rPr>
              <w:t>5.26%</w:t>
            </w:r>
          </w:p>
        </w:tc>
        <w:tc>
          <w:tcPr>
            <w:tcW w:w="438" w:type="pct"/>
            <w:tcBorders>
              <w:top w:val="nil"/>
              <w:left w:val="nil"/>
              <w:bottom w:val="single" w:sz="4" w:space="0" w:color="auto"/>
              <w:right w:val="single" w:sz="4" w:space="0" w:color="auto"/>
            </w:tcBorders>
            <w:shd w:val="clear" w:color="auto" w:fill="auto"/>
            <w:noWrap/>
            <w:vAlign w:val="bottom"/>
            <w:hideMark/>
          </w:tcPr>
          <w:p w14:paraId="7FB3A217" w14:textId="77777777" w:rsidR="000F53C9" w:rsidRPr="00C56EC9" w:rsidRDefault="000F53C9" w:rsidP="004F4355">
            <w:pPr>
              <w:pStyle w:val="Tablas"/>
              <w:rPr>
                <w:b/>
                <w:bCs w:val="0"/>
                <w:color w:val="000000"/>
                <w:sz w:val="14"/>
                <w:szCs w:val="14"/>
              </w:rPr>
            </w:pPr>
            <w:r w:rsidRPr="00C56EC9">
              <w:rPr>
                <w:b/>
                <w:bCs w:val="0"/>
                <w:color w:val="000000"/>
                <w:sz w:val="14"/>
                <w:szCs w:val="14"/>
              </w:rPr>
              <w:t>5.52%</w:t>
            </w:r>
          </w:p>
        </w:tc>
        <w:tc>
          <w:tcPr>
            <w:tcW w:w="438" w:type="pct"/>
            <w:tcBorders>
              <w:top w:val="nil"/>
              <w:left w:val="nil"/>
              <w:bottom w:val="single" w:sz="4" w:space="0" w:color="auto"/>
              <w:right w:val="single" w:sz="4" w:space="0" w:color="auto"/>
            </w:tcBorders>
            <w:shd w:val="clear" w:color="auto" w:fill="auto"/>
            <w:noWrap/>
            <w:vAlign w:val="bottom"/>
            <w:hideMark/>
          </w:tcPr>
          <w:p w14:paraId="295E40F2" w14:textId="77777777" w:rsidR="000F53C9" w:rsidRPr="00C56EC9" w:rsidRDefault="000F53C9" w:rsidP="004F4355">
            <w:pPr>
              <w:pStyle w:val="Tablas"/>
              <w:rPr>
                <w:b/>
                <w:bCs w:val="0"/>
                <w:color w:val="000000"/>
                <w:sz w:val="14"/>
                <w:szCs w:val="14"/>
              </w:rPr>
            </w:pPr>
            <w:r w:rsidRPr="00C56EC9">
              <w:rPr>
                <w:b/>
                <w:bCs w:val="0"/>
                <w:color w:val="000000"/>
                <w:sz w:val="14"/>
                <w:szCs w:val="14"/>
              </w:rPr>
              <w:t>7.65%</w:t>
            </w:r>
          </w:p>
        </w:tc>
      </w:tr>
    </w:tbl>
    <w:p w14:paraId="14731F1A" w14:textId="77777777" w:rsidR="000F53C9" w:rsidRPr="00C56EC9" w:rsidRDefault="000F53C9" w:rsidP="000F53C9">
      <w:pPr>
        <w:pStyle w:val="Captionfiguras"/>
      </w:pPr>
      <w:r w:rsidRPr="00C56EC9">
        <w:t xml:space="preserve"> Fuente: Federación Internacional de Administradoras de Fondos de Pensiones (FIAP) y reporte de la CCS.</w:t>
      </w:r>
    </w:p>
    <w:p w14:paraId="29AFF913" w14:textId="00C0BCB5" w:rsidR="00E50371" w:rsidRPr="00C56EC9" w:rsidRDefault="00D53548" w:rsidP="00E50371">
      <w:pPr>
        <w:pStyle w:val="Ttulo1"/>
        <w:numPr>
          <w:ilvl w:val="0"/>
          <w:numId w:val="1"/>
        </w:numPr>
        <w:rPr>
          <w:lang w:val="es-419"/>
        </w:rPr>
      </w:pPr>
      <w:bookmarkStart w:id="3" w:name="_Toc183978425"/>
      <w:r w:rsidRPr="00C56EC9">
        <w:rPr>
          <w:lang w:val="es-419"/>
        </w:rPr>
        <w:t xml:space="preserve">Sostenibilidad del </w:t>
      </w:r>
      <w:r w:rsidR="00D35916" w:rsidRPr="00C56EC9">
        <w:rPr>
          <w:lang w:val="es-419"/>
        </w:rPr>
        <w:t>Programa de IVM</w:t>
      </w:r>
      <w:bookmarkEnd w:id="3"/>
    </w:p>
    <w:p w14:paraId="357EA71A" w14:textId="0C4E3B43" w:rsidR="00F74C4C" w:rsidRPr="00C56EC9" w:rsidRDefault="00F74C4C" w:rsidP="00F74C4C">
      <w:pPr>
        <w:rPr>
          <w:lang w:val="es-419"/>
        </w:rPr>
      </w:pPr>
      <w:r w:rsidRPr="00C56EC9">
        <w:rPr>
          <w:lang w:val="es-419"/>
        </w:rPr>
        <w:t>El Subsistema Exclusivo de Beneficio Definido (SEBD) enfrenta una grave situación financiera, con obligaciones que no podrán ser cubiertas por sus reservas, generando un déficit que deberá ser asumido por el Estado desde 2023. Este déficit alcanzará un 3.6% del Producto Interno Bruto (PIB) para el año 2045. En 2022, los ingresos del SEBD representaron apenas el 0.11% del PIB, mientras que las obligaciones ascendieron al 3.49% del PIB, resultando en un déficit del 2.78% del PIB para ese año, que fue cubierto utilizando las reservas restantes.</w:t>
      </w:r>
    </w:p>
    <w:p w14:paraId="05073DEE" w14:textId="4C843EEB" w:rsidR="00F74C4C" w:rsidRPr="00C56EC9" w:rsidRDefault="00F74C4C" w:rsidP="00F74C4C">
      <w:pPr>
        <w:rPr>
          <w:lang w:val="es-419"/>
        </w:rPr>
      </w:pPr>
      <w:r w:rsidRPr="00C56EC9">
        <w:rPr>
          <w:lang w:val="es-419"/>
        </w:rPr>
        <w:t xml:space="preserve">Actualmente, las reservas destinadas a financiar el SEBD se han agotado, lo que significa que el Estado deberá asumir la totalidad de los derechos adquiridos de los pensionados existentes y las obligaciones futuras que generen los pensionados hasta el marchitamiento total de este subsistema. Según las proyecciones, el déficit del SEBD </w:t>
      </w:r>
      <w:r w:rsidRPr="00C56EC9">
        <w:rPr>
          <w:lang w:val="es-419"/>
        </w:rPr>
        <w:lastRenderedPageBreak/>
        <w:t>alcanzará su punto máximo en la segunda mitad de la década de los 2040s, situándose en un 3.68% del PIB, equivalente a aproximadamente PAB$4.900 millones a precios actuales.</w:t>
      </w:r>
    </w:p>
    <w:p w14:paraId="7961FEAC" w14:textId="2A5C769D" w:rsidR="00F74C4C" w:rsidRPr="00C56EC9" w:rsidRDefault="00F74C4C" w:rsidP="00F74C4C">
      <w:pPr>
        <w:rPr>
          <w:lang w:val="es-419"/>
        </w:rPr>
      </w:pPr>
      <w:r w:rsidRPr="00C56EC9">
        <w:rPr>
          <w:lang w:val="es-419"/>
        </w:rPr>
        <w:t>A partir de 2054, los ingresos por aportes al SEBD serán nulos, ya que los últimos afiliados alcanzarán la edad de retiro. Sin embargo, algunos de estos afiliados aún tendrán derecho a una pensión, lo que implicará que el Estado deberá cubrir estas obligaciones hasta el año 2075. Estas pensiones deberán financiarse con ingresos fiscales externos al sistema administrado por la CSS, representando un valor acumulado equivalente al 76% del PIB.</w:t>
      </w:r>
    </w:p>
    <w:p w14:paraId="61DCBFCE" w14:textId="32555633" w:rsidR="00B66FD4" w:rsidRPr="00C56EC9" w:rsidRDefault="00F74C4C" w:rsidP="00F74C4C">
      <w:pPr>
        <w:rPr>
          <w:lang w:val="es-419"/>
        </w:rPr>
      </w:pPr>
      <w:r w:rsidRPr="00C56EC9">
        <w:rPr>
          <w:lang w:val="es-419"/>
        </w:rPr>
        <w:t>Se estima que las obligaciones del SEBD desaparecerán completamente para finales del siglo, marcando el marchitamiento definitivo de este subsistema. Este panorama pone de manifiesto la urgencia de implementar medidas que aseguren la sostenibilidad del sistema de pensiones en su conjunto y reduzcan la presión financiera sobre el Estado panameño.</w:t>
      </w:r>
    </w:p>
    <w:p w14:paraId="5C881D74" w14:textId="1FD686C6" w:rsidR="00ED3AD8" w:rsidRPr="00C56EC9" w:rsidRDefault="00ED3AD8" w:rsidP="00F74C4C">
      <w:pPr>
        <w:rPr>
          <w:b/>
          <w:bCs/>
          <w:lang w:val="es-419"/>
        </w:rPr>
      </w:pPr>
      <w:r w:rsidRPr="00C56EC9">
        <w:rPr>
          <w:b/>
          <w:bCs/>
          <w:lang w:val="es-419"/>
        </w:rPr>
        <w:t>Consecuencias de tomar las reservas del SMP para financiar el SEBD</w:t>
      </w:r>
      <w:r w:rsidR="001B6FC1" w:rsidRPr="00C56EC9">
        <w:rPr>
          <w:b/>
          <w:bCs/>
          <w:lang w:val="es-419"/>
        </w:rPr>
        <w:t xml:space="preserve"> sin adoptar otras medidas</w:t>
      </w:r>
    </w:p>
    <w:p w14:paraId="302B9652" w14:textId="7CC72FEA" w:rsidR="00AB47C8" w:rsidRPr="00C56EC9" w:rsidRDefault="00AB47C8" w:rsidP="00AB47C8">
      <w:pPr>
        <w:rPr>
          <w:lang w:val="es-419"/>
        </w:rPr>
      </w:pPr>
      <w:r w:rsidRPr="00C56EC9">
        <w:rPr>
          <w:lang w:val="es-419"/>
        </w:rPr>
        <w:t>Existe la posibilidad de que el Subsistema Mixto de Pensiones (SMP) transfiera recursos al Subsistema Exclusivo de Beneficio Definido (SEBD) mediante préstamos indirectos. Este mecanismo implica que el gobierno central emita deuda, la cual sería adquirida utilizando las reservas del SMP, y posteriormente esos recursos se transfieran al SEBD. Desde una perspectiva del sector público no financiero, esta operación generaría un aumento en el déficit y la deuda del país</w:t>
      </w:r>
      <w:r w:rsidR="003E2FEC" w:rsidRPr="00C56EC9">
        <w:rPr>
          <w:lang w:val="es-419"/>
        </w:rPr>
        <w:t xml:space="preserve"> lo que implicaría mayor riesgo de la deuda pública y, por lo tanto, de las tasas de interés a nivel general</w:t>
      </w:r>
      <w:r w:rsidR="006305E7" w:rsidRPr="00C56EC9">
        <w:rPr>
          <w:lang w:val="es-419"/>
        </w:rPr>
        <w:t xml:space="preserve"> para el crédito en todo el país. </w:t>
      </w:r>
    </w:p>
    <w:p w14:paraId="14B23A3B" w14:textId="01F43F07" w:rsidR="00AB47C8" w:rsidRPr="00C56EC9" w:rsidRDefault="00AB47C8" w:rsidP="00AB47C8">
      <w:pPr>
        <w:rPr>
          <w:lang w:val="es-419"/>
        </w:rPr>
      </w:pPr>
      <w:r w:rsidRPr="00C56EC9">
        <w:rPr>
          <w:lang w:val="es-419"/>
        </w:rPr>
        <w:t xml:space="preserve">Sin embargo, el artículo 157 de la Ley 51 </w:t>
      </w:r>
      <w:r w:rsidR="008A10AD" w:rsidRPr="00C56EC9">
        <w:rPr>
          <w:lang w:val="es-419"/>
        </w:rPr>
        <w:t xml:space="preserve">de 2005 </w:t>
      </w:r>
      <w:r w:rsidRPr="00C56EC9">
        <w:rPr>
          <w:lang w:val="es-419"/>
        </w:rPr>
        <w:t>prohíbe explícitamente el uso de las reservas de un subsistema para financiar los costos del otro. Aunque se podrían realizar modificaciones legales para permitir esta medida, su viabilidad estaría limitada. Aun con los cambios legales, las reservas del SMP se agotarían hacia finales de la presente década si se utilizara este esquema.</w:t>
      </w:r>
    </w:p>
    <w:p w14:paraId="6B17F536" w14:textId="21BDCD33" w:rsidR="004E07D6" w:rsidRPr="00C56EC9" w:rsidRDefault="004E07D6" w:rsidP="004E07D6">
      <w:pPr>
        <w:pStyle w:val="Grfico"/>
        <w:rPr>
          <w:rFonts w:ascii="Book Antiqua" w:hAnsi="Book Antiqua"/>
        </w:rPr>
      </w:pPr>
      <w:r w:rsidRPr="00C56EC9">
        <w:rPr>
          <w:rFonts w:ascii="Book Antiqua" w:hAnsi="Book Antiqua"/>
        </w:rPr>
        <w:lastRenderedPageBreak/>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4</w:t>
      </w:r>
      <w:r w:rsidRPr="00C56EC9">
        <w:rPr>
          <w:rFonts w:ascii="Book Antiqua" w:hAnsi="Book Antiqua"/>
        </w:rPr>
        <w:fldChar w:fldCharType="end"/>
      </w:r>
      <w:r w:rsidRPr="00C56EC9">
        <w:rPr>
          <w:rFonts w:ascii="Book Antiqua" w:hAnsi="Book Antiqua"/>
        </w:rPr>
        <w:t xml:space="preserve">. </w:t>
      </w:r>
      <w:r w:rsidR="00E13E3B" w:rsidRPr="00C56EC9">
        <w:rPr>
          <w:rFonts w:ascii="Book Antiqua" w:hAnsi="Book Antiqua"/>
        </w:rPr>
        <w:t>D</w:t>
      </w:r>
      <w:r w:rsidRPr="00C56EC9">
        <w:rPr>
          <w:rFonts w:ascii="Book Antiqua" w:hAnsi="Book Antiqua"/>
        </w:rPr>
        <w:t>éficit del SEBD</w:t>
      </w:r>
      <w:r w:rsidR="00E13E3B" w:rsidRPr="00C56EC9">
        <w:rPr>
          <w:rFonts w:ascii="Book Antiqua" w:hAnsi="Book Antiqua"/>
        </w:rPr>
        <w:t xml:space="preserve"> y reservas del SMP y se usan para cubrir el déficit y no se hacen otros cambios</w:t>
      </w:r>
    </w:p>
    <w:p w14:paraId="27D9C0B3" w14:textId="6B743834" w:rsidR="006B066C" w:rsidRPr="00C56EC9" w:rsidRDefault="006B066C" w:rsidP="004E07D6">
      <w:pPr>
        <w:jc w:val="right"/>
        <w:rPr>
          <w:lang w:val="es-419"/>
        </w:rPr>
      </w:pPr>
      <w:r w:rsidRPr="00C56EC9">
        <w:rPr>
          <w:noProof/>
          <w:lang w:val="es-PA" w:eastAsia="es-PA"/>
        </w:rPr>
        <w:drawing>
          <wp:inline distT="0" distB="0" distL="0" distR="0" wp14:anchorId="55A8F80C" wp14:editId="07D4DEFC">
            <wp:extent cx="5296957" cy="3064180"/>
            <wp:effectExtent l="0" t="0" r="0" b="3175"/>
            <wp:docPr id="82807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3324" cy="3079433"/>
                    </a:xfrm>
                    <a:prstGeom prst="rect">
                      <a:avLst/>
                    </a:prstGeom>
                    <a:noFill/>
                  </pic:spPr>
                </pic:pic>
              </a:graphicData>
            </a:graphic>
          </wp:inline>
        </w:drawing>
      </w:r>
    </w:p>
    <w:p w14:paraId="2E053B63" w14:textId="3DDED839" w:rsidR="00ED3AD8" w:rsidRPr="00C56EC9" w:rsidRDefault="00AB47C8" w:rsidP="00AB47C8">
      <w:pPr>
        <w:rPr>
          <w:lang w:val="es-419"/>
        </w:rPr>
      </w:pPr>
      <w:r w:rsidRPr="00C56EC9">
        <w:rPr>
          <w:lang w:val="es-419"/>
        </w:rPr>
        <w:t>Este tipo de intervención, en lugar de resolver el problema, solo postergaría y profundizaría el déficit fiscal, al mismo tiempo que agotaría los recursos del SMP. Estas reservas, que podrían ser utilizadas para suavizar el costo fiscal futuro, perderían su capacidad de apoyo, incrementando la presión sobre el sistema de pensiones y las finanzas públicas a largo plazo.</w:t>
      </w:r>
    </w:p>
    <w:p w14:paraId="0FB5A01D" w14:textId="1EB3540F" w:rsidR="00FE1810" w:rsidRPr="00C56EC9" w:rsidRDefault="00FE1810" w:rsidP="00FE1810">
      <w:pPr>
        <w:rPr>
          <w:lang w:val="es-419"/>
        </w:rPr>
      </w:pPr>
      <w:r w:rsidRPr="00C56EC9">
        <w:rPr>
          <w:lang w:val="es-419"/>
        </w:rPr>
        <w:t>Los riesgos de utilizar las reservas del SMP para cubrir el déficit del SEBD representan una amenaza profunda y potencialmente irreversible para la estabilidad financiera del sistema de pensiones y la economía nacional. Esta decisión, aunque pueda parecer una solución temporal, es un camino hacia el agotamiento de recursos y el incremento de tensiones fiscales sin precedentes.</w:t>
      </w:r>
    </w:p>
    <w:p w14:paraId="474F3357" w14:textId="3235AE79" w:rsidR="00FE1810" w:rsidRPr="00C56EC9" w:rsidRDefault="00FE1810" w:rsidP="00FE1810">
      <w:pPr>
        <w:rPr>
          <w:b/>
          <w:bCs/>
          <w:lang w:val="es-419"/>
        </w:rPr>
      </w:pPr>
      <w:r w:rsidRPr="00C56EC9">
        <w:rPr>
          <w:b/>
          <w:bCs/>
          <w:lang w:val="es-419"/>
        </w:rPr>
        <w:t>El colapso de las reservas del SMP y sus implicaciones sistémicas</w:t>
      </w:r>
      <w:r w:rsidR="00D35916" w:rsidRPr="00C56EC9">
        <w:rPr>
          <w:b/>
          <w:bCs/>
          <w:lang w:val="es-419"/>
        </w:rPr>
        <w:t xml:space="preserve"> si no se hacen otros cambios</w:t>
      </w:r>
    </w:p>
    <w:p w14:paraId="44716C51" w14:textId="1FBB500C" w:rsidR="00FE1810" w:rsidRPr="00C56EC9" w:rsidRDefault="00FE1810" w:rsidP="00FE1810">
      <w:pPr>
        <w:rPr>
          <w:lang w:val="es-419"/>
        </w:rPr>
      </w:pPr>
      <w:r w:rsidRPr="00C56EC9">
        <w:rPr>
          <w:lang w:val="es-419"/>
        </w:rPr>
        <w:t xml:space="preserve">La propuesta de utilizar las reservas del SMP conllevará una caída abrupta de estas desde un nivel equivalente al 7% del PIB en la actualidad hasta llegar a cero para el año 2030. </w:t>
      </w:r>
      <w:r w:rsidR="003C5982" w:rsidRPr="00C56EC9">
        <w:rPr>
          <w:lang w:val="es-419"/>
        </w:rPr>
        <w:t xml:space="preserve">A nivel de comparación, </w:t>
      </w:r>
      <w:r w:rsidR="00681949" w:rsidRPr="00C56EC9">
        <w:rPr>
          <w:lang w:val="es-419"/>
        </w:rPr>
        <w:t>los ingresos de la Autoridad del Canal de Panamá (ACP)</w:t>
      </w:r>
      <w:r w:rsidR="00F71EBE" w:rsidRPr="00C56EC9">
        <w:rPr>
          <w:lang w:val="es-419"/>
        </w:rPr>
        <w:t xml:space="preserve"> oscilan entre el 6% y 8% del PIB y no serían suficientes por sí solas para cubrir este déficit.</w:t>
      </w:r>
      <w:r w:rsidR="00681949" w:rsidRPr="00C56EC9">
        <w:rPr>
          <w:lang w:val="es-419"/>
        </w:rPr>
        <w:t xml:space="preserve"> </w:t>
      </w:r>
      <w:r w:rsidR="00F71EBE" w:rsidRPr="00C56EC9">
        <w:rPr>
          <w:lang w:val="es-419"/>
        </w:rPr>
        <w:t>Por lo tanto, e</w:t>
      </w:r>
      <w:r w:rsidRPr="00C56EC9">
        <w:rPr>
          <w:lang w:val="es-419"/>
        </w:rPr>
        <w:t xml:space="preserve">ste desplome no solo eliminará el colchón financiero del sistema, sino que también alterará profundamente la capacidad del Gobierno para </w:t>
      </w:r>
      <w:r w:rsidRPr="00C56EC9">
        <w:rPr>
          <w:lang w:val="es-419"/>
        </w:rPr>
        <w:lastRenderedPageBreak/>
        <w:t>financiarse. Una proporción significativa de las reservas del SMP está invertida en instrumentos financieros emitidos por el sector público, como títulos de deuda soberana. La liquidación masiva de estos activos no solo pondrá en riesgo las finanzas del SMP, sino que también socavará la estabilidad del mercado de deuda pública, aumentando los costos de endeudamiento del país y erosionando la confianza de los inversionistas.</w:t>
      </w:r>
    </w:p>
    <w:p w14:paraId="2DF734E6" w14:textId="5104C73B" w:rsidR="00FE1810" w:rsidRPr="00C56EC9" w:rsidRDefault="00FE1810" w:rsidP="00FE1810">
      <w:pPr>
        <w:rPr>
          <w:lang w:val="es-419"/>
        </w:rPr>
      </w:pPr>
      <w:r w:rsidRPr="00C56EC9">
        <w:rPr>
          <w:lang w:val="es-419"/>
        </w:rPr>
        <w:t>Además, esta medida elimina la posibilidad de que las reservas del SMP continúen con su trayectoria de acumulación hacia niveles cercanos al 40% del PIB proyectados para finales de siglo. Este nivel de reservas no solo habría proporcionado estabilidad al sistema de pensiones, sino que también habría contribuido a suavizar el impacto fiscal de futuras crisis demográficas y económicas.</w:t>
      </w:r>
    </w:p>
    <w:p w14:paraId="3CF45A73" w14:textId="21E3F601" w:rsidR="00A87FA4" w:rsidRPr="00C56EC9" w:rsidRDefault="005930E2" w:rsidP="005930E2">
      <w:pPr>
        <w:pStyle w:val="Ttulo1"/>
        <w:numPr>
          <w:ilvl w:val="0"/>
          <w:numId w:val="1"/>
        </w:numPr>
        <w:rPr>
          <w:lang w:val="es-419"/>
        </w:rPr>
      </w:pPr>
      <w:bookmarkStart w:id="4" w:name="_Toc183978426"/>
      <w:r w:rsidRPr="00C56EC9">
        <w:rPr>
          <w:lang w:val="es-419"/>
        </w:rPr>
        <w:t>Bases del modelo actuarial</w:t>
      </w:r>
      <w:r w:rsidR="00196786" w:rsidRPr="00C56EC9">
        <w:rPr>
          <w:lang w:val="es-419"/>
        </w:rPr>
        <w:t xml:space="preserve"> de proyección del PL 163 de 2024</w:t>
      </w:r>
      <w:bookmarkEnd w:id="4"/>
    </w:p>
    <w:p w14:paraId="6502DFF9" w14:textId="103B5958" w:rsidR="005930E2" w:rsidRPr="00C56EC9" w:rsidRDefault="00716C0D" w:rsidP="00AB47C8">
      <w:pPr>
        <w:rPr>
          <w:lang w:val="es-419"/>
        </w:rPr>
      </w:pPr>
      <w:r w:rsidRPr="00C56EC9">
        <w:rPr>
          <w:lang w:val="es-419"/>
        </w:rPr>
        <w:t>El modelo actuarial, implementado para simular los efectos de la reforma propuesta en el PL 163 de 2024, se clasifica como un modelo actuarial múltiple. Su diseño permite analizar simultáneamente los diferentes subsistemas de pensiones que conforman el sistema de la CSS y proyectar sus comportamientos financieros y demográficos en un horizonte temporal que se extiende hasta el año 2108</w:t>
      </w:r>
      <w:r w:rsidR="00136554" w:rsidRPr="00C56EC9">
        <w:rPr>
          <w:lang w:val="es-419"/>
        </w:rPr>
        <w:t xml:space="preserve">. Este horizonte </w:t>
      </w:r>
      <w:r w:rsidR="00BD22E1" w:rsidRPr="00C56EC9">
        <w:rPr>
          <w:lang w:val="es-419"/>
        </w:rPr>
        <w:t>cubre tanto periodos de transición como de estabilidad proyectada.</w:t>
      </w:r>
    </w:p>
    <w:p w14:paraId="2FA9FEA2" w14:textId="12522873" w:rsidR="00CE294A" w:rsidRPr="00C56EC9" w:rsidRDefault="00CE294A" w:rsidP="00CE294A">
      <w:pPr>
        <w:pStyle w:val="Ttulo2"/>
        <w:numPr>
          <w:ilvl w:val="1"/>
          <w:numId w:val="1"/>
        </w:numPr>
        <w:rPr>
          <w:lang w:val="es-419"/>
        </w:rPr>
      </w:pPr>
      <w:bookmarkStart w:id="5" w:name="_Toc183978427"/>
      <w:r w:rsidRPr="00C56EC9">
        <w:rPr>
          <w:lang w:val="es-419"/>
        </w:rPr>
        <w:t>Supuestos macroeconómicos</w:t>
      </w:r>
      <w:bookmarkEnd w:id="5"/>
    </w:p>
    <w:p w14:paraId="4850332E" w14:textId="740E5512" w:rsidR="007025D2" w:rsidRPr="00C56EC9" w:rsidRDefault="00D32774" w:rsidP="007025D2">
      <w:pPr>
        <w:rPr>
          <w:lang w:val="es-419"/>
        </w:rPr>
      </w:pPr>
      <w:r w:rsidRPr="00C56EC9">
        <w:rPr>
          <w:lang w:val="es-419"/>
        </w:rPr>
        <w:t>Los supuestos macroeconómicos son elementos fundamentales en la elaboración de modelos actuariales, ya que establecen el marco en el que se proyectan ingresos y gastos futuros del sistema de pensiones</w:t>
      </w:r>
      <w:r w:rsidR="001D69F9" w:rsidRPr="00C56EC9">
        <w:rPr>
          <w:lang w:val="es-419"/>
        </w:rPr>
        <w:t>. Los supuestos macroeconómicos no solo establecen un marco técnico para las proyecciones actuariales, sino que también reflejan decisiones estratégicas sobre cómo gestionar la sostenibilidad financiera de la CSS en el futuro.</w:t>
      </w:r>
      <w:r w:rsidRPr="00C56EC9">
        <w:rPr>
          <w:lang w:val="es-419"/>
        </w:rPr>
        <w:t xml:space="preserve"> Reflejan las dinámicas esperadas de variables clave como inflación, crecimiento del PIB, crecimiento salarial y retornos de inversión. En el caso </w:t>
      </w:r>
      <w:r w:rsidR="001D69F9" w:rsidRPr="00C56EC9">
        <w:rPr>
          <w:lang w:val="es-419"/>
        </w:rPr>
        <w:t>de</w:t>
      </w:r>
      <w:r w:rsidR="00697B31" w:rsidRPr="00C56EC9">
        <w:rPr>
          <w:lang w:val="es-419"/>
        </w:rPr>
        <w:t xml:space="preserve"> las proyecciones actuariales que soportan lo establecido en el</w:t>
      </w:r>
      <w:r w:rsidR="001D69F9" w:rsidRPr="00C56EC9">
        <w:rPr>
          <w:lang w:val="es-419"/>
        </w:rPr>
        <w:t xml:space="preserve"> PL 163 de 2024</w:t>
      </w:r>
      <w:r w:rsidR="00697B31" w:rsidRPr="00C56EC9">
        <w:rPr>
          <w:lang w:val="es-419"/>
        </w:rPr>
        <w:t>,</w:t>
      </w:r>
      <w:r w:rsidR="001D69F9" w:rsidRPr="00C56EC9">
        <w:rPr>
          <w:lang w:val="es-419"/>
        </w:rPr>
        <w:t xml:space="preserve"> los</w:t>
      </w:r>
      <w:r w:rsidRPr="00C56EC9">
        <w:rPr>
          <w:lang w:val="es-419"/>
        </w:rPr>
        <w:t xml:space="preserve"> supuestos macroeconómicos destacan las siguientes áreas principales:</w:t>
      </w:r>
    </w:p>
    <w:p w14:paraId="68565E24" w14:textId="7AFA2ADC" w:rsidR="00D32774" w:rsidRPr="00C56EC9" w:rsidRDefault="00D32774" w:rsidP="007025D2">
      <w:pPr>
        <w:rPr>
          <w:lang w:val="es-419"/>
        </w:rPr>
      </w:pPr>
      <w:r w:rsidRPr="00C56EC9">
        <w:rPr>
          <w:b/>
          <w:bCs/>
          <w:lang w:val="es-419"/>
        </w:rPr>
        <w:t>Inflación</w:t>
      </w:r>
    </w:p>
    <w:p w14:paraId="66171E13" w14:textId="06472134" w:rsidR="00E00070" w:rsidRPr="00C56EC9" w:rsidRDefault="00B64C98" w:rsidP="007025D2">
      <w:pPr>
        <w:rPr>
          <w:lang w:val="es-419"/>
        </w:rPr>
      </w:pPr>
      <w:r w:rsidRPr="00C56EC9">
        <w:rPr>
          <w:lang w:val="es-419"/>
        </w:rPr>
        <w:lastRenderedPageBreak/>
        <w:t>La inflación se proyecta en un nivel estacionario del 1.5% anual a largo plazo, reflejando la estabilidad de precios esperada para la economía panameña</w:t>
      </w:r>
      <w:r w:rsidR="00591027" w:rsidRPr="00C56EC9">
        <w:rPr>
          <w:lang w:val="es-419"/>
        </w:rPr>
        <w:t xml:space="preserve"> </w:t>
      </w:r>
      <w:r w:rsidR="005D5DBD" w:rsidRPr="00C56EC9">
        <w:rPr>
          <w:lang w:val="es-419"/>
        </w:rPr>
        <w:t>con paridad con el dólar estadounidense</w:t>
      </w:r>
      <w:r w:rsidRPr="00C56EC9">
        <w:rPr>
          <w:lang w:val="es-419"/>
        </w:rPr>
        <w:t>. Este parámetro tiene un impacto directo en los gastos del sistema, ya que muchas de las prestaciones económicas, incluidas las pensiones de IVM, están indexadas al Índice de Precios al Consumidor (IPC). Esta indexación asegura que las pensiones mantengan su poder adquisitivo con el tiempo, pero también significa que cualquier desviación en las expectativas de inflación puede generar un incremento inesperado en los costos.</w:t>
      </w:r>
    </w:p>
    <w:p w14:paraId="4EEA31F6" w14:textId="565AB6AF" w:rsidR="00B64C98" w:rsidRPr="00C56EC9" w:rsidRDefault="00B64C98" w:rsidP="00B64C98">
      <w:pPr>
        <w:pStyle w:val="Grfico"/>
        <w:rPr>
          <w:rFonts w:ascii="Book Antiqua" w:hAnsi="Book Antiqua"/>
        </w:rPr>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5</w:t>
      </w:r>
      <w:r w:rsidRPr="00C56EC9">
        <w:rPr>
          <w:rFonts w:ascii="Book Antiqua" w:hAnsi="Book Antiqua"/>
        </w:rPr>
        <w:fldChar w:fldCharType="end"/>
      </w:r>
      <w:r w:rsidRPr="00C56EC9">
        <w:rPr>
          <w:rFonts w:ascii="Book Antiqua" w:hAnsi="Book Antiqua"/>
        </w:rPr>
        <w:t xml:space="preserve">. </w:t>
      </w:r>
      <w:r w:rsidR="007A1539" w:rsidRPr="00C56EC9">
        <w:rPr>
          <w:rFonts w:ascii="Book Antiqua" w:hAnsi="Book Antiqua"/>
        </w:rPr>
        <w:t>Inflación observada Panamá</w:t>
      </w:r>
    </w:p>
    <w:p w14:paraId="637815F2" w14:textId="327F083E" w:rsidR="00E00070" w:rsidRPr="00C56EC9" w:rsidRDefault="00E00070" w:rsidP="00B64C98">
      <w:pPr>
        <w:jc w:val="center"/>
        <w:rPr>
          <w:lang w:val="es-419"/>
        </w:rPr>
      </w:pPr>
      <w:r w:rsidRPr="00C56EC9">
        <w:rPr>
          <w:noProof/>
          <w:lang w:val="es-PA" w:eastAsia="es-PA"/>
        </w:rPr>
        <w:drawing>
          <wp:inline distT="0" distB="0" distL="0" distR="0" wp14:anchorId="4E6C0E63" wp14:editId="2B62BF5A">
            <wp:extent cx="4025385" cy="2415232"/>
            <wp:effectExtent l="0" t="0" r="0" b="0"/>
            <wp:docPr id="20" name="Picture 19" descr="A graph with a line&#10;&#10;Description automatically generated">
              <a:extLst xmlns:a="http://schemas.openxmlformats.org/drawingml/2006/main">
                <a:ext uri="{FF2B5EF4-FFF2-40B4-BE49-F238E27FC236}">
                  <a16:creationId xmlns:a16="http://schemas.microsoft.com/office/drawing/2014/main" id="{1E30EC77-8777-49C5-1EE6-420F5A68D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graph with a line&#10;&#10;Description automatically generated">
                      <a:extLst>
                        <a:ext uri="{FF2B5EF4-FFF2-40B4-BE49-F238E27FC236}">
                          <a16:creationId xmlns:a16="http://schemas.microsoft.com/office/drawing/2014/main" id="{1E30EC77-8777-49C5-1EE6-420F5A68D23D}"/>
                        </a:ext>
                      </a:extLst>
                    </pic:cNvPr>
                    <pic:cNvPicPr>
                      <a:picLocks noChangeAspect="1"/>
                    </pic:cNvPicPr>
                  </pic:nvPicPr>
                  <pic:blipFill>
                    <a:blip r:embed="rId13">
                      <a:biLevel thresh="50000"/>
                    </a:blip>
                    <a:stretch>
                      <a:fillRect/>
                    </a:stretch>
                  </pic:blipFill>
                  <pic:spPr>
                    <a:xfrm>
                      <a:off x="0" y="0"/>
                      <a:ext cx="4031537" cy="2418923"/>
                    </a:xfrm>
                    <a:prstGeom prst="rect">
                      <a:avLst/>
                    </a:prstGeom>
                  </pic:spPr>
                </pic:pic>
              </a:graphicData>
            </a:graphic>
          </wp:inline>
        </w:drawing>
      </w:r>
    </w:p>
    <w:p w14:paraId="59A07965" w14:textId="77777777" w:rsidR="007A1539" w:rsidRPr="00C56EC9" w:rsidRDefault="007A1539" w:rsidP="007A1539">
      <w:pPr>
        <w:rPr>
          <w:lang w:val="es-419"/>
        </w:rPr>
      </w:pPr>
    </w:p>
    <w:p w14:paraId="20032F52" w14:textId="2645BA3A" w:rsidR="007A1539" w:rsidRPr="00C56EC9" w:rsidRDefault="007A1539" w:rsidP="007A1539">
      <w:pPr>
        <w:rPr>
          <w:b/>
          <w:bCs/>
          <w:lang w:val="es-419"/>
        </w:rPr>
      </w:pPr>
      <w:r w:rsidRPr="00C56EC9">
        <w:rPr>
          <w:b/>
          <w:bCs/>
          <w:lang w:val="es-419"/>
        </w:rPr>
        <w:t>Producto Interno Bruto a precios corrientes</w:t>
      </w:r>
    </w:p>
    <w:p w14:paraId="6EB2E94B" w14:textId="4EF2727D" w:rsidR="007A1539" w:rsidRPr="00C56EC9" w:rsidRDefault="0094135B" w:rsidP="007A1539">
      <w:pPr>
        <w:rPr>
          <w:lang w:val="es-419"/>
        </w:rPr>
      </w:pPr>
      <w:r w:rsidRPr="00C56EC9">
        <w:rPr>
          <w:lang w:val="es-419"/>
        </w:rPr>
        <w:t>La tasa de crecimiento nominal del PIB se estima en un 4% anual. Este supuesto es clave, ya que afecta directamente la base de contribuyentes y la capacidad fiscal del Estado para cubrir déficits del sistema. Se ha ajustado esta tasa para alinearla con el máximo de crecimiento del aporte estatal previsto en el artículo 60 del Proyecto de Ley 163 de 2024, que busca modificar el artículo 100 de la Ley 51. Históricamente, el PIB ha mostrado fluctuaciones significativas, pero la proyección de estabilidad en el crecimiento nominal permite prever un marco fiscal más predecible para la CSS.</w:t>
      </w:r>
    </w:p>
    <w:p w14:paraId="5BC0C614" w14:textId="77777777" w:rsidR="00535362" w:rsidRPr="00C56EC9" w:rsidRDefault="00535362" w:rsidP="007025D2">
      <w:pPr>
        <w:rPr>
          <w:lang w:val="es-419"/>
        </w:rPr>
      </w:pPr>
    </w:p>
    <w:p w14:paraId="709DC8B2" w14:textId="77777777" w:rsidR="00535362" w:rsidRPr="00C56EC9" w:rsidRDefault="00535362" w:rsidP="007025D2">
      <w:pPr>
        <w:rPr>
          <w:lang w:val="es-419"/>
        </w:rPr>
      </w:pPr>
    </w:p>
    <w:p w14:paraId="7AECC409" w14:textId="77777777" w:rsidR="0094135B" w:rsidRPr="00C56EC9" w:rsidRDefault="0094135B" w:rsidP="007025D2">
      <w:pPr>
        <w:rPr>
          <w:lang w:val="es-419"/>
        </w:rPr>
      </w:pPr>
    </w:p>
    <w:p w14:paraId="1B3F62A3" w14:textId="77777777" w:rsidR="0094135B" w:rsidRPr="00C56EC9" w:rsidRDefault="0094135B" w:rsidP="007025D2">
      <w:pPr>
        <w:rPr>
          <w:lang w:val="es-419"/>
        </w:rPr>
      </w:pPr>
    </w:p>
    <w:p w14:paraId="4C36F087" w14:textId="082F90C2" w:rsidR="0094135B" w:rsidRPr="00C56EC9" w:rsidRDefault="0094135B" w:rsidP="0094135B">
      <w:pPr>
        <w:pStyle w:val="Grfico"/>
        <w:rPr>
          <w:rFonts w:ascii="Book Antiqua" w:hAnsi="Book Antiqua"/>
        </w:rPr>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6</w:t>
      </w:r>
      <w:r w:rsidRPr="00C56EC9">
        <w:rPr>
          <w:rFonts w:ascii="Book Antiqua" w:hAnsi="Book Antiqua"/>
        </w:rPr>
        <w:fldChar w:fldCharType="end"/>
      </w:r>
      <w:r w:rsidRPr="00C56EC9">
        <w:rPr>
          <w:rFonts w:ascii="Book Antiqua" w:hAnsi="Book Antiqua"/>
        </w:rPr>
        <w:t xml:space="preserve">. Crecimiento del PIB </w:t>
      </w:r>
      <w:r w:rsidR="00F065DB" w:rsidRPr="00C56EC9">
        <w:rPr>
          <w:rFonts w:ascii="Book Antiqua" w:hAnsi="Book Antiqua"/>
        </w:rPr>
        <w:t>a precios corrientes</w:t>
      </w:r>
    </w:p>
    <w:p w14:paraId="523552B5" w14:textId="0CEC7E36" w:rsidR="00A87FA4" w:rsidRPr="00C56EC9" w:rsidRDefault="00535362" w:rsidP="0094135B">
      <w:pPr>
        <w:jc w:val="center"/>
        <w:rPr>
          <w:lang w:val="es-419"/>
        </w:rPr>
      </w:pPr>
      <w:r w:rsidRPr="00C56EC9">
        <w:rPr>
          <w:noProof/>
          <w:lang w:val="es-PA" w:eastAsia="es-PA"/>
        </w:rPr>
        <w:drawing>
          <wp:inline distT="0" distB="0" distL="0" distR="0" wp14:anchorId="5D327530" wp14:editId="11C7B730">
            <wp:extent cx="4566285" cy="2743200"/>
            <wp:effectExtent l="0" t="0" r="5715" b="0"/>
            <wp:docPr id="985183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biLevel thresh="50000"/>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6156EBAE" w14:textId="31423951" w:rsidR="00F065DB" w:rsidRPr="00C56EC9" w:rsidRDefault="00F065DB" w:rsidP="00F065DB">
      <w:pPr>
        <w:rPr>
          <w:b/>
          <w:bCs/>
          <w:lang w:val="es-419"/>
        </w:rPr>
      </w:pPr>
      <w:r w:rsidRPr="00C56EC9">
        <w:rPr>
          <w:b/>
          <w:bCs/>
          <w:lang w:val="es-419"/>
        </w:rPr>
        <w:t>Crecimiento Salarial</w:t>
      </w:r>
    </w:p>
    <w:p w14:paraId="2889A367" w14:textId="533F5739" w:rsidR="00535362" w:rsidRPr="00C56EC9" w:rsidRDefault="004C3EA9" w:rsidP="00AB47C8">
      <w:pPr>
        <w:rPr>
          <w:lang w:val="es-419"/>
        </w:rPr>
      </w:pPr>
      <w:r w:rsidRPr="00C56EC9">
        <w:rPr>
          <w:lang w:val="es-419"/>
        </w:rPr>
        <w:t>El supuesto de crecimiento de los salarios se estima en un 2.5% nominal, lo que equivale a un crecimiento real del 1% después de descontar el IPC. Este parámetro es crucial para calcular los ingresos futuros por contribuciones, ya que estas están directamente vinculadas a los salarios de los afiliados. Además, influye en los beneficios definidos en transición y en el tamaño de la Capitalización Solidaria dentro del nuevo sistema de pensiones. Una variación en las tasas salariales podría alterar significativamente las proyecciones de sostenibilidad del sistema.</w:t>
      </w:r>
    </w:p>
    <w:p w14:paraId="5E959423" w14:textId="54AAE967" w:rsidR="0049557E" w:rsidRPr="00C56EC9" w:rsidRDefault="00545921" w:rsidP="00AB47C8">
      <w:pPr>
        <w:rPr>
          <w:b/>
          <w:bCs/>
          <w:lang w:val="es-419"/>
        </w:rPr>
      </w:pPr>
      <w:r w:rsidRPr="00C56EC9">
        <w:rPr>
          <w:b/>
          <w:bCs/>
          <w:lang w:val="es-419"/>
        </w:rPr>
        <w:t>Retornos de las reservas</w:t>
      </w:r>
    </w:p>
    <w:p w14:paraId="25C55306" w14:textId="7E12E730" w:rsidR="00545921" w:rsidRPr="00C56EC9" w:rsidRDefault="00545921" w:rsidP="00AB47C8">
      <w:pPr>
        <w:rPr>
          <w:lang w:val="es-419"/>
        </w:rPr>
      </w:pPr>
      <w:r w:rsidRPr="00C56EC9">
        <w:rPr>
          <w:lang w:val="es-419"/>
        </w:rPr>
        <w:t xml:space="preserve">El modelo considera una tasa de retorno promedio de </w:t>
      </w:r>
      <w:r w:rsidR="003221B2" w:rsidRPr="00C56EC9">
        <w:rPr>
          <w:lang w:val="es-419"/>
        </w:rPr>
        <w:t>5</w:t>
      </w:r>
      <w:r w:rsidRPr="00C56EC9">
        <w:rPr>
          <w:lang w:val="es-419"/>
        </w:rPr>
        <w:t xml:space="preserve">% para el nuevo Fondo Único Solidario, superior al promedio histórico del 4% observado en las reservas de IVM. Este incremento en la tasa de retorno se fundamenta en la actualización de las políticas, límites </w:t>
      </w:r>
      <w:proofErr w:type="spellStart"/>
      <w:r w:rsidRPr="00C56EC9">
        <w:rPr>
          <w:lang w:val="es-419"/>
        </w:rPr>
        <w:t>y</w:t>
      </w:r>
      <w:proofErr w:type="spellEnd"/>
      <w:r w:rsidRPr="00C56EC9">
        <w:rPr>
          <w:lang w:val="es-419"/>
        </w:rPr>
        <w:t xml:space="preserve"> instrumentos de inversión propuestas en el artículo 64 del Proyecto de Ley 163 de 2024. Las reservas actuales de la CSS están diversificadas entre varios componentes, incluyendo fideicomisos y títulos de deuda. Sin embargo, cualquier </w:t>
      </w:r>
      <w:r w:rsidRPr="00C56EC9">
        <w:rPr>
          <w:lang w:val="es-419"/>
        </w:rPr>
        <w:lastRenderedPageBreak/>
        <w:t xml:space="preserve">rendimiento inferior al proyectado podría limitar la capacidad del Fondo Único Solidario para cumplir con </w:t>
      </w:r>
      <w:r w:rsidR="005F4757" w:rsidRPr="00C56EC9">
        <w:rPr>
          <w:lang w:val="es-419"/>
        </w:rPr>
        <w:t>el objetivo de ofrecer pensiones adecuadas.</w:t>
      </w:r>
    </w:p>
    <w:p w14:paraId="6F67F4D4" w14:textId="6944D98C" w:rsidR="005F4757" w:rsidRPr="00C56EC9" w:rsidRDefault="009C5575" w:rsidP="009C5575">
      <w:pPr>
        <w:pStyle w:val="Grfico"/>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7</w:t>
      </w:r>
      <w:r w:rsidRPr="00C56EC9">
        <w:rPr>
          <w:rFonts w:ascii="Book Antiqua" w:hAnsi="Book Antiqua"/>
        </w:rPr>
        <w:fldChar w:fldCharType="end"/>
      </w:r>
      <w:r w:rsidRPr="00C56EC9">
        <w:rPr>
          <w:rFonts w:ascii="Book Antiqua" w:hAnsi="Book Antiqua"/>
        </w:rPr>
        <w:t>. Nivel de reservas actuales a cargo de la CSS</w:t>
      </w:r>
    </w:p>
    <w:p w14:paraId="6042DE94" w14:textId="509957CA" w:rsidR="005F4757" w:rsidRPr="00C56EC9" w:rsidRDefault="00341BEF" w:rsidP="009C5575">
      <w:pPr>
        <w:jc w:val="center"/>
        <w:rPr>
          <w:lang w:val="es-419"/>
        </w:rPr>
      </w:pPr>
      <w:r w:rsidRPr="00C56EC9">
        <w:rPr>
          <w:noProof/>
          <w:lang w:val="es-PA" w:eastAsia="es-PA"/>
        </w:rPr>
        <w:drawing>
          <wp:inline distT="0" distB="0" distL="0" distR="0" wp14:anchorId="3849F61B" wp14:editId="2346A534">
            <wp:extent cx="4625987" cy="3484154"/>
            <wp:effectExtent l="0" t="0" r="0" b="0"/>
            <wp:docPr id="834866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37896" cy="3493123"/>
                    </a:xfrm>
                    <a:prstGeom prst="rect">
                      <a:avLst/>
                    </a:prstGeom>
                    <a:noFill/>
                  </pic:spPr>
                </pic:pic>
              </a:graphicData>
            </a:graphic>
          </wp:inline>
        </w:drawing>
      </w:r>
    </w:p>
    <w:p w14:paraId="090DB39D" w14:textId="56C64211" w:rsidR="009C5575" w:rsidRPr="00C56EC9" w:rsidRDefault="001F5D32" w:rsidP="001F5D32">
      <w:pPr>
        <w:pStyle w:val="Ttulo2"/>
        <w:numPr>
          <w:ilvl w:val="1"/>
          <w:numId w:val="1"/>
        </w:numPr>
        <w:rPr>
          <w:lang w:val="es-419"/>
        </w:rPr>
      </w:pPr>
      <w:bookmarkStart w:id="6" w:name="_Toc183978428"/>
      <w:r w:rsidRPr="00C56EC9">
        <w:rPr>
          <w:lang w:val="es-419"/>
        </w:rPr>
        <w:t>Bases demográficas</w:t>
      </w:r>
      <w:bookmarkEnd w:id="6"/>
    </w:p>
    <w:p w14:paraId="7ACAE17B" w14:textId="290CE9EC" w:rsidR="001F5D32" w:rsidRPr="00C56EC9" w:rsidRDefault="001F5D32" w:rsidP="009C5575">
      <w:pPr>
        <w:rPr>
          <w:lang w:val="es-419"/>
        </w:rPr>
      </w:pPr>
      <w:r w:rsidRPr="00C56EC9">
        <w:rPr>
          <w:lang w:val="es-419"/>
        </w:rPr>
        <w:t>Las bases demográficas y actuariales para el modelo actuarial de la CSS se fundamentan en un análisis detallado de las tendencias poblacionales y la proyección de variables clave como la mortalidad, la invalidez, la transición hacia el retiro y la estructura familiar para la asignación de beneficios de sobrevivencia.</w:t>
      </w:r>
      <w:r w:rsidR="00525E2C" w:rsidRPr="00C56EC9">
        <w:rPr>
          <w:lang w:val="es-419"/>
        </w:rPr>
        <w:t xml:space="preserve"> Se parte del informe de la Organización Internacional del Trabajo (OIT) </w:t>
      </w:r>
      <w:r w:rsidR="00F90C64" w:rsidRPr="00C56EC9">
        <w:rPr>
          <w:lang w:val="es-419"/>
        </w:rPr>
        <w:t>a 2019 y se actualizan con información primaria de la CSS a 2020.</w:t>
      </w:r>
    </w:p>
    <w:p w14:paraId="48811D50" w14:textId="7F97D906" w:rsidR="008C5B07" w:rsidRPr="00C56EC9" w:rsidRDefault="00B74999" w:rsidP="009C5575">
      <w:pPr>
        <w:rPr>
          <w:b/>
          <w:bCs/>
          <w:lang w:val="es-419"/>
        </w:rPr>
      </w:pPr>
      <w:r w:rsidRPr="00C56EC9">
        <w:rPr>
          <w:b/>
          <w:bCs/>
          <w:lang w:val="es-419"/>
        </w:rPr>
        <w:t>Afiliados</w:t>
      </w:r>
      <w:r w:rsidR="00DE5BFD" w:rsidRPr="00C56EC9">
        <w:rPr>
          <w:b/>
          <w:bCs/>
          <w:lang w:val="es-419"/>
        </w:rPr>
        <w:t xml:space="preserve">, salarios </w:t>
      </w:r>
      <w:r w:rsidRPr="00C56EC9">
        <w:rPr>
          <w:b/>
          <w:bCs/>
          <w:lang w:val="es-419"/>
        </w:rPr>
        <w:t xml:space="preserve">y </w:t>
      </w:r>
      <w:r w:rsidR="00D71036" w:rsidRPr="00C56EC9">
        <w:rPr>
          <w:b/>
          <w:bCs/>
          <w:lang w:val="es-419"/>
        </w:rPr>
        <w:t xml:space="preserve">valor nocional de los aportes al 4% </w:t>
      </w:r>
    </w:p>
    <w:p w14:paraId="49428B07" w14:textId="703BCCEF" w:rsidR="00662ED9" w:rsidRPr="00C56EC9" w:rsidRDefault="00C56EC9" w:rsidP="00C56EC9">
      <w:pPr>
        <w:rPr>
          <w:lang w:val="es-419"/>
        </w:rPr>
      </w:pPr>
      <w:r w:rsidRPr="00C56EC9">
        <w:rPr>
          <w:lang w:val="es-419"/>
        </w:rPr>
        <w:t xml:space="preserve">En los modelos actuariales de pensiones, la inclusión de los afiliados y las tasas de afiliación es crucial para proyectar tanto la sostenibilidad financiera como la cobertura del sistema en el largo plazo. Estas tasas se calculan a partir de la población económicamente activa que está formalmente inscrita y cotizando, lo cual impacta directamente los ingresos por contribuciones y, en consecuencia, la capacidad del sistema para financiar prestaciones en un esquema solidario que se propone. </w:t>
      </w:r>
      <w:r w:rsidR="00662ED9" w:rsidRPr="00C56EC9">
        <w:rPr>
          <w:lang w:val="es-419"/>
        </w:rPr>
        <w:br w:type="page"/>
      </w:r>
    </w:p>
    <w:p w14:paraId="62C6C9CD" w14:textId="77777777" w:rsidR="00662ED9" w:rsidRPr="00C56EC9" w:rsidRDefault="00662ED9" w:rsidP="00E04C18">
      <w:pPr>
        <w:spacing w:line="240" w:lineRule="auto"/>
        <w:rPr>
          <w:lang w:val="es-419"/>
        </w:rPr>
        <w:sectPr w:rsidR="00662ED9" w:rsidRPr="00C56EC9" w:rsidSect="00B24233">
          <w:footerReference w:type="default" r:id="rId17"/>
          <w:pgSz w:w="11907" w:h="16840"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07B8C2" w14:textId="1FC29FD0" w:rsidR="00662ED9" w:rsidRPr="00C56EC9" w:rsidRDefault="00662ED9" w:rsidP="00662ED9">
      <w:pPr>
        <w:pStyle w:val="Grfico"/>
      </w:pPr>
      <w:r w:rsidRPr="00C56EC9">
        <w:lastRenderedPageBreak/>
        <w:t xml:space="preserve">Tabla </w:t>
      </w:r>
      <w:r w:rsidRPr="00C56EC9">
        <w:fldChar w:fldCharType="begin"/>
      </w:r>
      <w:r w:rsidRPr="00C56EC9">
        <w:instrText xml:space="preserve"> SEQ Tabla \* ARABIC </w:instrText>
      </w:r>
      <w:r w:rsidRPr="00C56EC9">
        <w:fldChar w:fldCharType="separate"/>
      </w:r>
      <w:r w:rsidR="00B24233">
        <w:rPr>
          <w:noProof/>
        </w:rPr>
        <w:t>2</w:t>
      </w:r>
      <w:r w:rsidRPr="00C56EC9">
        <w:fldChar w:fldCharType="end"/>
      </w:r>
      <w:r w:rsidRPr="00C56EC9">
        <w:t xml:space="preserve">. Afiliados de línea de base a 1 de </w:t>
      </w:r>
      <w:r w:rsidR="00D42398">
        <w:t>enero</w:t>
      </w:r>
      <w:r w:rsidRPr="00C56EC9">
        <w:t xml:space="preserve"> de 2023</w:t>
      </w:r>
      <w:r w:rsidR="00C7386F" w:rsidRPr="00C56EC9">
        <w:t xml:space="preserve"> (SEBD)</w:t>
      </w:r>
    </w:p>
    <w:tbl>
      <w:tblPr>
        <w:tblW w:w="5000" w:type="pct"/>
        <w:tblLook w:val="04A0" w:firstRow="1" w:lastRow="0" w:firstColumn="1" w:lastColumn="0" w:noHBand="0" w:noVBand="1"/>
      </w:tblPr>
      <w:tblGrid>
        <w:gridCol w:w="1260"/>
        <w:gridCol w:w="656"/>
        <w:gridCol w:w="1366"/>
        <w:gridCol w:w="1646"/>
        <w:gridCol w:w="1342"/>
        <w:gridCol w:w="1331"/>
        <w:gridCol w:w="656"/>
        <w:gridCol w:w="1367"/>
        <w:gridCol w:w="1646"/>
        <w:gridCol w:w="1342"/>
        <w:gridCol w:w="1336"/>
      </w:tblGrid>
      <w:tr w:rsidR="00E27790" w:rsidRPr="00E27790" w14:paraId="684C4DAC" w14:textId="77777777" w:rsidTr="00710F49">
        <w:trPr>
          <w:trHeight w:val="293"/>
          <w:tblHeader/>
        </w:trPr>
        <w:tc>
          <w:tcPr>
            <w:tcW w:w="4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D47E0C" w14:textId="1DB07C4E" w:rsidR="00E27790" w:rsidRPr="00E27790" w:rsidRDefault="00E27790" w:rsidP="007851D5">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Edad</w:t>
            </w:r>
          </w:p>
        </w:tc>
        <w:tc>
          <w:tcPr>
            <w:tcW w:w="4548" w:type="pct"/>
            <w:gridSpan w:val="10"/>
            <w:tcBorders>
              <w:top w:val="single" w:sz="4" w:space="0" w:color="auto"/>
              <w:left w:val="nil"/>
              <w:bottom w:val="single" w:sz="4" w:space="0" w:color="auto"/>
              <w:right w:val="single" w:sz="4" w:space="0" w:color="000000"/>
            </w:tcBorders>
            <w:shd w:val="clear" w:color="auto" w:fill="auto"/>
            <w:noWrap/>
            <w:vAlign w:val="center"/>
            <w:hideMark/>
          </w:tcPr>
          <w:p w14:paraId="1CF46ED3"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SEBD</w:t>
            </w:r>
          </w:p>
        </w:tc>
      </w:tr>
      <w:tr w:rsidR="00E27790" w:rsidRPr="00E27790" w14:paraId="0EBEB9F3" w14:textId="77777777" w:rsidTr="00710F49">
        <w:trPr>
          <w:trHeight w:val="293"/>
          <w:tblHeader/>
        </w:trPr>
        <w:tc>
          <w:tcPr>
            <w:tcW w:w="452" w:type="pct"/>
            <w:vMerge/>
            <w:tcBorders>
              <w:top w:val="single" w:sz="4" w:space="0" w:color="auto"/>
              <w:left w:val="single" w:sz="4" w:space="0" w:color="auto"/>
              <w:bottom w:val="single" w:sz="4" w:space="0" w:color="000000"/>
              <w:right w:val="single" w:sz="4" w:space="0" w:color="auto"/>
            </w:tcBorders>
            <w:vAlign w:val="center"/>
            <w:hideMark/>
          </w:tcPr>
          <w:p w14:paraId="524CA217" w14:textId="77777777" w:rsidR="00E27790" w:rsidRPr="00E27790" w:rsidRDefault="00E27790" w:rsidP="00E27790">
            <w:pPr>
              <w:spacing w:after="0" w:line="240" w:lineRule="auto"/>
              <w:jc w:val="left"/>
              <w:rPr>
                <w:rFonts w:eastAsia="Times New Roman" w:cs="Times New Roman"/>
                <w:b/>
                <w:bCs/>
                <w:color w:val="000000"/>
                <w:kern w:val="0"/>
                <w:sz w:val="16"/>
                <w:szCs w:val="16"/>
                <w:lang w:val="es-419" w:eastAsia="en-GB"/>
                <w14:ligatures w14:val="none"/>
              </w:rPr>
            </w:pPr>
          </w:p>
        </w:tc>
        <w:tc>
          <w:tcPr>
            <w:tcW w:w="2273"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0F327B1"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Hombre</w:t>
            </w:r>
          </w:p>
        </w:tc>
        <w:tc>
          <w:tcPr>
            <w:tcW w:w="227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B469B3F"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Mujer</w:t>
            </w:r>
          </w:p>
        </w:tc>
      </w:tr>
      <w:tr w:rsidR="00717D7D" w:rsidRPr="00C56EC9" w14:paraId="5BC3BEF5" w14:textId="77777777" w:rsidTr="00710F49">
        <w:trPr>
          <w:trHeight w:val="413"/>
          <w:tblHeader/>
        </w:trPr>
        <w:tc>
          <w:tcPr>
            <w:tcW w:w="452" w:type="pct"/>
            <w:vMerge/>
            <w:tcBorders>
              <w:top w:val="single" w:sz="4" w:space="0" w:color="auto"/>
              <w:left w:val="single" w:sz="4" w:space="0" w:color="auto"/>
              <w:bottom w:val="single" w:sz="4" w:space="0" w:color="000000"/>
              <w:right w:val="single" w:sz="4" w:space="0" w:color="auto"/>
            </w:tcBorders>
            <w:vAlign w:val="center"/>
            <w:hideMark/>
          </w:tcPr>
          <w:p w14:paraId="45F04EB5" w14:textId="77777777" w:rsidR="00E27790" w:rsidRPr="00E27790" w:rsidRDefault="00E27790" w:rsidP="00E27790">
            <w:pPr>
              <w:spacing w:after="0" w:line="240" w:lineRule="auto"/>
              <w:jc w:val="left"/>
              <w:rPr>
                <w:rFonts w:eastAsia="Times New Roman" w:cs="Times New Roman"/>
                <w:b/>
                <w:bCs/>
                <w:color w:val="000000"/>
                <w:kern w:val="0"/>
                <w:sz w:val="16"/>
                <w:szCs w:val="16"/>
                <w:lang w:val="es-419" w:eastAsia="en-GB"/>
                <w14:ligatures w14:val="none"/>
              </w:rPr>
            </w:pPr>
          </w:p>
        </w:tc>
        <w:tc>
          <w:tcPr>
            <w:tcW w:w="235" w:type="pct"/>
            <w:tcBorders>
              <w:top w:val="nil"/>
              <w:left w:val="nil"/>
              <w:bottom w:val="single" w:sz="4" w:space="0" w:color="auto"/>
              <w:right w:val="single" w:sz="4" w:space="0" w:color="auto"/>
            </w:tcBorders>
            <w:shd w:val="clear" w:color="auto" w:fill="auto"/>
            <w:noWrap/>
            <w:vAlign w:val="center"/>
            <w:hideMark/>
          </w:tcPr>
          <w:p w14:paraId="2F084EC5"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No.</w:t>
            </w:r>
          </w:p>
        </w:tc>
        <w:tc>
          <w:tcPr>
            <w:tcW w:w="490" w:type="pct"/>
            <w:tcBorders>
              <w:top w:val="nil"/>
              <w:left w:val="nil"/>
              <w:bottom w:val="single" w:sz="4" w:space="0" w:color="auto"/>
              <w:right w:val="single" w:sz="4" w:space="0" w:color="auto"/>
            </w:tcBorders>
            <w:shd w:val="clear" w:color="auto" w:fill="auto"/>
            <w:noWrap/>
            <w:vAlign w:val="center"/>
            <w:hideMark/>
          </w:tcPr>
          <w:p w14:paraId="6CC2AD50"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 xml:space="preserve">Salario </w:t>
            </w:r>
            <w:proofErr w:type="spellStart"/>
            <w:r w:rsidRPr="00E27790">
              <w:rPr>
                <w:rFonts w:eastAsia="Times New Roman" w:cs="Times New Roman"/>
                <w:b/>
                <w:bCs/>
                <w:color w:val="000000"/>
                <w:kern w:val="0"/>
                <w:sz w:val="16"/>
                <w:szCs w:val="16"/>
                <w:lang w:val="es-419" w:eastAsia="en-GB"/>
                <w14:ligatures w14:val="none"/>
              </w:rPr>
              <w:t>prom</w:t>
            </w:r>
            <w:proofErr w:type="spellEnd"/>
            <w:r w:rsidRPr="00E27790">
              <w:rPr>
                <w:rFonts w:eastAsia="Times New Roman" w:cs="Times New Roman"/>
                <w:b/>
                <w:bCs/>
                <w:color w:val="000000"/>
                <w:kern w:val="0"/>
                <w:sz w:val="16"/>
                <w:szCs w:val="16"/>
                <w:lang w:val="es-419" w:eastAsia="en-GB"/>
                <w14:ligatures w14:val="none"/>
              </w:rPr>
              <w:t>.</w:t>
            </w:r>
          </w:p>
        </w:tc>
        <w:tc>
          <w:tcPr>
            <w:tcW w:w="590" w:type="pct"/>
            <w:tcBorders>
              <w:top w:val="nil"/>
              <w:left w:val="nil"/>
              <w:bottom w:val="single" w:sz="4" w:space="0" w:color="auto"/>
              <w:right w:val="single" w:sz="4" w:space="0" w:color="auto"/>
            </w:tcBorders>
            <w:shd w:val="clear" w:color="auto" w:fill="auto"/>
            <w:noWrap/>
            <w:vAlign w:val="center"/>
            <w:hideMark/>
          </w:tcPr>
          <w:p w14:paraId="037FB66D"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Meses cotizados</w:t>
            </w:r>
          </w:p>
        </w:tc>
        <w:tc>
          <w:tcPr>
            <w:tcW w:w="481" w:type="pct"/>
            <w:tcBorders>
              <w:top w:val="nil"/>
              <w:left w:val="nil"/>
              <w:bottom w:val="single" w:sz="4" w:space="0" w:color="auto"/>
              <w:right w:val="single" w:sz="4" w:space="0" w:color="auto"/>
            </w:tcBorders>
            <w:shd w:val="clear" w:color="auto" w:fill="auto"/>
            <w:noWrap/>
            <w:vAlign w:val="center"/>
            <w:hideMark/>
          </w:tcPr>
          <w:p w14:paraId="5586177D"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Edad entrada</w:t>
            </w:r>
          </w:p>
        </w:tc>
        <w:tc>
          <w:tcPr>
            <w:tcW w:w="477" w:type="pct"/>
            <w:tcBorders>
              <w:top w:val="nil"/>
              <w:left w:val="nil"/>
              <w:bottom w:val="single" w:sz="4" w:space="0" w:color="auto"/>
              <w:right w:val="single" w:sz="4" w:space="0" w:color="auto"/>
            </w:tcBorders>
            <w:shd w:val="clear" w:color="auto" w:fill="auto"/>
            <w:vAlign w:val="center"/>
            <w:hideMark/>
          </w:tcPr>
          <w:p w14:paraId="143FF07A"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Valor nocional de aportes al 4%</w:t>
            </w:r>
          </w:p>
        </w:tc>
        <w:tc>
          <w:tcPr>
            <w:tcW w:w="235" w:type="pct"/>
            <w:tcBorders>
              <w:top w:val="nil"/>
              <w:left w:val="nil"/>
              <w:bottom w:val="single" w:sz="4" w:space="0" w:color="auto"/>
              <w:right w:val="single" w:sz="4" w:space="0" w:color="auto"/>
            </w:tcBorders>
            <w:shd w:val="clear" w:color="auto" w:fill="auto"/>
            <w:noWrap/>
            <w:vAlign w:val="center"/>
            <w:hideMark/>
          </w:tcPr>
          <w:p w14:paraId="73F93888"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No.</w:t>
            </w:r>
          </w:p>
        </w:tc>
        <w:tc>
          <w:tcPr>
            <w:tcW w:w="490" w:type="pct"/>
            <w:tcBorders>
              <w:top w:val="nil"/>
              <w:left w:val="nil"/>
              <w:bottom w:val="single" w:sz="4" w:space="0" w:color="auto"/>
              <w:right w:val="single" w:sz="4" w:space="0" w:color="auto"/>
            </w:tcBorders>
            <w:shd w:val="clear" w:color="auto" w:fill="auto"/>
            <w:noWrap/>
            <w:vAlign w:val="center"/>
            <w:hideMark/>
          </w:tcPr>
          <w:p w14:paraId="3AFAACCC"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 xml:space="preserve">Salario </w:t>
            </w:r>
            <w:proofErr w:type="spellStart"/>
            <w:r w:rsidRPr="00E27790">
              <w:rPr>
                <w:rFonts w:eastAsia="Times New Roman" w:cs="Times New Roman"/>
                <w:b/>
                <w:bCs/>
                <w:color w:val="000000"/>
                <w:kern w:val="0"/>
                <w:sz w:val="16"/>
                <w:szCs w:val="16"/>
                <w:lang w:val="es-419" w:eastAsia="en-GB"/>
                <w14:ligatures w14:val="none"/>
              </w:rPr>
              <w:t>prom</w:t>
            </w:r>
            <w:proofErr w:type="spellEnd"/>
            <w:r w:rsidRPr="00E27790">
              <w:rPr>
                <w:rFonts w:eastAsia="Times New Roman" w:cs="Times New Roman"/>
                <w:b/>
                <w:bCs/>
                <w:color w:val="000000"/>
                <w:kern w:val="0"/>
                <w:sz w:val="16"/>
                <w:szCs w:val="16"/>
                <w:lang w:val="es-419" w:eastAsia="en-GB"/>
                <w14:ligatures w14:val="none"/>
              </w:rPr>
              <w:t>.</w:t>
            </w:r>
          </w:p>
        </w:tc>
        <w:tc>
          <w:tcPr>
            <w:tcW w:w="590" w:type="pct"/>
            <w:tcBorders>
              <w:top w:val="nil"/>
              <w:left w:val="nil"/>
              <w:bottom w:val="single" w:sz="4" w:space="0" w:color="auto"/>
              <w:right w:val="single" w:sz="4" w:space="0" w:color="auto"/>
            </w:tcBorders>
            <w:shd w:val="clear" w:color="auto" w:fill="auto"/>
            <w:noWrap/>
            <w:vAlign w:val="center"/>
            <w:hideMark/>
          </w:tcPr>
          <w:p w14:paraId="3DC3DD75"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Meses cotizados</w:t>
            </w:r>
          </w:p>
        </w:tc>
        <w:tc>
          <w:tcPr>
            <w:tcW w:w="481" w:type="pct"/>
            <w:tcBorders>
              <w:top w:val="nil"/>
              <w:left w:val="nil"/>
              <w:bottom w:val="single" w:sz="4" w:space="0" w:color="auto"/>
              <w:right w:val="single" w:sz="4" w:space="0" w:color="auto"/>
            </w:tcBorders>
            <w:shd w:val="clear" w:color="auto" w:fill="auto"/>
            <w:noWrap/>
            <w:vAlign w:val="center"/>
            <w:hideMark/>
          </w:tcPr>
          <w:p w14:paraId="1E13B90F"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Edad entrada</w:t>
            </w:r>
          </w:p>
        </w:tc>
        <w:tc>
          <w:tcPr>
            <w:tcW w:w="479" w:type="pct"/>
            <w:tcBorders>
              <w:top w:val="nil"/>
              <w:left w:val="nil"/>
              <w:bottom w:val="single" w:sz="4" w:space="0" w:color="auto"/>
              <w:right w:val="single" w:sz="4" w:space="0" w:color="auto"/>
            </w:tcBorders>
            <w:shd w:val="clear" w:color="auto" w:fill="auto"/>
            <w:vAlign w:val="center"/>
            <w:hideMark/>
          </w:tcPr>
          <w:p w14:paraId="75AF28F9" w14:textId="77777777" w:rsidR="00E27790" w:rsidRPr="00E27790" w:rsidRDefault="00E27790" w:rsidP="00E27790">
            <w:pPr>
              <w:spacing w:after="0" w:line="240" w:lineRule="auto"/>
              <w:jc w:val="center"/>
              <w:rPr>
                <w:rFonts w:eastAsia="Times New Roman" w:cs="Times New Roman"/>
                <w:b/>
                <w:bCs/>
                <w:color w:val="000000"/>
                <w:kern w:val="0"/>
                <w:sz w:val="16"/>
                <w:szCs w:val="16"/>
                <w:lang w:val="es-419" w:eastAsia="en-GB"/>
                <w14:ligatures w14:val="none"/>
              </w:rPr>
            </w:pPr>
            <w:r w:rsidRPr="00E27790">
              <w:rPr>
                <w:rFonts w:eastAsia="Times New Roman" w:cs="Times New Roman"/>
                <w:b/>
                <w:bCs/>
                <w:color w:val="000000"/>
                <w:kern w:val="0"/>
                <w:sz w:val="16"/>
                <w:szCs w:val="16"/>
                <w:lang w:val="es-419" w:eastAsia="en-GB"/>
                <w14:ligatures w14:val="none"/>
              </w:rPr>
              <w:t>Valor nocional de aportes al 4%</w:t>
            </w:r>
          </w:p>
        </w:tc>
      </w:tr>
      <w:tr w:rsidR="00717D7D" w:rsidRPr="00C56EC9" w14:paraId="2C0A3E3A"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486C60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32</w:t>
            </w:r>
          </w:p>
        </w:tc>
        <w:tc>
          <w:tcPr>
            <w:tcW w:w="235" w:type="pct"/>
            <w:tcBorders>
              <w:top w:val="nil"/>
              <w:left w:val="nil"/>
              <w:bottom w:val="single" w:sz="4" w:space="0" w:color="auto"/>
              <w:right w:val="single" w:sz="4" w:space="0" w:color="auto"/>
            </w:tcBorders>
            <w:shd w:val="clear" w:color="auto" w:fill="auto"/>
            <w:noWrap/>
            <w:vAlign w:val="center"/>
            <w:hideMark/>
          </w:tcPr>
          <w:p w14:paraId="61686A7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3,300</w:t>
            </w:r>
          </w:p>
        </w:tc>
        <w:tc>
          <w:tcPr>
            <w:tcW w:w="490" w:type="pct"/>
            <w:tcBorders>
              <w:top w:val="nil"/>
              <w:left w:val="nil"/>
              <w:bottom w:val="single" w:sz="4" w:space="0" w:color="auto"/>
              <w:right w:val="single" w:sz="4" w:space="0" w:color="auto"/>
            </w:tcBorders>
            <w:shd w:val="clear" w:color="auto" w:fill="auto"/>
            <w:noWrap/>
            <w:vAlign w:val="center"/>
            <w:hideMark/>
          </w:tcPr>
          <w:p w14:paraId="7DC9223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$1,015 </w:t>
            </w:r>
          </w:p>
        </w:tc>
        <w:tc>
          <w:tcPr>
            <w:tcW w:w="590" w:type="pct"/>
            <w:tcBorders>
              <w:top w:val="nil"/>
              <w:left w:val="nil"/>
              <w:bottom w:val="single" w:sz="4" w:space="0" w:color="auto"/>
              <w:right w:val="single" w:sz="4" w:space="0" w:color="auto"/>
            </w:tcBorders>
            <w:shd w:val="clear" w:color="auto" w:fill="auto"/>
            <w:noWrap/>
            <w:vAlign w:val="center"/>
            <w:hideMark/>
          </w:tcPr>
          <w:p w14:paraId="28332AD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49.13</w:t>
            </w:r>
          </w:p>
        </w:tc>
        <w:tc>
          <w:tcPr>
            <w:tcW w:w="481" w:type="pct"/>
            <w:tcBorders>
              <w:top w:val="nil"/>
              <w:left w:val="nil"/>
              <w:bottom w:val="single" w:sz="4" w:space="0" w:color="auto"/>
              <w:right w:val="single" w:sz="4" w:space="0" w:color="auto"/>
            </w:tcBorders>
            <w:shd w:val="clear" w:color="auto" w:fill="auto"/>
            <w:noWrap/>
            <w:vAlign w:val="center"/>
            <w:hideMark/>
          </w:tcPr>
          <w:p w14:paraId="4DFE77A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w:t>
            </w:r>
          </w:p>
        </w:tc>
        <w:tc>
          <w:tcPr>
            <w:tcW w:w="477" w:type="pct"/>
            <w:tcBorders>
              <w:top w:val="nil"/>
              <w:left w:val="nil"/>
              <w:bottom w:val="single" w:sz="4" w:space="0" w:color="auto"/>
              <w:right w:val="single" w:sz="4" w:space="0" w:color="auto"/>
            </w:tcBorders>
            <w:shd w:val="clear" w:color="auto" w:fill="auto"/>
            <w:noWrap/>
            <w:vAlign w:val="center"/>
            <w:hideMark/>
          </w:tcPr>
          <w:p w14:paraId="364138C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$4,518 </w:t>
            </w:r>
          </w:p>
        </w:tc>
        <w:tc>
          <w:tcPr>
            <w:tcW w:w="235" w:type="pct"/>
            <w:tcBorders>
              <w:top w:val="nil"/>
              <w:left w:val="nil"/>
              <w:bottom w:val="single" w:sz="4" w:space="0" w:color="auto"/>
              <w:right w:val="single" w:sz="4" w:space="0" w:color="auto"/>
            </w:tcBorders>
            <w:shd w:val="clear" w:color="auto" w:fill="auto"/>
            <w:noWrap/>
            <w:vAlign w:val="center"/>
            <w:hideMark/>
          </w:tcPr>
          <w:p w14:paraId="7F2D095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3,300</w:t>
            </w:r>
          </w:p>
        </w:tc>
        <w:tc>
          <w:tcPr>
            <w:tcW w:w="490" w:type="pct"/>
            <w:tcBorders>
              <w:top w:val="nil"/>
              <w:left w:val="nil"/>
              <w:bottom w:val="single" w:sz="4" w:space="0" w:color="auto"/>
              <w:right w:val="single" w:sz="4" w:space="0" w:color="auto"/>
            </w:tcBorders>
            <w:shd w:val="clear" w:color="auto" w:fill="auto"/>
            <w:noWrap/>
            <w:vAlign w:val="center"/>
            <w:hideMark/>
          </w:tcPr>
          <w:p w14:paraId="7DCBDB3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$1,015 </w:t>
            </w:r>
          </w:p>
        </w:tc>
        <w:tc>
          <w:tcPr>
            <w:tcW w:w="590" w:type="pct"/>
            <w:tcBorders>
              <w:top w:val="nil"/>
              <w:left w:val="nil"/>
              <w:bottom w:val="single" w:sz="4" w:space="0" w:color="auto"/>
              <w:right w:val="single" w:sz="4" w:space="0" w:color="auto"/>
            </w:tcBorders>
            <w:shd w:val="clear" w:color="auto" w:fill="auto"/>
            <w:noWrap/>
            <w:vAlign w:val="center"/>
            <w:hideMark/>
          </w:tcPr>
          <w:p w14:paraId="10A4D46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49.15</w:t>
            </w:r>
          </w:p>
        </w:tc>
        <w:tc>
          <w:tcPr>
            <w:tcW w:w="481" w:type="pct"/>
            <w:tcBorders>
              <w:top w:val="nil"/>
              <w:left w:val="nil"/>
              <w:bottom w:val="single" w:sz="4" w:space="0" w:color="auto"/>
              <w:right w:val="single" w:sz="4" w:space="0" w:color="auto"/>
            </w:tcBorders>
            <w:shd w:val="clear" w:color="auto" w:fill="auto"/>
            <w:noWrap/>
            <w:vAlign w:val="center"/>
            <w:hideMark/>
          </w:tcPr>
          <w:p w14:paraId="1E76032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w:t>
            </w:r>
          </w:p>
        </w:tc>
        <w:tc>
          <w:tcPr>
            <w:tcW w:w="479" w:type="pct"/>
            <w:tcBorders>
              <w:top w:val="nil"/>
              <w:left w:val="nil"/>
              <w:bottom w:val="single" w:sz="4" w:space="0" w:color="auto"/>
              <w:right w:val="single" w:sz="4" w:space="0" w:color="auto"/>
            </w:tcBorders>
            <w:shd w:val="clear" w:color="auto" w:fill="auto"/>
            <w:noWrap/>
            <w:vAlign w:val="center"/>
            <w:hideMark/>
          </w:tcPr>
          <w:p w14:paraId="3064F4A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$4,540 </w:t>
            </w:r>
          </w:p>
        </w:tc>
      </w:tr>
      <w:tr w:rsidR="00717D7D" w:rsidRPr="00C56EC9" w14:paraId="60FEAFA1"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01FA3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33</w:t>
            </w:r>
          </w:p>
        </w:tc>
        <w:tc>
          <w:tcPr>
            <w:tcW w:w="235" w:type="pct"/>
            <w:tcBorders>
              <w:top w:val="nil"/>
              <w:left w:val="nil"/>
              <w:bottom w:val="single" w:sz="4" w:space="0" w:color="auto"/>
              <w:right w:val="single" w:sz="4" w:space="0" w:color="auto"/>
            </w:tcBorders>
            <w:shd w:val="clear" w:color="auto" w:fill="auto"/>
            <w:noWrap/>
            <w:vAlign w:val="center"/>
            <w:hideMark/>
          </w:tcPr>
          <w:p w14:paraId="06E8938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4,950</w:t>
            </w:r>
          </w:p>
        </w:tc>
        <w:tc>
          <w:tcPr>
            <w:tcW w:w="490" w:type="pct"/>
            <w:tcBorders>
              <w:top w:val="nil"/>
              <w:left w:val="nil"/>
              <w:bottom w:val="single" w:sz="4" w:space="0" w:color="auto"/>
              <w:right w:val="single" w:sz="4" w:space="0" w:color="auto"/>
            </w:tcBorders>
            <w:shd w:val="clear" w:color="auto" w:fill="auto"/>
            <w:noWrap/>
            <w:vAlign w:val="center"/>
            <w:hideMark/>
          </w:tcPr>
          <w:p w14:paraId="236F83F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$1,028 </w:t>
            </w:r>
          </w:p>
        </w:tc>
        <w:tc>
          <w:tcPr>
            <w:tcW w:w="590" w:type="pct"/>
            <w:tcBorders>
              <w:top w:val="nil"/>
              <w:left w:val="nil"/>
              <w:bottom w:val="single" w:sz="4" w:space="0" w:color="auto"/>
              <w:right w:val="single" w:sz="4" w:space="0" w:color="auto"/>
            </w:tcBorders>
            <w:shd w:val="clear" w:color="auto" w:fill="auto"/>
            <w:noWrap/>
            <w:vAlign w:val="center"/>
            <w:hideMark/>
          </w:tcPr>
          <w:p w14:paraId="0825AAB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55.02</w:t>
            </w:r>
          </w:p>
        </w:tc>
        <w:tc>
          <w:tcPr>
            <w:tcW w:w="481" w:type="pct"/>
            <w:tcBorders>
              <w:top w:val="nil"/>
              <w:left w:val="nil"/>
              <w:bottom w:val="single" w:sz="4" w:space="0" w:color="auto"/>
              <w:right w:val="single" w:sz="4" w:space="0" w:color="auto"/>
            </w:tcBorders>
            <w:shd w:val="clear" w:color="auto" w:fill="auto"/>
            <w:noWrap/>
            <w:vAlign w:val="center"/>
            <w:hideMark/>
          </w:tcPr>
          <w:p w14:paraId="2812F31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w:t>
            </w:r>
          </w:p>
        </w:tc>
        <w:tc>
          <w:tcPr>
            <w:tcW w:w="477" w:type="pct"/>
            <w:tcBorders>
              <w:top w:val="nil"/>
              <w:left w:val="nil"/>
              <w:bottom w:val="single" w:sz="4" w:space="0" w:color="auto"/>
              <w:right w:val="single" w:sz="4" w:space="0" w:color="auto"/>
            </w:tcBorders>
            <w:shd w:val="clear" w:color="auto" w:fill="auto"/>
            <w:noWrap/>
            <w:vAlign w:val="center"/>
            <w:hideMark/>
          </w:tcPr>
          <w:p w14:paraId="7A05880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$5,098 </w:t>
            </w:r>
          </w:p>
        </w:tc>
        <w:tc>
          <w:tcPr>
            <w:tcW w:w="235" w:type="pct"/>
            <w:tcBorders>
              <w:top w:val="nil"/>
              <w:left w:val="nil"/>
              <w:bottom w:val="single" w:sz="4" w:space="0" w:color="auto"/>
              <w:right w:val="single" w:sz="4" w:space="0" w:color="auto"/>
            </w:tcBorders>
            <w:shd w:val="clear" w:color="auto" w:fill="auto"/>
            <w:noWrap/>
            <w:vAlign w:val="center"/>
            <w:hideMark/>
          </w:tcPr>
          <w:p w14:paraId="4141903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4,950</w:t>
            </w:r>
          </w:p>
        </w:tc>
        <w:tc>
          <w:tcPr>
            <w:tcW w:w="490" w:type="pct"/>
            <w:tcBorders>
              <w:top w:val="nil"/>
              <w:left w:val="nil"/>
              <w:bottom w:val="single" w:sz="4" w:space="0" w:color="auto"/>
              <w:right w:val="single" w:sz="4" w:space="0" w:color="auto"/>
            </w:tcBorders>
            <w:shd w:val="clear" w:color="auto" w:fill="auto"/>
            <w:noWrap/>
            <w:vAlign w:val="center"/>
            <w:hideMark/>
          </w:tcPr>
          <w:p w14:paraId="0B45CBF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$1,028 </w:t>
            </w:r>
          </w:p>
        </w:tc>
        <w:tc>
          <w:tcPr>
            <w:tcW w:w="590" w:type="pct"/>
            <w:tcBorders>
              <w:top w:val="nil"/>
              <w:left w:val="nil"/>
              <w:bottom w:val="single" w:sz="4" w:space="0" w:color="auto"/>
              <w:right w:val="single" w:sz="4" w:space="0" w:color="auto"/>
            </w:tcBorders>
            <w:shd w:val="clear" w:color="auto" w:fill="auto"/>
            <w:noWrap/>
            <w:vAlign w:val="center"/>
            <w:hideMark/>
          </w:tcPr>
          <w:p w14:paraId="0FAEC1F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55.04</w:t>
            </w:r>
          </w:p>
        </w:tc>
        <w:tc>
          <w:tcPr>
            <w:tcW w:w="481" w:type="pct"/>
            <w:tcBorders>
              <w:top w:val="nil"/>
              <w:left w:val="nil"/>
              <w:bottom w:val="single" w:sz="4" w:space="0" w:color="auto"/>
              <w:right w:val="single" w:sz="4" w:space="0" w:color="auto"/>
            </w:tcBorders>
            <w:shd w:val="clear" w:color="auto" w:fill="auto"/>
            <w:noWrap/>
            <w:vAlign w:val="center"/>
            <w:hideMark/>
          </w:tcPr>
          <w:p w14:paraId="3E53BE2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2DB3ACF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$4,949 </w:t>
            </w:r>
          </w:p>
        </w:tc>
      </w:tr>
      <w:tr w:rsidR="00717D7D" w:rsidRPr="00C56EC9" w14:paraId="592087BB"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A4AD0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34</w:t>
            </w:r>
          </w:p>
        </w:tc>
        <w:tc>
          <w:tcPr>
            <w:tcW w:w="235" w:type="pct"/>
            <w:tcBorders>
              <w:top w:val="nil"/>
              <w:left w:val="nil"/>
              <w:bottom w:val="single" w:sz="4" w:space="0" w:color="auto"/>
              <w:right w:val="single" w:sz="4" w:space="0" w:color="auto"/>
            </w:tcBorders>
            <w:shd w:val="clear" w:color="auto" w:fill="auto"/>
            <w:noWrap/>
            <w:vAlign w:val="center"/>
            <w:hideMark/>
          </w:tcPr>
          <w:p w14:paraId="398E8A7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7,425</w:t>
            </w:r>
          </w:p>
        </w:tc>
        <w:tc>
          <w:tcPr>
            <w:tcW w:w="490" w:type="pct"/>
            <w:tcBorders>
              <w:top w:val="nil"/>
              <w:left w:val="nil"/>
              <w:bottom w:val="single" w:sz="4" w:space="0" w:color="auto"/>
              <w:right w:val="single" w:sz="4" w:space="0" w:color="auto"/>
            </w:tcBorders>
            <w:shd w:val="clear" w:color="auto" w:fill="auto"/>
            <w:noWrap/>
            <w:vAlign w:val="center"/>
            <w:hideMark/>
          </w:tcPr>
          <w:p w14:paraId="2C637F9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$1,041 </w:t>
            </w:r>
          </w:p>
        </w:tc>
        <w:tc>
          <w:tcPr>
            <w:tcW w:w="590" w:type="pct"/>
            <w:tcBorders>
              <w:top w:val="nil"/>
              <w:left w:val="nil"/>
              <w:bottom w:val="single" w:sz="4" w:space="0" w:color="auto"/>
              <w:right w:val="single" w:sz="4" w:space="0" w:color="auto"/>
            </w:tcBorders>
            <w:shd w:val="clear" w:color="auto" w:fill="auto"/>
            <w:noWrap/>
            <w:vAlign w:val="center"/>
            <w:hideMark/>
          </w:tcPr>
          <w:p w14:paraId="0022240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61.08</w:t>
            </w:r>
          </w:p>
        </w:tc>
        <w:tc>
          <w:tcPr>
            <w:tcW w:w="481" w:type="pct"/>
            <w:tcBorders>
              <w:top w:val="nil"/>
              <w:left w:val="nil"/>
              <w:bottom w:val="single" w:sz="4" w:space="0" w:color="auto"/>
              <w:right w:val="single" w:sz="4" w:space="0" w:color="auto"/>
            </w:tcBorders>
            <w:shd w:val="clear" w:color="auto" w:fill="auto"/>
            <w:noWrap/>
            <w:vAlign w:val="center"/>
            <w:hideMark/>
          </w:tcPr>
          <w:p w14:paraId="38CC595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7" w:type="pct"/>
            <w:tcBorders>
              <w:top w:val="nil"/>
              <w:left w:val="nil"/>
              <w:bottom w:val="single" w:sz="4" w:space="0" w:color="auto"/>
              <w:right w:val="single" w:sz="4" w:space="0" w:color="auto"/>
            </w:tcBorders>
            <w:shd w:val="clear" w:color="auto" w:fill="auto"/>
            <w:noWrap/>
            <w:vAlign w:val="center"/>
            <w:hideMark/>
          </w:tcPr>
          <w:p w14:paraId="128D093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$5,520 </w:t>
            </w:r>
          </w:p>
        </w:tc>
        <w:tc>
          <w:tcPr>
            <w:tcW w:w="235" w:type="pct"/>
            <w:tcBorders>
              <w:top w:val="nil"/>
              <w:left w:val="nil"/>
              <w:bottom w:val="single" w:sz="4" w:space="0" w:color="auto"/>
              <w:right w:val="single" w:sz="4" w:space="0" w:color="auto"/>
            </w:tcBorders>
            <w:shd w:val="clear" w:color="auto" w:fill="auto"/>
            <w:noWrap/>
            <w:vAlign w:val="center"/>
            <w:hideMark/>
          </w:tcPr>
          <w:p w14:paraId="47A6A52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7,425</w:t>
            </w:r>
          </w:p>
        </w:tc>
        <w:tc>
          <w:tcPr>
            <w:tcW w:w="490" w:type="pct"/>
            <w:tcBorders>
              <w:top w:val="nil"/>
              <w:left w:val="nil"/>
              <w:bottom w:val="single" w:sz="4" w:space="0" w:color="auto"/>
              <w:right w:val="single" w:sz="4" w:space="0" w:color="auto"/>
            </w:tcBorders>
            <w:shd w:val="clear" w:color="auto" w:fill="auto"/>
            <w:noWrap/>
            <w:vAlign w:val="center"/>
            <w:hideMark/>
          </w:tcPr>
          <w:p w14:paraId="5F1B52F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$1,041 </w:t>
            </w:r>
          </w:p>
        </w:tc>
        <w:tc>
          <w:tcPr>
            <w:tcW w:w="590" w:type="pct"/>
            <w:tcBorders>
              <w:top w:val="nil"/>
              <w:left w:val="nil"/>
              <w:bottom w:val="single" w:sz="4" w:space="0" w:color="auto"/>
              <w:right w:val="single" w:sz="4" w:space="0" w:color="auto"/>
            </w:tcBorders>
            <w:shd w:val="clear" w:color="auto" w:fill="auto"/>
            <w:noWrap/>
            <w:vAlign w:val="center"/>
            <w:hideMark/>
          </w:tcPr>
          <w:p w14:paraId="3649A5B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61.10</w:t>
            </w:r>
          </w:p>
        </w:tc>
        <w:tc>
          <w:tcPr>
            <w:tcW w:w="481" w:type="pct"/>
            <w:tcBorders>
              <w:top w:val="nil"/>
              <w:left w:val="nil"/>
              <w:bottom w:val="single" w:sz="4" w:space="0" w:color="auto"/>
              <w:right w:val="single" w:sz="4" w:space="0" w:color="auto"/>
            </w:tcBorders>
            <w:shd w:val="clear" w:color="auto" w:fill="auto"/>
            <w:noWrap/>
            <w:vAlign w:val="center"/>
            <w:hideMark/>
          </w:tcPr>
          <w:p w14:paraId="42683AB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33A196B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$5,541 </w:t>
            </w:r>
          </w:p>
        </w:tc>
      </w:tr>
      <w:tr w:rsidR="00717D7D" w:rsidRPr="00C56EC9" w14:paraId="34EE6958"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003FE2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35</w:t>
            </w:r>
          </w:p>
        </w:tc>
        <w:tc>
          <w:tcPr>
            <w:tcW w:w="235" w:type="pct"/>
            <w:tcBorders>
              <w:top w:val="nil"/>
              <w:left w:val="nil"/>
              <w:bottom w:val="single" w:sz="4" w:space="0" w:color="auto"/>
              <w:right w:val="single" w:sz="4" w:space="0" w:color="auto"/>
            </w:tcBorders>
            <w:shd w:val="clear" w:color="auto" w:fill="auto"/>
            <w:noWrap/>
            <w:vAlign w:val="center"/>
            <w:hideMark/>
          </w:tcPr>
          <w:p w14:paraId="443AFE1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11,138</w:t>
            </w:r>
          </w:p>
        </w:tc>
        <w:tc>
          <w:tcPr>
            <w:tcW w:w="490" w:type="pct"/>
            <w:tcBorders>
              <w:top w:val="nil"/>
              <w:left w:val="nil"/>
              <w:bottom w:val="single" w:sz="4" w:space="0" w:color="auto"/>
              <w:right w:val="single" w:sz="4" w:space="0" w:color="auto"/>
            </w:tcBorders>
            <w:shd w:val="clear" w:color="auto" w:fill="auto"/>
            <w:noWrap/>
            <w:vAlign w:val="center"/>
            <w:hideMark/>
          </w:tcPr>
          <w:p w14:paraId="2633320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$1,055 </w:t>
            </w:r>
          </w:p>
        </w:tc>
        <w:tc>
          <w:tcPr>
            <w:tcW w:w="590" w:type="pct"/>
            <w:tcBorders>
              <w:top w:val="nil"/>
              <w:left w:val="nil"/>
              <w:bottom w:val="single" w:sz="4" w:space="0" w:color="auto"/>
              <w:right w:val="single" w:sz="4" w:space="0" w:color="auto"/>
            </w:tcBorders>
            <w:shd w:val="clear" w:color="auto" w:fill="auto"/>
            <w:noWrap/>
            <w:vAlign w:val="center"/>
            <w:hideMark/>
          </w:tcPr>
          <w:p w14:paraId="1512A5F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67.31</w:t>
            </w:r>
          </w:p>
        </w:tc>
        <w:tc>
          <w:tcPr>
            <w:tcW w:w="481" w:type="pct"/>
            <w:tcBorders>
              <w:top w:val="nil"/>
              <w:left w:val="nil"/>
              <w:bottom w:val="single" w:sz="4" w:space="0" w:color="auto"/>
              <w:right w:val="single" w:sz="4" w:space="0" w:color="auto"/>
            </w:tcBorders>
            <w:shd w:val="clear" w:color="auto" w:fill="auto"/>
            <w:noWrap/>
            <w:vAlign w:val="center"/>
            <w:hideMark/>
          </w:tcPr>
          <w:p w14:paraId="077688E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7" w:type="pct"/>
            <w:tcBorders>
              <w:top w:val="nil"/>
              <w:left w:val="nil"/>
              <w:bottom w:val="single" w:sz="4" w:space="0" w:color="auto"/>
              <w:right w:val="single" w:sz="4" w:space="0" w:color="auto"/>
            </w:tcBorders>
            <w:shd w:val="clear" w:color="auto" w:fill="auto"/>
            <w:noWrap/>
            <w:vAlign w:val="center"/>
            <w:hideMark/>
          </w:tcPr>
          <w:p w14:paraId="696F671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$6,153 </w:t>
            </w:r>
          </w:p>
        </w:tc>
        <w:tc>
          <w:tcPr>
            <w:tcW w:w="235" w:type="pct"/>
            <w:tcBorders>
              <w:top w:val="nil"/>
              <w:left w:val="nil"/>
              <w:bottom w:val="single" w:sz="4" w:space="0" w:color="auto"/>
              <w:right w:val="single" w:sz="4" w:space="0" w:color="auto"/>
            </w:tcBorders>
            <w:shd w:val="clear" w:color="auto" w:fill="auto"/>
            <w:noWrap/>
            <w:vAlign w:val="center"/>
            <w:hideMark/>
          </w:tcPr>
          <w:p w14:paraId="71D23D9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11,138</w:t>
            </w:r>
          </w:p>
        </w:tc>
        <w:tc>
          <w:tcPr>
            <w:tcW w:w="490" w:type="pct"/>
            <w:tcBorders>
              <w:top w:val="nil"/>
              <w:left w:val="nil"/>
              <w:bottom w:val="single" w:sz="4" w:space="0" w:color="auto"/>
              <w:right w:val="single" w:sz="4" w:space="0" w:color="auto"/>
            </w:tcBorders>
            <w:shd w:val="clear" w:color="auto" w:fill="auto"/>
            <w:noWrap/>
            <w:vAlign w:val="center"/>
            <w:hideMark/>
          </w:tcPr>
          <w:p w14:paraId="29917CB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$1,055 </w:t>
            </w:r>
          </w:p>
        </w:tc>
        <w:tc>
          <w:tcPr>
            <w:tcW w:w="590" w:type="pct"/>
            <w:tcBorders>
              <w:top w:val="nil"/>
              <w:left w:val="nil"/>
              <w:bottom w:val="single" w:sz="4" w:space="0" w:color="auto"/>
              <w:right w:val="single" w:sz="4" w:space="0" w:color="auto"/>
            </w:tcBorders>
            <w:shd w:val="clear" w:color="auto" w:fill="auto"/>
            <w:noWrap/>
            <w:vAlign w:val="center"/>
            <w:hideMark/>
          </w:tcPr>
          <w:p w14:paraId="4D6AF8A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67.32</w:t>
            </w:r>
          </w:p>
        </w:tc>
        <w:tc>
          <w:tcPr>
            <w:tcW w:w="481" w:type="pct"/>
            <w:tcBorders>
              <w:top w:val="nil"/>
              <w:left w:val="nil"/>
              <w:bottom w:val="single" w:sz="4" w:space="0" w:color="auto"/>
              <w:right w:val="single" w:sz="4" w:space="0" w:color="auto"/>
            </w:tcBorders>
            <w:shd w:val="clear" w:color="auto" w:fill="auto"/>
            <w:noWrap/>
            <w:vAlign w:val="center"/>
            <w:hideMark/>
          </w:tcPr>
          <w:p w14:paraId="1BD2465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6CE1FE8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$6,172 </w:t>
            </w:r>
          </w:p>
        </w:tc>
      </w:tr>
      <w:tr w:rsidR="00717D7D" w:rsidRPr="00C56EC9" w14:paraId="2CC05AA1"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4C28D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36</w:t>
            </w:r>
          </w:p>
        </w:tc>
        <w:tc>
          <w:tcPr>
            <w:tcW w:w="235" w:type="pct"/>
            <w:tcBorders>
              <w:top w:val="nil"/>
              <w:left w:val="nil"/>
              <w:bottom w:val="single" w:sz="4" w:space="0" w:color="auto"/>
              <w:right w:val="single" w:sz="4" w:space="0" w:color="auto"/>
            </w:tcBorders>
            <w:shd w:val="clear" w:color="auto" w:fill="auto"/>
            <w:noWrap/>
            <w:vAlign w:val="center"/>
            <w:hideMark/>
          </w:tcPr>
          <w:p w14:paraId="39C6973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16,706</w:t>
            </w:r>
          </w:p>
        </w:tc>
        <w:tc>
          <w:tcPr>
            <w:tcW w:w="490" w:type="pct"/>
            <w:tcBorders>
              <w:top w:val="nil"/>
              <w:left w:val="nil"/>
              <w:bottom w:val="single" w:sz="4" w:space="0" w:color="auto"/>
              <w:right w:val="single" w:sz="4" w:space="0" w:color="auto"/>
            </w:tcBorders>
            <w:shd w:val="clear" w:color="auto" w:fill="auto"/>
            <w:noWrap/>
            <w:vAlign w:val="center"/>
            <w:hideMark/>
          </w:tcPr>
          <w:p w14:paraId="12A4092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$1,069 </w:t>
            </w:r>
          </w:p>
        </w:tc>
        <w:tc>
          <w:tcPr>
            <w:tcW w:w="590" w:type="pct"/>
            <w:tcBorders>
              <w:top w:val="nil"/>
              <w:left w:val="nil"/>
              <w:bottom w:val="single" w:sz="4" w:space="0" w:color="auto"/>
              <w:right w:val="single" w:sz="4" w:space="0" w:color="auto"/>
            </w:tcBorders>
            <w:shd w:val="clear" w:color="auto" w:fill="auto"/>
            <w:noWrap/>
            <w:vAlign w:val="center"/>
            <w:hideMark/>
          </w:tcPr>
          <w:p w14:paraId="39FFCD6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73.69</w:t>
            </w:r>
          </w:p>
        </w:tc>
        <w:tc>
          <w:tcPr>
            <w:tcW w:w="481" w:type="pct"/>
            <w:tcBorders>
              <w:top w:val="nil"/>
              <w:left w:val="nil"/>
              <w:bottom w:val="single" w:sz="4" w:space="0" w:color="auto"/>
              <w:right w:val="single" w:sz="4" w:space="0" w:color="auto"/>
            </w:tcBorders>
            <w:shd w:val="clear" w:color="auto" w:fill="auto"/>
            <w:noWrap/>
            <w:vAlign w:val="center"/>
            <w:hideMark/>
          </w:tcPr>
          <w:p w14:paraId="2578812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7" w:type="pct"/>
            <w:tcBorders>
              <w:top w:val="nil"/>
              <w:left w:val="nil"/>
              <w:bottom w:val="single" w:sz="4" w:space="0" w:color="auto"/>
              <w:right w:val="single" w:sz="4" w:space="0" w:color="auto"/>
            </w:tcBorders>
            <w:shd w:val="clear" w:color="auto" w:fill="auto"/>
            <w:noWrap/>
            <w:vAlign w:val="center"/>
            <w:hideMark/>
          </w:tcPr>
          <w:p w14:paraId="1B00662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$6,822 </w:t>
            </w:r>
          </w:p>
        </w:tc>
        <w:tc>
          <w:tcPr>
            <w:tcW w:w="235" w:type="pct"/>
            <w:tcBorders>
              <w:top w:val="nil"/>
              <w:left w:val="nil"/>
              <w:bottom w:val="single" w:sz="4" w:space="0" w:color="auto"/>
              <w:right w:val="single" w:sz="4" w:space="0" w:color="auto"/>
            </w:tcBorders>
            <w:shd w:val="clear" w:color="auto" w:fill="auto"/>
            <w:noWrap/>
            <w:vAlign w:val="center"/>
            <w:hideMark/>
          </w:tcPr>
          <w:p w14:paraId="795ABE1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16,706</w:t>
            </w:r>
          </w:p>
        </w:tc>
        <w:tc>
          <w:tcPr>
            <w:tcW w:w="490" w:type="pct"/>
            <w:tcBorders>
              <w:top w:val="nil"/>
              <w:left w:val="nil"/>
              <w:bottom w:val="single" w:sz="4" w:space="0" w:color="auto"/>
              <w:right w:val="single" w:sz="4" w:space="0" w:color="auto"/>
            </w:tcBorders>
            <w:shd w:val="clear" w:color="auto" w:fill="auto"/>
            <w:noWrap/>
            <w:vAlign w:val="center"/>
            <w:hideMark/>
          </w:tcPr>
          <w:p w14:paraId="293BDB8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$1,069 </w:t>
            </w:r>
          </w:p>
        </w:tc>
        <w:tc>
          <w:tcPr>
            <w:tcW w:w="590" w:type="pct"/>
            <w:tcBorders>
              <w:top w:val="nil"/>
              <w:left w:val="nil"/>
              <w:bottom w:val="single" w:sz="4" w:space="0" w:color="auto"/>
              <w:right w:val="single" w:sz="4" w:space="0" w:color="auto"/>
            </w:tcBorders>
            <w:shd w:val="clear" w:color="auto" w:fill="auto"/>
            <w:noWrap/>
            <w:vAlign w:val="center"/>
            <w:hideMark/>
          </w:tcPr>
          <w:p w14:paraId="78620CC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73.70</w:t>
            </w:r>
          </w:p>
        </w:tc>
        <w:tc>
          <w:tcPr>
            <w:tcW w:w="481" w:type="pct"/>
            <w:tcBorders>
              <w:top w:val="nil"/>
              <w:left w:val="nil"/>
              <w:bottom w:val="single" w:sz="4" w:space="0" w:color="auto"/>
              <w:right w:val="single" w:sz="4" w:space="0" w:color="auto"/>
            </w:tcBorders>
            <w:shd w:val="clear" w:color="auto" w:fill="auto"/>
            <w:noWrap/>
            <w:vAlign w:val="center"/>
            <w:hideMark/>
          </w:tcPr>
          <w:p w14:paraId="649131B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312D2A6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$6,847 </w:t>
            </w:r>
          </w:p>
        </w:tc>
      </w:tr>
      <w:tr w:rsidR="00717D7D" w:rsidRPr="00C56EC9" w14:paraId="2BBF55B4"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A61A89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37</w:t>
            </w:r>
          </w:p>
        </w:tc>
        <w:tc>
          <w:tcPr>
            <w:tcW w:w="235" w:type="pct"/>
            <w:tcBorders>
              <w:top w:val="nil"/>
              <w:left w:val="nil"/>
              <w:bottom w:val="single" w:sz="4" w:space="0" w:color="auto"/>
              <w:right w:val="single" w:sz="4" w:space="0" w:color="auto"/>
            </w:tcBorders>
            <w:shd w:val="clear" w:color="auto" w:fill="auto"/>
            <w:noWrap/>
            <w:vAlign w:val="center"/>
            <w:hideMark/>
          </w:tcPr>
          <w:p w14:paraId="3F8D2AA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25,059</w:t>
            </w:r>
          </w:p>
        </w:tc>
        <w:tc>
          <w:tcPr>
            <w:tcW w:w="490" w:type="pct"/>
            <w:tcBorders>
              <w:top w:val="nil"/>
              <w:left w:val="nil"/>
              <w:bottom w:val="single" w:sz="4" w:space="0" w:color="auto"/>
              <w:right w:val="single" w:sz="4" w:space="0" w:color="auto"/>
            </w:tcBorders>
            <w:shd w:val="clear" w:color="auto" w:fill="auto"/>
            <w:noWrap/>
            <w:vAlign w:val="center"/>
            <w:hideMark/>
          </w:tcPr>
          <w:p w14:paraId="25AA304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$1,082 </w:t>
            </w:r>
          </w:p>
        </w:tc>
        <w:tc>
          <w:tcPr>
            <w:tcW w:w="590" w:type="pct"/>
            <w:tcBorders>
              <w:top w:val="nil"/>
              <w:left w:val="nil"/>
              <w:bottom w:val="single" w:sz="4" w:space="0" w:color="auto"/>
              <w:right w:val="single" w:sz="4" w:space="0" w:color="auto"/>
            </w:tcBorders>
            <w:shd w:val="clear" w:color="auto" w:fill="auto"/>
            <w:noWrap/>
            <w:vAlign w:val="center"/>
            <w:hideMark/>
          </w:tcPr>
          <w:p w14:paraId="0D0B8F1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79.98</w:t>
            </w:r>
          </w:p>
        </w:tc>
        <w:tc>
          <w:tcPr>
            <w:tcW w:w="481" w:type="pct"/>
            <w:tcBorders>
              <w:top w:val="nil"/>
              <w:left w:val="nil"/>
              <w:bottom w:val="single" w:sz="4" w:space="0" w:color="auto"/>
              <w:right w:val="single" w:sz="4" w:space="0" w:color="auto"/>
            </w:tcBorders>
            <w:shd w:val="clear" w:color="auto" w:fill="auto"/>
            <w:noWrap/>
            <w:vAlign w:val="center"/>
            <w:hideMark/>
          </w:tcPr>
          <w:p w14:paraId="0F7DBAD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7" w:type="pct"/>
            <w:tcBorders>
              <w:top w:val="nil"/>
              <w:left w:val="nil"/>
              <w:bottom w:val="single" w:sz="4" w:space="0" w:color="auto"/>
              <w:right w:val="single" w:sz="4" w:space="0" w:color="auto"/>
            </w:tcBorders>
            <w:shd w:val="clear" w:color="auto" w:fill="auto"/>
            <w:noWrap/>
            <w:vAlign w:val="center"/>
            <w:hideMark/>
          </w:tcPr>
          <w:p w14:paraId="65751D7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$7,510 </w:t>
            </w:r>
          </w:p>
        </w:tc>
        <w:tc>
          <w:tcPr>
            <w:tcW w:w="235" w:type="pct"/>
            <w:tcBorders>
              <w:top w:val="nil"/>
              <w:left w:val="nil"/>
              <w:bottom w:val="single" w:sz="4" w:space="0" w:color="auto"/>
              <w:right w:val="single" w:sz="4" w:space="0" w:color="auto"/>
            </w:tcBorders>
            <w:shd w:val="clear" w:color="auto" w:fill="auto"/>
            <w:noWrap/>
            <w:vAlign w:val="center"/>
            <w:hideMark/>
          </w:tcPr>
          <w:p w14:paraId="58F794B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25,059</w:t>
            </w:r>
          </w:p>
        </w:tc>
        <w:tc>
          <w:tcPr>
            <w:tcW w:w="490" w:type="pct"/>
            <w:tcBorders>
              <w:top w:val="nil"/>
              <w:left w:val="nil"/>
              <w:bottom w:val="single" w:sz="4" w:space="0" w:color="auto"/>
              <w:right w:val="single" w:sz="4" w:space="0" w:color="auto"/>
            </w:tcBorders>
            <w:shd w:val="clear" w:color="auto" w:fill="auto"/>
            <w:noWrap/>
            <w:vAlign w:val="center"/>
            <w:hideMark/>
          </w:tcPr>
          <w:p w14:paraId="2D11762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$1,082 </w:t>
            </w:r>
          </w:p>
        </w:tc>
        <w:tc>
          <w:tcPr>
            <w:tcW w:w="590" w:type="pct"/>
            <w:tcBorders>
              <w:top w:val="nil"/>
              <w:left w:val="nil"/>
              <w:bottom w:val="single" w:sz="4" w:space="0" w:color="auto"/>
              <w:right w:val="single" w:sz="4" w:space="0" w:color="auto"/>
            </w:tcBorders>
            <w:shd w:val="clear" w:color="auto" w:fill="auto"/>
            <w:noWrap/>
            <w:vAlign w:val="center"/>
            <w:hideMark/>
          </w:tcPr>
          <w:p w14:paraId="11EE235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79.99</w:t>
            </w:r>
          </w:p>
        </w:tc>
        <w:tc>
          <w:tcPr>
            <w:tcW w:w="481" w:type="pct"/>
            <w:tcBorders>
              <w:top w:val="nil"/>
              <w:left w:val="nil"/>
              <w:bottom w:val="single" w:sz="4" w:space="0" w:color="auto"/>
              <w:right w:val="single" w:sz="4" w:space="0" w:color="auto"/>
            </w:tcBorders>
            <w:shd w:val="clear" w:color="auto" w:fill="auto"/>
            <w:noWrap/>
            <w:vAlign w:val="center"/>
            <w:hideMark/>
          </w:tcPr>
          <w:p w14:paraId="77CF69E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6B1F52F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$7,533 </w:t>
            </w:r>
          </w:p>
        </w:tc>
      </w:tr>
      <w:tr w:rsidR="00717D7D" w:rsidRPr="00C56EC9" w14:paraId="6F5BDC2F"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647B13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38</w:t>
            </w:r>
          </w:p>
        </w:tc>
        <w:tc>
          <w:tcPr>
            <w:tcW w:w="235" w:type="pct"/>
            <w:tcBorders>
              <w:top w:val="nil"/>
              <w:left w:val="nil"/>
              <w:bottom w:val="single" w:sz="4" w:space="0" w:color="auto"/>
              <w:right w:val="single" w:sz="4" w:space="0" w:color="auto"/>
            </w:tcBorders>
            <w:shd w:val="clear" w:color="auto" w:fill="auto"/>
            <w:noWrap/>
            <w:vAlign w:val="center"/>
            <w:hideMark/>
          </w:tcPr>
          <w:p w14:paraId="6767124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37,589</w:t>
            </w:r>
          </w:p>
        </w:tc>
        <w:tc>
          <w:tcPr>
            <w:tcW w:w="490" w:type="pct"/>
            <w:tcBorders>
              <w:top w:val="nil"/>
              <w:left w:val="nil"/>
              <w:bottom w:val="single" w:sz="4" w:space="0" w:color="auto"/>
              <w:right w:val="single" w:sz="4" w:space="0" w:color="auto"/>
            </w:tcBorders>
            <w:shd w:val="clear" w:color="auto" w:fill="auto"/>
            <w:noWrap/>
            <w:vAlign w:val="center"/>
            <w:hideMark/>
          </w:tcPr>
          <w:p w14:paraId="7835129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$1,097 </w:t>
            </w:r>
          </w:p>
        </w:tc>
        <w:tc>
          <w:tcPr>
            <w:tcW w:w="590" w:type="pct"/>
            <w:tcBorders>
              <w:top w:val="nil"/>
              <w:left w:val="nil"/>
              <w:bottom w:val="single" w:sz="4" w:space="0" w:color="auto"/>
              <w:right w:val="single" w:sz="4" w:space="0" w:color="auto"/>
            </w:tcBorders>
            <w:shd w:val="clear" w:color="auto" w:fill="auto"/>
            <w:noWrap/>
            <w:vAlign w:val="center"/>
            <w:hideMark/>
          </w:tcPr>
          <w:p w14:paraId="271650A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86.17</w:t>
            </w:r>
          </w:p>
        </w:tc>
        <w:tc>
          <w:tcPr>
            <w:tcW w:w="481" w:type="pct"/>
            <w:tcBorders>
              <w:top w:val="nil"/>
              <w:left w:val="nil"/>
              <w:bottom w:val="single" w:sz="4" w:space="0" w:color="auto"/>
              <w:right w:val="single" w:sz="4" w:space="0" w:color="auto"/>
            </w:tcBorders>
            <w:shd w:val="clear" w:color="auto" w:fill="auto"/>
            <w:noWrap/>
            <w:vAlign w:val="center"/>
            <w:hideMark/>
          </w:tcPr>
          <w:p w14:paraId="1E20891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7" w:type="pct"/>
            <w:tcBorders>
              <w:top w:val="nil"/>
              <w:left w:val="nil"/>
              <w:bottom w:val="single" w:sz="4" w:space="0" w:color="auto"/>
              <w:right w:val="single" w:sz="4" w:space="0" w:color="auto"/>
            </w:tcBorders>
            <w:shd w:val="clear" w:color="auto" w:fill="auto"/>
            <w:noWrap/>
            <w:vAlign w:val="center"/>
            <w:hideMark/>
          </w:tcPr>
          <w:p w14:paraId="6138AF5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$8,216 </w:t>
            </w:r>
          </w:p>
        </w:tc>
        <w:tc>
          <w:tcPr>
            <w:tcW w:w="235" w:type="pct"/>
            <w:tcBorders>
              <w:top w:val="nil"/>
              <w:left w:val="nil"/>
              <w:bottom w:val="single" w:sz="4" w:space="0" w:color="auto"/>
              <w:right w:val="single" w:sz="4" w:space="0" w:color="auto"/>
            </w:tcBorders>
            <w:shd w:val="clear" w:color="auto" w:fill="auto"/>
            <w:noWrap/>
            <w:vAlign w:val="center"/>
            <w:hideMark/>
          </w:tcPr>
          <w:p w14:paraId="56AC8BD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37,589</w:t>
            </w:r>
          </w:p>
        </w:tc>
        <w:tc>
          <w:tcPr>
            <w:tcW w:w="490" w:type="pct"/>
            <w:tcBorders>
              <w:top w:val="nil"/>
              <w:left w:val="nil"/>
              <w:bottom w:val="single" w:sz="4" w:space="0" w:color="auto"/>
              <w:right w:val="single" w:sz="4" w:space="0" w:color="auto"/>
            </w:tcBorders>
            <w:shd w:val="clear" w:color="auto" w:fill="auto"/>
            <w:noWrap/>
            <w:vAlign w:val="center"/>
            <w:hideMark/>
          </w:tcPr>
          <w:p w14:paraId="347D265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$1,097 </w:t>
            </w:r>
          </w:p>
        </w:tc>
        <w:tc>
          <w:tcPr>
            <w:tcW w:w="590" w:type="pct"/>
            <w:tcBorders>
              <w:top w:val="nil"/>
              <w:left w:val="nil"/>
              <w:bottom w:val="single" w:sz="4" w:space="0" w:color="auto"/>
              <w:right w:val="single" w:sz="4" w:space="0" w:color="auto"/>
            </w:tcBorders>
            <w:shd w:val="clear" w:color="auto" w:fill="auto"/>
            <w:noWrap/>
            <w:vAlign w:val="center"/>
            <w:hideMark/>
          </w:tcPr>
          <w:p w14:paraId="4033FD9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86.17</w:t>
            </w:r>
          </w:p>
        </w:tc>
        <w:tc>
          <w:tcPr>
            <w:tcW w:w="481" w:type="pct"/>
            <w:tcBorders>
              <w:top w:val="nil"/>
              <w:left w:val="nil"/>
              <w:bottom w:val="single" w:sz="4" w:space="0" w:color="auto"/>
              <w:right w:val="single" w:sz="4" w:space="0" w:color="auto"/>
            </w:tcBorders>
            <w:shd w:val="clear" w:color="auto" w:fill="auto"/>
            <w:noWrap/>
            <w:vAlign w:val="center"/>
            <w:hideMark/>
          </w:tcPr>
          <w:p w14:paraId="25956A7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70224FC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$7,946 </w:t>
            </w:r>
          </w:p>
        </w:tc>
      </w:tr>
      <w:tr w:rsidR="00717D7D" w:rsidRPr="00C56EC9" w14:paraId="469BD9BC" w14:textId="77777777" w:rsidTr="00717D7D">
        <w:trPr>
          <w:trHeight w:val="293"/>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1AF52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39</w:t>
            </w:r>
          </w:p>
        </w:tc>
        <w:tc>
          <w:tcPr>
            <w:tcW w:w="235" w:type="pct"/>
            <w:tcBorders>
              <w:top w:val="nil"/>
              <w:left w:val="nil"/>
              <w:bottom w:val="single" w:sz="4" w:space="0" w:color="auto"/>
              <w:right w:val="single" w:sz="4" w:space="0" w:color="auto"/>
            </w:tcBorders>
            <w:shd w:val="clear" w:color="auto" w:fill="auto"/>
            <w:noWrap/>
            <w:vAlign w:val="center"/>
            <w:hideMark/>
          </w:tcPr>
          <w:p w14:paraId="4F3CB42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36,489</w:t>
            </w:r>
          </w:p>
        </w:tc>
        <w:tc>
          <w:tcPr>
            <w:tcW w:w="490" w:type="pct"/>
            <w:tcBorders>
              <w:top w:val="nil"/>
              <w:left w:val="nil"/>
              <w:bottom w:val="single" w:sz="4" w:space="0" w:color="auto"/>
              <w:right w:val="single" w:sz="4" w:space="0" w:color="auto"/>
            </w:tcBorders>
            <w:shd w:val="clear" w:color="auto" w:fill="auto"/>
            <w:noWrap/>
            <w:vAlign w:val="center"/>
            <w:hideMark/>
          </w:tcPr>
          <w:p w14:paraId="66D8698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$1,111 </w:t>
            </w:r>
          </w:p>
        </w:tc>
        <w:tc>
          <w:tcPr>
            <w:tcW w:w="590" w:type="pct"/>
            <w:tcBorders>
              <w:top w:val="nil"/>
              <w:left w:val="nil"/>
              <w:bottom w:val="single" w:sz="4" w:space="0" w:color="auto"/>
              <w:right w:val="single" w:sz="4" w:space="0" w:color="auto"/>
            </w:tcBorders>
            <w:shd w:val="clear" w:color="auto" w:fill="auto"/>
            <w:noWrap/>
            <w:vAlign w:val="center"/>
            <w:hideMark/>
          </w:tcPr>
          <w:p w14:paraId="17562C3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92.25</w:t>
            </w:r>
          </w:p>
        </w:tc>
        <w:tc>
          <w:tcPr>
            <w:tcW w:w="481" w:type="pct"/>
            <w:tcBorders>
              <w:top w:val="nil"/>
              <w:left w:val="nil"/>
              <w:bottom w:val="single" w:sz="4" w:space="0" w:color="auto"/>
              <w:right w:val="single" w:sz="4" w:space="0" w:color="auto"/>
            </w:tcBorders>
            <w:shd w:val="clear" w:color="auto" w:fill="auto"/>
            <w:noWrap/>
            <w:vAlign w:val="center"/>
            <w:hideMark/>
          </w:tcPr>
          <w:p w14:paraId="5FEA828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429E8BB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$8,621 </w:t>
            </w:r>
          </w:p>
        </w:tc>
        <w:tc>
          <w:tcPr>
            <w:tcW w:w="235" w:type="pct"/>
            <w:tcBorders>
              <w:top w:val="nil"/>
              <w:left w:val="nil"/>
              <w:bottom w:val="single" w:sz="4" w:space="0" w:color="auto"/>
              <w:right w:val="single" w:sz="4" w:space="0" w:color="auto"/>
            </w:tcBorders>
            <w:shd w:val="clear" w:color="auto" w:fill="auto"/>
            <w:noWrap/>
            <w:vAlign w:val="center"/>
            <w:hideMark/>
          </w:tcPr>
          <w:p w14:paraId="57631CC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36,489</w:t>
            </w:r>
          </w:p>
        </w:tc>
        <w:tc>
          <w:tcPr>
            <w:tcW w:w="490" w:type="pct"/>
            <w:tcBorders>
              <w:top w:val="nil"/>
              <w:left w:val="nil"/>
              <w:bottom w:val="single" w:sz="4" w:space="0" w:color="auto"/>
              <w:right w:val="single" w:sz="4" w:space="0" w:color="auto"/>
            </w:tcBorders>
            <w:shd w:val="clear" w:color="auto" w:fill="auto"/>
            <w:noWrap/>
            <w:vAlign w:val="center"/>
            <w:hideMark/>
          </w:tcPr>
          <w:p w14:paraId="1053358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$1,111 </w:t>
            </w:r>
          </w:p>
        </w:tc>
        <w:tc>
          <w:tcPr>
            <w:tcW w:w="590" w:type="pct"/>
            <w:tcBorders>
              <w:top w:val="nil"/>
              <w:left w:val="nil"/>
              <w:bottom w:val="single" w:sz="4" w:space="0" w:color="auto"/>
              <w:right w:val="single" w:sz="4" w:space="0" w:color="auto"/>
            </w:tcBorders>
            <w:shd w:val="clear" w:color="auto" w:fill="auto"/>
            <w:noWrap/>
            <w:vAlign w:val="center"/>
            <w:hideMark/>
          </w:tcPr>
          <w:p w14:paraId="6339BAA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92.26</w:t>
            </w:r>
          </w:p>
        </w:tc>
        <w:tc>
          <w:tcPr>
            <w:tcW w:w="481" w:type="pct"/>
            <w:tcBorders>
              <w:top w:val="nil"/>
              <w:left w:val="nil"/>
              <w:bottom w:val="single" w:sz="4" w:space="0" w:color="auto"/>
              <w:right w:val="single" w:sz="4" w:space="0" w:color="auto"/>
            </w:tcBorders>
            <w:shd w:val="clear" w:color="auto" w:fill="auto"/>
            <w:noWrap/>
            <w:vAlign w:val="center"/>
            <w:hideMark/>
          </w:tcPr>
          <w:p w14:paraId="38BAC2D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6FD12C4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$8,639 </w:t>
            </w:r>
          </w:p>
        </w:tc>
      </w:tr>
      <w:tr w:rsidR="00717D7D" w:rsidRPr="00C56EC9" w14:paraId="3B692C29"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FCE19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40</w:t>
            </w:r>
          </w:p>
        </w:tc>
        <w:tc>
          <w:tcPr>
            <w:tcW w:w="235" w:type="pct"/>
            <w:tcBorders>
              <w:top w:val="nil"/>
              <w:left w:val="nil"/>
              <w:bottom w:val="single" w:sz="4" w:space="0" w:color="auto"/>
              <w:right w:val="single" w:sz="4" w:space="0" w:color="auto"/>
            </w:tcBorders>
            <w:shd w:val="clear" w:color="auto" w:fill="auto"/>
            <w:noWrap/>
            <w:vAlign w:val="center"/>
            <w:hideMark/>
          </w:tcPr>
          <w:p w14:paraId="7766D44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35,389</w:t>
            </w:r>
          </w:p>
        </w:tc>
        <w:tc>
          <w:tcPr>
            <w:tcW w:w="490" w:type="pct"/>
            <w:tcBorders>
              <w:top w:val="nil"/>
              <w:left w:val="nil"/>
              <w:bottom w:val="single" w:sz="4" w:space="0" w:color="auto"/>
              <w:right w:val="single" w:sz="4" w:space="0" w:color="auto"/>
            </w:tcBorders>
            <w:shd w:val="clear" w:color="auto" w:fill="auto"/>
            <w:noWrap/>
            <w:vAlign w:val="center"/>
            <w:hideMark/>
          </w:tcPr>
          <w:p w14:paraId="3EEA04F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$1,125 </w:t>
            </w:r>
          </w:p>
        </w:tc>
        <w:tc>
          <w:tcPr>
            <w:tcW w:w="590" w:type="pct"/>
            <w:tcBorders>
              <w:top w:val="nil"/>
              <w:left w:val="nil"/>
              <w:bottom w:val="single" w:sz="4" w:space="0" w:color="auto"/>
              <w:right w:val="single" w:sz="4" w:space="0" w:color="auto"/>
            </w:tcBorders>
            <w:shd w:val="clear" w:color="auto" w:fill="auto"/>
            <w:noWrap/>
            <w:vAlign w:val="center"/>
            <w:hideMark/>
          </w:tcPr>
          <w:p w14:paraId="32CCCCC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98.25</w:t>
            </w:r>
          </w:p>
        </w:tc>
        <w:tc>
          <w:tcPr>
            <w:tcW w:w="481" w:type="pct"/>
            <w:tcBorders>
              <w:top w:val="nil"/>
              <w:left w:val="nil"/>
              <w:bottom w:val="single" w:sz="4" w:space="0" w:color="auto"/>
              <w:right w:val="single" w:sz="4" w:space="0" w:color="auto"/>
            </w:tcBorders>
            <w:shd w:val="clear" w:color="auto" w:fill="auto"/>
            <w:noWrap/>
            <w:vAlign w:val="center"/>
            <w:hideMark/>
          </w:tcPr>
          <w:p w14:paraId="75D984E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34CB6C4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$9,337 </w:t>
            </w:r>
          </w:p>
        </w:tc>
        <w:tc>
          <w:tcPr>
            <w:tcW w:w="235" w:type="pct"/>
            <w:tcBorders>
              <w:top w:val="nil"/>
              <w:left w:val="nil"/>
              <w:bottom w:val="single" w:sz="4" w:space="0" w:color="auto"/>
              <w:right w:val="single" w:sz="4" w:space="0" w:color="auto"/>
            </w:tcBorders>
            <w:shd w:val="clear" w:color="auto" w:fill="auto"/>
            <w:noWrap/>
            <w:vAlign w:val="center"/>
            <w:hideMark/>
          </w:tcPr>
          <w:p w14:paraId="7B04BC3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35,389</w:t>
            </w:r>
          </w:p>
        </w:tc>
        <w:tc>
          <w:tcPr>
            <w:tcW w:w="490" w:type="pct"/>
            <w:tcBorders>
              <w:top w:val="nil"/>
              <w:left w:val="nil"/>
              <w:bottom w:val="single" w:sz="4" w:space="0" w:color="auto"/>
              <w:right w:val="single" w:sz="4" w:space="0" w:color="auto"/>
            </w:tcBorders>
            <w:shd w:val="clear" w:color="auto" w:fill="auto"/>
            <w:noWrap/>
            <w:vAlign w:val="center"/>
            <w:hideMark/>
          </w:tcPr>
          <w:p w14:paraId="7FB5C2E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$1,125 </w:t>
            </w:r>
          </w:p>
        </w:tc>
        <w:tc>
          <w:tcPr>
            <w:tcW w:w="590" w:type="pct"/>
            <w:tcBorders>
              <w:top w:val="nil"/>
              <w:left w:val="nil"/>
              <w:bottom w:val="single" w:sz="4" w:space="0" w:color="auto"/>
              <w:right w:val="single" w:sz="4" w:space="0" w:color="auto"/>
            </w:tcBorders>
            <w:shd w:val="clear" w:color="auto" w:fill="auto"/>
            <w:noWrap/>
            <w:vAlign w:val="center"/>
            <w:hideMark/>
          </w:tcPr>
          <w:p w14:paraId="7B02FCD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98.24</w:t>
            </w:r>
          </w:p>
        </w:tc>
        <w:tc>
          <w:tcPr>
            <w:tcW w:w="481" w:type="pct"/>
            <w:tcBorders>
              <w:top w:val="nil"/>
              <w:left w:val="nil"/>
              <w:bottom w:val="single" w:sz="4" w:space="0" w:color="auto"/>
              <w:right w:val="single" w:sz="4" w:space="0" w:color="auto"/>
            </w:tcBorders>
            <w:shd w:val="clear" w:color="auto" w:fill="auto"/>
            <w:noWrap/>
            <w:vAlign w:val="center"/>
            <w:hideMark/>
          </w:tcPr>
          <w:p w14:paraId="3CAADE1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0216AFF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$9,354 </w:t>
            </w:r>
          </w:p>
        </w:tc>
      </w:tr>
      <w:tr w:rsidR="00717D7D" w:rsidRPr="00C56EC9" w14:paraId="6986EDE5" w14:textId="77777777" w:rsidTr="00717D7D">
        <w:trPr>
          <w:trHeight w:val="293"/>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CFF8C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41</w:t>
            </w:r>
          </w:p>
        </w:tc>
        <w:tc>
          <w:tcPr>
            <w:tcW w:w="235" w:type="pct"/>
            <w:tcBorders>
              <w:top w:val="nil"/>
              <w:left w:val="nil"/>
              <w:bottom w:val="single" w:sz="4" w:space="0" w:color="auto"/>
              <w:right w:val="single" w:sz="4" w:space="0" w:color="auto"/>
            </w:tcBorders>
            <w:shd w:val="clear" w:color="auto" w:fill="auto"/>
            <w:noWrap/>
            <w:vAlign w:val="center"/>
            <w:hideMark/>
          </w:tcPr>
          <w:p w14:paraId="61882A5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34,289</w:t>
            </w:r>
          </w:p>
        </w:tc>
        <w:tc>
          <w:tcPr>
            <w:tcW w:w="490" w:type="pct"/>
            <w:tcBorders>
              <w:top w:val="nil"/>
              <w:left w:val="nil"/>
              <w:bottom w:val="single" w:sz="4" w:space="0" w:color="auto"/>
              <w:right w:val="single" w:sz="4" w:space="0" w:color="auto"/>
            </w:tcBorders>
            <w:shd w:val="clear" w:color="auto" w:fill="auto"/>
            <w:noWrap/>
            <w:vAlign w:val="center"/>
            <w:hideMark/>
          </w:tcPr>
          <w:p w14:paraId="3FCCEDA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$1,140 </w:t>
            </w:r>
          </w:p>
        </w:tc>
        <w:tc>
          <w:tcPr>
            <w:tcW w:w="590" w:type="pct"/>
            <w:tcBorders>
              <w:top w:val="nil"/>
              <w:left w:val="nil"/>
              <w:bottom w:val="single" w:sz="4" w:space="0" w:color="auto"/>
              <w:right w:val="single" w:sz="4" w:space="0" w:color="auto"/>
            </w:tcBorders>
            <w:shd w:val="clear" w:color="auto" w:fill="auto"/>
            <w:noWrap/>
            <w:vAlign w:val="center"/>
            <w:hideMark/>
          </w:tcPr>
          <w:p w14:paraId="33C4D86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104.12</w:t>
            </w:r>
          </w:p>
        </w:tc>
        <w:tc>
          <w:tcPr>
            <w:tcW w:w="481" w:type="pct"/>
            <w:tcBorders>
              <w:top w:val="nil"/>
              <w:left w:val="nil"/>
              <w:bottom w:val="single" w:sz="4" w:space="0" w:color="auto"/>
              <w:right w:val="single" w:sz="4" w:space="0" w:color="auto"/>
            </w:tcBorders>
            <w:shd w:val="clear" w:color="auto" w:fill="auto"/>
            <w:noWrap/>
            <w:vAlign w:val="center"/>
            <w:hideMark/>
          </w:tcPr>
          <w:p w14:paraId="21AFF4D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76509FC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$10,059 </w:t>
            </w:r>
          </w:p>
        </w:tc>
        <w:tc>
          <w:tcPr>
            <w:tcW w:w="235" w:type="pct"/>
            <w:tcBorders>
              <w:top w:val="nil"/>
              <w:left w:val="nil"/>
              <w:bottom w:val="single" w:sz="4" w:space="0" w:color="auto"/>
              <w:right w:val="single" w:sz="4" w:space="0" w:color="auto"/>
            </w:tcBorders>
            <w:shd w:val="clear" w:color="auto" w:fill="auto"/>
            <w:noWrap/>
            <w:vAlign w:val="center"/>
            <w:hideMark/>
          </w:tcPr>
          <w:p w14:paraId="0E0DFCD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34,289</w:t>
            </w:r>
          </w:p>
        </w:tc>
        <w:tc>
          <w:tcPr>
            <w:tcW w:w="490" w:type="pct"/>
            <w:tcBorders>
              <w:top w:val="nil"/>
              <w:left w:val="nil"/>
              <w:bottom w:val="single" w:sz="4" w:space="0" w:color="auto"/>
              <w:right w:val="single" w:sz="4" w:space="0" w:color="auto"/>
            </w:tcBorders>
            <w:shd w:val="clear" w:color="auto" w:fill="auto"/>
            <w:noWrap/>
            <w:vAlign w:val="center"/>
            <w:hideMark/>
          </w:tcPr>
          <w:p w14:paraId="49AAA26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$1,140 </w:t>
            </w:r>
          </w:p>
        </w:tc>
        <w:tc>
          <w:tcPr>
            <w:tcW w:w="590" w:type="pct"/>
            <w:tcBorders>
              <w:top w:val="nil"/>
              <w:left w:val="nil"/>
              <w:bottom w:val="single" w:sz="4" w:space="0" w:color="auto"/>
              <w:right w:val="single" w:sz="4" w:space="0" w:color="auto"/>
            </w:tcBorders>
            <w:shd w:val="clear" w:color="auto" w:fill="auto"/>
            <w:noWrap/>
            <w:vAlign w:val="center"/>
            <w:hideMark/>
          </w:tcPr>
          <w:p w14:paraId="3224DD0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104.12</w:t>
            </w:r>
          </w:p>
        </w:tc>
        <w:tc>
          <w:tcPr>
            <w:tcW w:w="481" w:type="pct"/>
            <w:tcBorders>
              <w:top w:val="nil"/>
              <w:left w:val="nil"/>
              <w:bottom w:val="single" w:sz="4" w:space="0" w:color="auto"/>
              <w:right w:val="single" w:sz="4" w:space="0" w:color="auto"/>
            </w:tcBorders>
            <w:shd w:val="clear" w:color="auto" w:fill="auto"/>
            <w:noWrap/>
            <w:vAlign w:val="center"/>
            <w:hideMark/>
          </w:tcPr>
          <w:p w14:paraId="4B4105D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1889622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$10,080 </w:t>
            </w:r>
          </w:p>
        </w:tc>
      </w:tr>
      <w:tr w:rsidR="00717D7D" w:rsidRPr="00C56EC9" w14:paraId="3D3C7100"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8615CD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42</w:t>
            </w:r>
          </w:p>
        </w:tc>
        <w:tc>
          <w:tcPr>
            <w:tcW w:w="235" w:type="pct"/>
            <w:tcBorders>
              <w:top w:val="nil"/>
              <w:left w:val="nil"/>
              <w:bottom w:val="single" w:sz="4" w:space="0" w:color="auto"/>
              <w:right w:val="single" w:sz="4" w:space="0" w:color="auto"/>
            </w:tcBorders>
            <w:shd w:val="clear" w:color="auto" w:fill="auto"/>
            <w:noWrap/>
            <w:vAlign w:val="center"/>
            <w:hideMark/>
          </w:tcPr>
          <w:p w14:paraId="4A332DC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33,189</w:t>
            </w:r>
          </w:p>
        </w:tc>
        <w:tc>
          <w:tcPr>
            <w:tcW w:w="490" w:type="pct"/>
            <w:tcBorders>
              <w:top w:val="nil"/>
              <w:left w:val="nil"/>
              <w:bottom w:val="single" w:sz="4" w:space="0" w:color="auto"/>
              <w:right w:val="single" w:sz="4" w:space="0" w:color="auto"/>
            </w:tcBorders>
            <w:shd w:val="clear" w:color="auto" w:fill="auto"/>
            <w:noWrap/>
            <w:vAlign w:val="center"/>
            <w:hideMark/>
          </w:tcPr>
          <w:p w14:paraId="286FC90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$1,155 </w:t>
            </w:r>
          </w:p>
        </w:tc>
        <w:tc>
          <w:tcPr>
            <w:tcW w:w="590" w:type="pct"/>
            <w:tcBorders>
              <w:top w:val="nil"/>
              <w:left w:val="nil"/>
              <w:bottom w:val="single" w:sz="4" w:space="0" w:color="auto"/>
              <w:right w:val="single" w:sz="4" w:space="0" w:color="auto"/>
            </w:tcBorders>
            <w:shd w:val="clear" w:color="auto" w:fill="auto"/>
            <w:noWrap/>
            <w:vAlign w:val="center"/>
            <w:hideMark/>
          </w:tcPr>
          <w:p w14:paraId="638062B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109.90</w:t>
            </w:r>
          </w:p>
        </w:tc>
        <w:tc>
          <w:tcPr>
            <w:tcW w:w="481" w:type="pct"/>
            <w:tcBorders>
              <w:top w:val="nil"/>
              <w:left w:val="nil"/>
              <w:bottom w:val="single" w:sz="4" w:space="0" w:color="auto"/>
              <w:right w:val="single" w:sz="4" w:space="0" w:color="auto"/>
            </w:tcBorders>
            <w:shd w:val="clear" w:color="auto" w:fill="auto"/>
            <w:noWrap/>
            <w:vAlign w:val="center"/>
            <w:hideMark/>
          </w:tcPr>
          <w:p w14:paraId="4F58F24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2252A2A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$10,808 </w:t>
            </w:r>
          </w:p>
        </w:tc>
        <w:tc>
          <w:tcPr>
            <w:tcW w:w="235" w:type="pct"/>
            <w:tcBorders>
              <w:top w:val="nil"/>
              <w:left w:val="nil"/>
              <w:bottom w:val="single" w:sz="4" w:space="0" w:color="auto"/>
              <w:right w:val="single" w:sz="4" w:space="0" w:color="auto"/>
            </w:tcBorders>
            <w:shd w:val="clear" w:color="auto" w:fill="auto"/>
            <w:noWrap/>
            <w:vAlign w:val="center"/>
            <w:hideMark/>
          </w:tcPr>
          <w:p w14:paraId="5736778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33,189</w:t>
            </w:r>
          </w:p>
        </w:tc>
        <w:tc>
          <w:tcPr>
            <w:tcW w:w="490" w:type="pct"/>
            <w:tcBorders>
              <w:top w:val="nil"/>
              <w:left w:val="nil"/>
              <w:bottom w:val="single" w:sz="4" w:space="0" w:color="auto"/>
              <w:right w:val="single" w:sz="4" w:space="0" w:color="auto"/>
            </w:tcBorders>
            <w:shd w:val="clear" w:color="auto" w:fill="auto"/>
            <w:noWrap/>
            <w:vAlign w:val="center"/>
            <w:hideMark/>
          </w:tcPr>
          <w:p w14:paraId="5F94128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$1,155 </w:t>
            </w:r>
          </w:p>
        </w:tc>
        <w:tc>
          <w:tcPr>
            <w:tcW w:w="590" w:type="pct"/>
            <w:tcBorders>
              <w:top w:val="nil"/>
              <w:left w:val="nil"/>
              <w:bottom w:val="single" w:sz="4" w:space="0" w:color="auto"/>
              <w:right w:val="single" w:sz="4" w:space="0" w:color="auto"/>
            </w:tcBorders>
            <w:shd w:val="clear" w:color="auto" w:fill="auto"/>
            <w:noWrap/>
            <w:vAlign w:val="center"/>
            <w:hideMark/>
          </w:tcPr>
          <w:p w14:paraId="4E972CB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109.89</w:t>
            </w:r>
          </w:p>
        </w:tc>
        <w:tc>
          <w:tcPr>
            <w:tcW w:w="481" w:type="pct"/>
            <w:tcBorders>
              <w:top w:val="nil"/>
              <w:left w:val="nil"/>
              <w:bottom w:val="single" w:sz="4" w:space="0" w:color="auto"/>
              <w:right w:val="single" w:sz="4" w:space="0" w:color="auto"/>
            </w:tcBorders>
            <w:shd w:val="clear" w:color="auto" w:fill="auto"/>
            <w:noWrap/>
            <w:vAlign w:val="center"/>
            <w:hideMark/>
          </w:tcPr>
          <w:p w14:paraId="189A5AD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9" w:type="pct"/>
            <w:tcBorders>
              <w:top w:val="nil"/>
              <w:left w:val="nil"/>
              <w:bottom w:val="single" w:sz="4" w:space="0" w:color="auto"/>
              <w:right w:val="single" w:sz="4" w:space="0" w:color="auto"/>
            </w:tcBorders>
            <w:shd w:val="clear" w:color="auto" w:fill="auto"/>
            <w:noWrap/>
            <w:vAlign w:val="center"/>
            <w:hideMark/>
          </w:tcPr>
          <w:p w14:paraId="749CC4F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$10,441 </w:t>
            </w:r>
          </w:p>
        </w:tc>
      </w:tr>
      <w:tr w:rsidR="00717D7D" w:rsidRPr="00C56EC9" w14:paraId="707A50A6"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2C7D4D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43</w:t>
            </w:r>
          </w:p>
        </w:tc>
        <w:tc>
          <w:tcPr>
            <w:tcW w:w="235" w:type="pct"/>
            <w:tcBorders>
              <w:top w:val="nil"/>
              <w:left w:val="nil"/>
              <w:bottom w:val="single" w:sz="4" w:space="0" w:color="auto"/>
              <w:right w:val="single" w:sz="4" w:space="0" w:color="auto"/>
            </w:tcBorders>
            <w:shd w:val="clear" w:color="auto" w:fill="auto"/>
            <w:noWrap/>
            <w:vAlign w:val="center"/>
            <w:hideMark/>
          </w:tcPr>
          <w:p w14:paraId="573DB6D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32,089</w:t>
            </w:r>
          </w:p>
        </w:tc>
        <w:tc>
          <w:tcPr>
            <w:tcW w:w="490" w:type="pct"/>
            <w:tcBorders>
              <w:top w:val="nil"/>
              <w:left w:val="nil"/>
              <w:bottom w:val="single" w:sz="4" w:space="0" w:color="auto"/>
              <w:right w:val="single" w:sz="4" w:space="0" w:color="auto"/>
            </w:tcBorders>
            <w:shd w:val="clear" w:color="auto" w:fill="auto"/>
            <w:noWrap/>
            <w:vAlign w:val="center"/>
            <w:hideMark/>
          </w:tcPr>
          <w:p w14:paraId="759B40E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$1,170 </w:t>
            </w:r>
          </w:p>
        </w:tc>
        <w:tc>
          <w:tcPr>
            <w:tcW w:w="590" w:type="pct"/>
            <w:tcBorders>
              <w:top w:val="nil"/>
              <w:left w:val="nil"/>
              <w:bottom w:val="single" w:sz="4" w:space="0" w:color="auto"/>
              <w:right w:val="single" w:sz="4" w:space="0" w:color="auto"/>
            </w:tcBorders>
            <w:shd w:val="clear" w:color="auto" w:fill="auto"/>
            <w:noWrap/>
            <w:vAlign w:val="center"/>
            <w:hideMark/>
          </w:tcPr>
          <w:p w14:paraId="6016852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115.56</w:t>
            </w:r>
          </w:p>
        </w:tc>
        <w:tc>
          <w:tcPr>
            <w:tcW w:w="481" w:type="pct"/>
            <w:tcBorders>
              <w:top w:val="nil"/>
              <w:left w:val="nil"/>
              <w:bottom w:val="single" w:sz="4" w:space="0" w:color="auto"/>
              <w:right w:val="single" w:sz="4" w:space="0" w:color="auto"/>
            </w:tcBorders>
            <w:shd w:val="clear" w:color="auto" w:fill="auto"/>
            <w:noWrap/>
            <w:vAlign w:val="center"/>
            <w:hideMark/>
          </w:tcPr>
          <w:p w14:paraId="5AFE5CA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6B35D48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$11,575 </w:t>
            </w:r>
          </w:p>
        </w:tc>
        <w:tc>
          <w:tcPr>
            <w:tcW w:w="235" w:type="pct"/>
            <w:tcBorders>
              <w:top w:val="nil"/>
              <w:left w:val="nil"/>
              <w:bottom w:val="single" w:sz="4" w:space="0" w:color="auto"/>
              <w:right w:val="single" w:sz="4" w:space="0" w:color="auto"/>
            </w:tcBorders>
            <w:shd w:val="clear" w:color="auto" w:fill="auto"/>
            <w:noWrap/>
            <w:vAlign w:val="center"/>
            <w:hideMark/>
          </w:tcPr>
          <w:p w14:paraId="0B261E2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32,089</w:t>
            </w:r>
          </w:p>
        </w:tc>
        <w:tc>
          <w:tcPr>
            <w:tcW w:w="490" w:type="pct"/>
            <w:tcBorders>
              <w:top w:val="nil"/>
              <w:left w:val="nil"/>
              <w:bottom w:val="single" w:sz="4" w:space="0" w:color="auto"/>
              <w:right w:val="single" w:sz="4" w:space="0" w:color="auto"/>
            </w:tcBorders>
            <w:shd w:val="clear" w:color="auto" w:fill="auto"/>
            <w:noWrap/>
            <w:vAlign w:val="center"/>
            <w:hideMark/>
          </w:tcPr>
          <w:p w14:paraId="5060589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$1,170 </w:t>
            </w:r>
          </w:p>
        </w:tc>
        <w:tc>
          <w:tcPr>
            <w:tcW w:w="590" w:type="pct"/>
            <w:tcBorders>
              <w:top w:val="nil"/>
              <w:left w:val="nil"/>
              <w:bottom w:val="single" w:sz="4" w:space="0" w:color="auto"/>
              <w:right w:val="single" w:sz="4" w:space="0" w:color="auto"/>
            </w:tcBorders>
            <w:shd w:val="clear" w:color="auto" w:fill="auto"/>
            <w:noWrap/>
            <w:vAlign w:val="center"/>
            <w:hideMark/>
          </w:tcPr>
          <w:p w14:paraId="1B32CA0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115.56</w:t>
            </w:r>
          </w:p>
        </w:tc>
        <w:tc>
          <w:tcPr>
            <w:tcW w:w="481" w:type="pct"/>
            <w:tcBorders>
              <w:top w:val="nil"/>
              <w:left w:val="nil"/>
              <w:bottom w:val="single" w:sz="4" w:space="0" w:color="auto"/>
              <w:right w:val="single" w:sz="4" w:space="0" w:color="auto"/>
            </w:tcBorders>
            <w:shd w:val="clear" w:color="auto" w:fill="auto"/>
            <w:noWrap/>
            <w:vAlign w:val="center"/>
            <w:hideMark/>
          </w:tcPr>
          <w:p w14:paraId="067D6B7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9" w:type="pct"/>
            <w:tcBorders>
              <w:top w:val="nil"/>
              <w:left w:val="nil"/>
              <w:bottom w:val="single" w:sz="4" w:space="0" w:color="auto"/>
              <w:right w:val="single" w:sz="4" w:space="0" w:color="auto"/>
            </w:tcBorders>
            <w:shd w:val="clear" w:color="auto" w:fill="auto"/>
            <w:noWrap/>
            <w:vAlign w:val="center"/>
            <w:hideMark/>
          </w:tcPr>
          <w:p w14:paraId="148FECC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$11,172 </w:t>
            </w:r>
          </w:p>
        </w:tc>
      </w:tr>
      <w:tr w:rsidR="00717D7D" w:rsidRPr="00C56EC9" w14:paraId="26783A99"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F74D46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44</w:t>
            </w:r>
          </w:p>
        </w:tc>
        <w:tc>
          <w:tcPr>
            <w:tcW w:w="235" w:type="pct"/>
            <w:tcBorders>
              <w:top w:val="nil"/>
              <w:left w:val="nil"/>
              <w:bottom w:val="single" w:sz="4" w:space="0" w:color="auto"/>
              <w:right w:val="single" w:sz="4" w:space="0" w:color="auto"/>
            </w:tcBorders>
            <w:shd w:val="clear" w:color="auto" w:fill="auto"/>
            <w:noWrap/>
            <w:vAlign w:val="center"/>
            <w:hideMark/>
          </w:tcPr>
          <w:p w14:paraId="60058D6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30,989</w:t>
            </w:r>
          </w:p>
        </w:tc>
        <w:tc>
          <w:tcPr>
            <w:tcW w:w="490" w:type="pct"/>
            <w:tcBorders>
              <w:top w:val="nil"/>
              <w:left w:val="nil"/>
              <w:bottom w:val="single" w:sz="4" w:space="0" w:color="auto"/>
              <w:right w:val="single" w:sz="4" w:space="0" w:color="auto"/>
            </w:tcBorders>
            <w:shd w:val="clear" w:color="auto" w:fill="auto"/>
            <w:noWrap/>
            <w:vAlign w:val="center"/>
            <w:hideMark/>
          </w:tcPr>
          <w:p w14:paraId="500E3FF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$1,185 </w:t>
            </w:r>
          </w:p>
        </w:tc>
        <w:tc>
          <w:tcPr>
            <w:tcW w:w="590" w:type="pct"/>
            <w:tcBorders>
              <w:top w:val="nil"/>
              <w:left w:val="nil"/>
              <w:bottom w:val="single" w:sz="4" w:space="0" w:color="auto"/>
              <w:right w:val="single" w:sz="4" w:space="0" w:color="auto"/>
            </w:tcBorders>
            <w:shd w:val="clear" w:color="auto" w:fill="auto"/>
            <w:noWrap/>
            <w:vAlign w:val="center"/>
            <w:hideMark/>
          </w:tcPr>
          <w:p w14:paraId="4DB8021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121.13</w:t>
            </w:r>
          </w:p>
        </w:tc>
        <w:tc>
          <w:tcPr>
            <w:tcW w:w="481" w:type="pct"/>
            <w:tcBorders>
              <w:top w:val="nil"/>
              <w:left w:val="nil"/>
              <w:bottom w:val="single" w:sz="4" w:space="0" w:color="auto"/>
              <w:right w:val="single" w:sz="4" w:space="0" w:color="auto"/>
            </w:tcBorders>
            <w:shd w:val="clear" w:color="auto" w:fill="auto"/>
            <w:noWrap/>
            <w:vAlign w:val="center"/>
            <w:hideMark/>
          </w:tcPr>
          <w:p w14:paraId="27357B7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49CE137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$11,910 </w:t>
            </w:r>
          </w:p>
        </w:tc>
        <w:tc>
          <w:tcPr>
            <w:tcW w:w="235" w:type="pct"/>
            <w:tcBorders>
              <w:top w:val="nil"/>
              <w:left w:val="nil"/>
              <w:bottom w:val="single" w:sz="4" w:space="0" w:color="auto"/>
              <w:right w:val="single" w:sz="4" w:space="0" w:color="auto"/>
            </w:tcBorders>
            <w:shd w:val="clear" w:color="auto" w:fill="auto"/>
            <w:noWrap/>
            <w:vAlign w:val="center"/>
            <w:hideMark/>
          </w:tcPr>
          <w:p w14:paraId="01CCAB0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30,989</w:t>
            </w:r>
          </w:p>
        </w:tc>
        <w:tc>
          <w:tcPr>
            <w:tcW w:w="490" w:type="pct"/>
            <w:tcBorders>
              <w:top w:val="nil"/>
              <w:left w:val="nil"/>
              <w:bottom w:val="single" w:sz="4" w:space="0" w:color="auto"/>
              <w:right w:val="single" w:sz="4" w:space="0" w:color="auto"/>
            </w:tcBorders>
            <w:shd w:val="clear" w:color="auto" w:fill="auto"/>
            <w:noWrap/>
            <w:vAlign w:val="center"/>
            <w:hideMark/>
          </w:tcPr>
          <w:p w14:paraId="23C9B7E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$1,185 </w:t>
            </w:r>
          </w:p>
        </w:tc>
        <w:tc>
          <w:tcPr>
            <w:tcW w:w="590" w:type="pct"/>
            <w:tcBorders>
              <w:top w:val="nil"/>
              <w:left w:val="nil"/>
              <w:bottom w:val="single" w:sz="4" w:space="0" w:color="auto"/>
              <w:right w:val="single" w:sz="4" w:space="0" w:color="auto"/>
            </w:tcBorders>
            <w:shd w:val="clear" w:color="auto" w:fill="auto"/>
            <w:noWrap/>
            <w:vAlign w:val="center"/>
            <w:hideMark/>
          </w:tcPr>
          <w:p w14:paraId="0CA1180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121.11</w:t>
            </w:r>
          </w:p>
        </w:tc>
        <w:tc>
          <w:tcPr>
            <w:tcW w:w="481" w:type="pct"/>
            <w:tcBorders>
              <w:top w:val="nil"/>
              <w:left w:val="nil"/>
              <w:bottom w:val="single" w:sz="4" w:space="0" w:color="auto"/>
              <w:right w:val="single" w:sz="4" w:space="0" w:color="auto"/>
            </w:tcBorders>
            <w:shd w:val="clear" w:color="auto" w:fill="auto"/>
            <w:noWrap/>
            <w:vAlign w:val="center"/>
            <w:hideMark/>
          </w:tcPr>
          <w:p w14:paraId="1B2284E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9" w:type="pct"/>
            <w:tcBorders>
              <w:top w:val="nil"/>
              <w:left w:val="nil"/>
              <w:bottom w:val="single" w:sz="4" w:space="0" w:color="auto"/>
              <w:right w:val="single" w:sz="4" w:space="0" w:color="auto"/>
            </w:tcBorders>
            <w:shd w:val="clear" w:color="auto" w:fill="auto"/>
            <w:noWrap/>
            <w:vAlign w:val="center"/>
            <w:hideMark/>
          </w:tcPr>
          <w:p w14:paraId="16506D2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$11,927 </w:t>
            </w:r>
          </w:p>
        </w:tc>
      </w:tr>
      <w:tr w:rsidR="00717D7D" w:rsidRPr="00C56EC9" w14:paraId="0DA9398D"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D6CD9B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45</w:t>
            </w:r>
          </w:p>
        </w:tc>
        <w:tc>
          <w:tcPr>
            <w:tcW w:w="235" w:type="pct"/>
            <w:tcBorders>
              <w:top w:val="nil"/>
              <w:left w:val="nil"/>
              <w:bottom w:val="single" w:sz="4" w:space="0" w:color="auto"/>
              <w:right w:val="single" w:sz="4" w:space="0" w:color="auto"/>
            </w:tcBorders>
            <w:shd w:val="clear" w:color="auto" w:fill="auto"/>
            <w:noWrap/>
            <w:vAlign w:val="center"/>
            <w:hideMark/>
          </w:tcPr>
          <w:p w14:paraId="03E9556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29,889</w:t>
            </w:r>
          </w:p>
        </w:tc>
        <w:tc>
          <w:tcPr>
            <w:tcW w:w="490" w:type="pct"/>
            <w:tcBorders>
              <w:top w:val="nil"/>
              <w:left w:val="nil"/>
              <w:bottom w:val="single" w:sz="4" w:space="0" w:color="auto"/>
              <w:right w:val="single" w:sz="4" w:space="0" w:color="auto"/>
            </w:tcBorders>
            <w:shd w:val="clear" w:color="auto" w:fill="auto"/>
            <w:noWrap/>
            <w:vAlign w:val="center"/>
            <w:hideMark/>
          </w:tcPr>
          <w:p w14:paraId="297DA66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$1,200 </w:t>
            </w:r>
          </w:p>
        </w:tc>
        <w:tc>
          <w:tcPr>
            <w:tcW w:w="590" w:type="pct"/>
            <w:tcBorders>
              <w:top w:val="nil"/>
              <w:left w:val="nil"/>
              <w:bottom w:val="single" w:sz="4" w:space="0" w:color="auto"/>
              <w:right w:val="single" w:sz="4" w:space="0" w:color="auto"/>
            </w:tcBorders>
            <w:shd w:val="clear" w:color="auto" w:fill="auto"/>
            <w:noWrap/>
            <w:vAlign w:val="center"/>
            <w:hideMark/>
          </w:tcPr>
          <w:p w14:paraId="5464DB4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126.58</w:t>
            </w:r>
          </w:p>
        </w:tc>
        <w:tc>
          <w:tcPr>
            <w:tcW w:w="481" w:type="pct"/>
            <w:tcBorders>
              <w:top w:val="nil"/>
              <w:left w:val="nil"/>
              <w:bottom w:val="single" w:sz="4" w:space="0" w:color="auto"/>
              <w:right w:val="single" w:sz="4" w:space="0" w:color="auto"/>
            </w:tcBorders>
            <w:shd w:val="clear" w:color="auto" w:fill="auto"/>
            <w:noWrap/>
            <w:vAlign w:val="center"/>
            <w:hideMark/>
          </w:tcPr>
          <w:p w14:paraId="3C3C752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76663A0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$12,689 </w:t>
            </w:r>
          </w:p>
        </w:tc>
        <w:tc>
          <w:tcPr>
            <w:tcW w:w="235" w:type="pct"/>
            <w:tcBorders>
              <w:top w:val="nil"/>
              <w:left w:val="nil"/>
              <w:bottom w:val="single" w:sz="4" w:space="0" w:color="auto"/>
              <w:right w:val="single" w:sz="4" w:space="0" w:color="auto"/>
            </w:tcBorders>
            <w:shd w:val="clear" w:color="auto" w:fill="auto"/>
            <w:noWrap/>
            <w:vAlign w:val="center"/>
            <w:hideMark/>
          </w:tcPr>
          <w:p w14:paraId="4ACCB32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29,889</w:t>
            </w:r>
          </w:p>
        </w:tc>
        <w:tc>
          <w:tcPr>
            <w:tcW w:w="490" w:type="pct"/>
            <w:tcBorders>
              <w:top w:val="nil"/>
              <w:left w:val="nil"/>
              <w:bottom w:val="single" w:sz="4" w:space="0" w:color="auto"/>
              <w:right w:val="single" w:sz="4" w:space="0" w:color="auto"/>
            </w:tcBorders>
            <w:shd w:val="clear" w:color="auto" w:fill="auto"/>
            <w:noWrap/>
            <w:vAlign w:val="center"/>
            <w:hideMark/>
          </w:tcPr>
          <w:p w14:paraId="2A0190D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$1,200 </w:t>
            </w:r>
          </w:p>
        </w:tc>
        <w:tc>
          <w:tcPr>
            <w:tcW w:w="590" w:type="pct"/>
            <w:tcBorders>
              <w:top w:val="nil"/>
              <w:left w:val="nil"/>
              <w:bottom w:val="single" w:sz="4" w:space="0" w:color="auto"/>
              <w:right w:val="single" w:sz="4" w:space="0" w:color="auto"/>
            </w:tcBorders>
            <w:shd w:val="clear" w:color="auto" w:fill="auto"/>
            <w:noWrap/>
            <w:vAlign w:val="center"/>
            <w:hideMark/>
          </w:tcPr>
          <w:p w14:paraId="191E98B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126.56</w:t>
            </w:r>
          </w:p>
        </w:tc>
        <w:tc>
          <w:tcPr>
            <w:tcW w:w="481" w:type="pct"/>
            <w:tcBorders>
              <w:top w:val="nil"/>
              <w:left w:val="nil"/>
              <w:bottom w:val="single" w:sz="4" w:space="0" w:color="auto"/>
              <w:right w:val="single" w:sz="4" w:space="0" w:color="auto"/>
            </w:tcBorders>
            <w:shd w:val="clear" w:color="auto" w:fill="auto"/>
            <w:noWrap/>
            <w:vAlign w:val="center"/>
            <w:hideMark/>
          </w:tcPr>
          <w:p w14:paraId="45D5940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9" w:type="pct"/>
            <w:tcBorders>
              <w:top w:val="nil"/>
              <w:left w:val="nil"/>
              <w:bottom w:val="single" w:sz="4" w:space="0" w:color="auto"/>
              <w:right w:val="single" w:sz="4" w:space="0" w:color="auto"/>
            </w:tcBorders>
            <w:shd w:val="clear" w:color="auto" w:fill="auto"/>
            <w:noWrap/>
            <w:vAlign w:val="center"/>
            <w:hideMark/>
          </w:tcPr>
          <w:p w14:paraId="2D9D7BF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$12,696 </w:t>
            </w:r>
          </w:p>
        </w:tc>
      </w:tr>
      <w:tr w:rsidR="00717D7D" w:rsidRPr="00C56EC9" w14:paraId="57542C7E"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119E0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46</w:t>
            </w:r>
          </w:p>
        </w:tc>
        <w:tc>
          <w:tcPr>
            <w:tcW w:w="235" w:type="pct"/>
            <w:tcBorders>
              <w:top w:val="nil"/>
              <w:left w:val="nil"/>
              <w:bottom w:val="single" w:sz="4" w:space="0" w:color="auto"/>
              <w:right w:val="single" w:sz="4" w:space="0" w:color="auto"/>
            </w:tcBorders>
            <w:shd w:val="clear" w:color="auto" w:fill="auto"/>
            <w:noWrap/>
            <w:vAlign w:val="center"/>
            <w:hideMark/>
          </w:tcPr>
          <w:p w14:paraId="2EE766A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28,789</w:t>
            </w:r>
          </w:p>
        </w:tc>
        <w:tc>
          <w:tcPr>
            <w:tcW w:w="490" w:type="pct"/>
            <w:tcBorders>
              <w:top w:val="nil"/>
              <w:left w:val="nil"/>
              <w:bottom w:val="single" w:sz="4" w:space="0" w:color="auto"/>
              <w:right w:val="single" w:sz="4" w:space="0" w:color="auto"/>
            </w:tcBorders>
            <w:shd w:val="clear" w:color="auto" w:fill="auto"/>
            <w:noWrap/>
            <w:vAlign w:val="center"/>
            <w:hideMark/>
          </w:tcPr>
          <w:p w14:paraId="7E59E9C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$1,216 </w:t>
            </w:r>
          </w:p>
        </w:tc>
        <w:tc>
          <w:tcPr>
            <w:tcW w:w="590" w:type="pct"/>
            <w:tcBorders>
              <w:top w:val="nil"/>
              <w:left w:val="nil"/>
              <w:bottom w:val="single" w:sz="4" w:space="0" w:color="auto"/>
              <w:right w:val="single" w:sz="4" w:space="0" w:color="auto"/>
            </w:tcBorders>
            <w:shd w:val="clear" w:color="auto" w:fill="auto"/>
            <w:noWrap/>
            <w:vAlign w:val="center"/>
            <w:hideMark/>
          </w:tcPr>
          <w:p w14:paraId="5A6AAB0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131.88</w:t>
            </w:r>
          </w:p>
        </w:tc>
        <w:tc>
          <w:tcPr>
            <w:tcW w:w="481" w:type="pct"/>
            <w:tcBorders>
              <w:top w:val="nil"/>
              <w:left w:val="nil"/>
              <w:bottom w:val="single" w:sz="4" w:space="0" w:color="auto"/>
              <w:right w:val="single" w:sz="4" w:space="0" w:color="auto"/>
            </w:tcBorders>
            <w:shd w:val="clear" w:color="auto" w:fill="auto"/>
            <w:noWrap/>
            <w:vAlign w:val="center"/>
            <w:hideMark/>
          </w:tcPr>
          <w:p w14:paraId="4930BBE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6DA5973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$13,481 </w:t>
            </w:r>
          </w:p>
        </w:tc>
        <w:tc>
          <w:tcPr>
            <w:tcW w:w="235" w:type="pct"/>
            <w:tcBorders>
              <w:top w:val="nil"/>
              <w:left w:val="nil"/>
              <w:bottom w:val="single" w:sz="4" w:space="0" w:color="auto"/>
              <w:right w:val="single" w:sz="4" w:space="0" w:color="auto"/>
            </w:tcBorders>
            <w:shd w:val="clear" w:color="auto" w:fill="auto"/>
            <w:noWrap/>
            <w:vAlign w:val="center"/>
            <w:hideMark/>
          </w:tcPr>
          <w:p w14:paraId="04A7BE7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28,789</w:t>
            </w:r>
          </w:p>
        </w:tc>
        <w:tc>
          <w:tcPr>
            <w:tcW w:w="490" w:type="pct"/>
            <w:tcBorders>
              <w:top w:val="nil"/>
              <w:left w:val="nil"/>
              <w:bottom w:val="single" w:sz="4" w:space="0" w:color="auto"/>
              <w:right w:val="single" w:sz="4" w:space="0" w:color="auto"/>
            </w:tcBorders>
            <w:shd w:val="clear" w:color="auto" w:fill="auto"/>
            <w:noWrap/>
            <w:vAlign w:val="center"/>
            <w:hideMark/>
          </w:tcPr>
          <w:p w14:paraId="3243148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$1,216 </w:t>
            </w:r>
          </w:p>
        </w:tc>
        <w:tc>
          <w:tcPr>
            <w:tcW w:w="590" w:type="pct"/>
            <w:tcBorders>
              <w:top w:val="nil"/>
              <w:left w:val="nil"/>
              <w:bottom w:val="single" w:sz="4" w:space="0" w:color="auto"/>
              <w:right w:val="single" w:sz="4" w:space="0" w:color="auto"/>
            </w:tcBorders>
            <w:shd w:val="clear" w:color="auto" w:fill="auto"/>
            <w:noWrap/>
            <w:vAlign w:val="center"/>
            <w:hideMark/>
          </w:tcPr>
          <w:p w14:paraId="5277607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131.82</w:t>
            </w:r>
          </w:p>
        </w:tc>
        <w:tc>
          <w:tcPr>
            <w:tcW w:w="481" w:type="pct"/>
            <w:tcBorders>
              <w:top w:val="nil"/>
              <w:left w:val="nil"/>
              <w:bottom w:val="single" w:sz="4" w:space="0" w:color="auto"/>
              <w:right w:val="single" w:sz="4" w:space="0" w:color="auto"/>
            </w:tcBorders>
            <w:shd w:val="clear" w:color="auto" w:fill="auto"/>
            <w:noWrap/>
            <w:vAlign w:val="center"/>
            <w:hideMark/>
          </w:tcPr>
          <w:p w14:paraId="48BBFAB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6E8DF74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$12,962 </w:t>
            </w:r>
          </w:p>
        </w:tc>
      </w:tr>
      <w:tr w:rsidR="00717D7D" w:rsidRPr="00C56EC9" w14:paraId="028822FB"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BC58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47</w:t>
            </w:r>
          </w:p>
        </w:tc>
        <w:tc>
          <w:tcPr>
            <w:tcW w:w="235" w:type="pct"/>
            <w:tcBorders>
              <w:top w:val="nil"/>
              <w:left w:val="nil"/>
              <w:bottom w:val="single" w:sz="4" w:space="0" w:color="auto"/>
              <w:right w:val="single" w:sz="4" w:space="0" w:color="auto"/>
            </w:tcBorders>
            <w:shd w:val="clear" w:color="auto" w:fill="auto"/>
            <w:noWrap/>
            <w:vAlign w:val="center"/>
            <w:hideMark/>
          </w:tcPr>
          <w:p w14:paraId="37167BA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27,689</w:t>
            </w:r>
          </w:p>
        </w:tc>
        <w:tc>
          <w:tcPr>
            <w:tcW w:w="490" w:type="pct"/>
            <w:tcBorders>
              <w:top w:val="nil"/>
              <w:left w:val="nil"/>
              <w:bottom w:val="single" w:sz="4" w:space="0" w:color="auto"/>
              <w:right w:val="single" w:sz="4" w:space="0" w:color="auto"/>
            </w:tcBorders>
            <w:shd w:val="clear" w:color="auto" w:fill="auto"/>
            <w:noWrap/>
            <w:vAlign w:val="center"/>
            <w:hideMark/>
          </w:tcPr>
          <w:p w14:paraId="74928FC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$1,232 </w:t>
            </w:r>
          </w:p>
        </w:tc>
        <w:tc>
          <w:tcPr>
            <w:tcW w:w="590" w:type="pct"/>
            <w:tcBorders>
              <w:top w:val="nil"/>
              <w:left w:val="nil"/>
              <w:bottom w:val="single" w:sz="4" w:space="0" w:color="auto"/>
              <w:right w:val="single" w:sz="4" w:space="0" w:color="auto"/>
            </w:tcBorders>
            <w:shd w:val="clear" w:color="auto" w:fill="auto"/>
            <w:noWrap/>
            <w:vAlign w:val="center"/>
            <w:hideMark/>
          </w:tcPr>
          <w:p w14:paraId="35A3BF6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137.03</w:t>
            </w:r>
          </w:p>
        </w:tc>
        <w:tc>
          <w:tcPr>
            <w:tcW w:w="481" w:type="pct"/>
            <w:tcBorders>
              <w:top w:val="nil"/>
              <w:left w:val="nil"/>
              <w:bottom w:val="single" w:sz="4" w:space="0" w:color="auto"/>
              <w:right w:val="single" w:sz="4" w:space="0" w:color="auto"/>
            </w:tcBorders>
            <w:shd w:val="clear" w:color="auto" w:fill="auto"/>
            <w:noWrap/>
            <w:vAlign w:val="center"/>
            <w:hideMark/>
          </w:tcPr>
          <w:p w14:paraId="65F1DBA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7" w:type="pct"/>
            <w:tcBorders>
              <w:top w:val="nil"/>
              <w:left w:val="nil"/>
              <w:bottom w:val="single" w:sz="4" w:space="0" w:color="auto"/>
              <w:right w:val="single" w:sz="4" w:space="0" w:color="auto"/>
            </w:tcBorders>
            <w:shd w:val="clear" w:color="auto" w:fill="auto"/>
            <w:noWrap/>
            <w:vAlign w:val="center"/>
            <w:hideMark/>
          </w:tcPr>
          <w:p w14:paraId="0A8499B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$13,766 </w:t>
            </w:r>
          </w:p>
        </w:tc>
        <w:tc>
          <w:tcPr>
            <w:tcW w:w="235" w:type="pct"/>
            <w:tcBorders>
              <w:top w:val="nil"/>
              <w:left w:val="nil"/>
              <w:bottom w:val="single" w:sz="4" w:space="0" w:color="auto"/>
              <w:right w:val="single" w:sz="4" w:space="0" w:color="auto"/>
            </w:tcBorders>
            <w:shd w:val="clear" w:color="auto" w:fill="auto"/>
            <w:noWrap/>
            <w:vAlign w:val="center"/>
            <w:hideMark/>
          </w:tcPr>
          <w:p w14:paraId="1C08F71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27,689</w:t>
            </w:r>
          </w:p>
        </w:tc>
        <w:tc>
          <w:tcPr>
            <w:tcW w:w="490" w:type="pct"/>
            <w:tcBorders>
              <w:top w:val="nil"/>
              <w:left w:val="nil"/>
              <w:bottom w:val="single" w:sz="4" w:space="0" w:color="auto"/>
              <w:right w:val="single" w:sz="4" w:space="0" w:color="auto"/>
            </w:tcBorders>
            <w:shd w:val="clear" w:color="auto" w:fill="auto"/>
            <w:noWrap/>
            <w:vAlign w:val="center"/>
            <w:hideMark/>
          </w:tcPr>
          <w:p w14:paraId="1EFBF46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$1,232 </w:t>
            </w:r>
          </w:p>
        </w:tc>
        <w:tc>
          <w:tcPr>
            <w:tcW w:w="590" w:type="pct"/>
            <w:tcBorders>
              <w:top w:val="nil"/>
              <w:left w:val="nil"/>
              <w:bottom w:val="single" w:sz="4" w:space="0" w:color="auto"/>
              <w:right w:val="single" w:sz="4" w:space="0" w:color="auto"/>
            </w:tcBorders>
            <w:shd w:val="clear" w:color="auto" w:fill="auto"/>
            <w:noWrap/>
            <w:vAlign w:val="center"/>
            <w:hideMark/>
          </w:tcPr>
          <w:p w14:paraId="42DB5B4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136.95</w:t>
            </w:r>
          </w:p>
        </w:tc>
        <w:tc>
          <w:tcPr>
            <w:tcW w:w="481" w:type="pct"/>
            <w:tcBorders>
              <w:top w:val="nil"/>
              <w:left w:val="nil"/>
              <w:bottom w:val="single" w:sz="4" w:space="0" w:color="auto"/>
              <w:right w:val="single" w:sz="4" w:space="0" w:color="auto"/>
            </w:tcBorders>
            <w:shd w:val="clear" w:color="auto" w:fill="auto"/>
            <w:noWrap/>
            <w:vAlign w:val="center"/>
            <w:hideMark/>
          </w:tcPr>
          <w:p w14:paraId="744A4A9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611BCCA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$13,708 </w:t>
            </w:r>
          </w:p>
        </w:tc>
      </w:tr>
      <w:tr w:rsidR="00717D7D" w:rsidRPr="00C56EC9" w14:paraId="628C8866"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BB29CA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48</w:t>
            </w:r>
          </w:p>
        </w:tc>
        <w:tc>
          <w:tcPr>
            <w:tcW w:w="235" w:type="pct"/>
            <w:tcBorders>
              <w:top w:val="nil"/>
              <w:left w:val="nil"/>
              <w:bottom w:val="single" w:sz="4" w:space="0" w:color="auto"/>
              <w:right w:val="single" w:sz="4" w:space="0" w:color="auto"/>
            </w:tcBorders>
            <w:shd w:val="clear" w:color="auto" w:fill="auto"/>
            <w:noWrap/>
            <w:vAlign w:val="center"/>
            <w:hideMark/>
          </w:tcPr>
          <w:p w14:paraId="4E305F4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26,589</w:t>
            </w:r>
          </w:p>
        </w:tc>
        <w:tc>
          <w:tcPr>
            <w:tcW w:w="490" w:type="pct"/>
            <w:tcBorders>
              <w:top w:val="nil"/>
              <w:left w:val="nil"/>
              <w:bottom w:val="single" w:sz="4" w:space="0" w:color="auto"/>
              <w:right w:val="single" w:sz="4" w:space="0" w:color="auto"/>
            </w:tcBorders>
            <w:shd w:val="clear" w:color="auto" w:fill="auto"/>
            <w:noWrap/>
            <w:vAlign w:val="center"/>
            <w:hideMark/>
          </w:tcPr>
          <w:p w14:paraId="30C30E0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$1,248 </w:t>
            </w:r>
          </w:p>
        </w:tc>
        <w:tc>
          <w:tcPr>
            <w:tcW w:w="590" w:type="pct"/>
            <w:tcBorders>
              <w:top w:val="nil"/>
              <w:left w:val="nil"/>
              <w:bottom w:val="single" w:sz="4" w:space="0" w:color="auto"/>
              <w:right w:val="single" w:sz="4" w:space="0" w:color="auto"/>
            </w:tcBorders>
            <w:shd w:val="clear" w:color="auto" w:fill="auto"/>
            <w:noWrap/>
            <w:vAlign w:val="center"/>
            <w:hideMark/>
          </w:tcPr>
          <w:p w14:paraId="45FD7B4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143.85</w:t>
            </w:r>
          </w:p>
        </w:tc>
        <w:tc>
          <w:tcPr>
            <w:tcW w:w="481" w:type="pct"/>
            <w:tcBorders>
              <w:top w:val="nil"/>
              <w:left w:val="nil"/>
              <w:bottom w:val="single" w:sz="4" w:space="0" w:color="auto"/>
              <w:right w:val="single" w:sz="4" w:space="0" w:color="auto"/>
            </w:tcBorders>
            <w:shd w:val="clear" w:color="auto" w:fill="auto"/>
            <w:noWrap/>
            <w:vAlign w:val="center"/>
            <w:hideMark/>
          </w:tcPr>
          <w:p w14:paraId="286F4C1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7" w:type="pct"/>
            <w:tcBorders>
              <w:top w:val="nil"/>
              <w:left w:val="nil"/>
              <w:bottom w:val="single" w:sz="4" w:space="0" w:color="auto"/>
              <w:right w:val="single" w:sz="4" w:space="0" w:color="auto"/>
            </w:tcBorders>
            <w:shd w:val="clear" w:color="auto" w:fill="auto"/>
            <w:noWrap/>
            <w:vAlign w:val="center"/>
            <w:hideMark/>
          </w:tcPr>
          <w:p w14:paraId="50C75E3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$14,702 </w:t>
            </w:r>
          </w:p>
        </w:tc>
        <w:tc>
          <w:tcPr>
            <w:tcW w:w="235" w:type="pct"/>
            <w:tcBorders>
              <w:top w:val="nil"/>
              <w:left w:val="nil"/>
              <w:bottom w:val="single" w:sz="4" w:space="0" w:color="auto"/>
              <w:right w:val="single" w:sz="4" w:space="0" w:color="auto"/>
            </w:tcBorders>
            <w:shd w:val="clear" w:color="auto" w:fill="auto"/>
            <w:noWrap/>
            <w:vAlign w:val="center"/>
            <w:hideMark/>
          </w:tcPr>
          <w:p w14:paraId="0B75EC2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26,589</w:t>
            </w:r>
          </w:p>
        </w:tc>
        <w:tc>
          <w:tcPr>
            <w:tcW w:w="490" w:type="pct"/>
            <w:tcBorders>
              <w:top w:val="nil"/>
              <w:left w:val="nil"/>
              <w:bottom w:val="single" w:sz="4" w:space="0" w:color="auto"/>
              <w:right w:val="single" w:sz="4" w:space="0" w:color="auto"/>
            </w:tcBorders>
            <w:shd w:val="clear" w:color="auto" w:fill="auto"/>
            <w:noWrap/>
            <w:vAlign w:val="center"/>
            <w:hideMark/>
          </w:tcPr>
          <w:p w14:paraId="45F13FE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$1,248 </w:t>
            </w:r>
          </w:p>
        </w:tc>
        <w:tc>
          <w:tcPr>
            <w:tcW w:w="590" w:type="pct"/>
            <w:tcBorders>
              <w:top w:val="nil"/>
              <w:left w:val="nil"/>
              <w:bottom w:val="single" w:sz="4" w:space="0" w:color="auto"/>
              <w:right w:val="single" w:sz="4" w:space="0" w:color="auto"/>
            </w:tcBorders>
            <w:shd w:val="clear" w:color="auto" w:fill="auto"/>
            <w:noWrap/>
            <w:vAlign w:val="center"/>
            <w:hideMark/>
          </w:tcPr>
          <w:p w14:paraId="532E43E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143.77</w:t>
            </w:r>
          </w:p>
        </w:tc>
        <w:tc>
          <w:tcPr>
            <w:tcW w:w="481" w:type="pct"/>
            <w:tcBorders>
              <w:top w:val="nil"/>
              <w:left w:val="nil"/>
              <w:bottom w:val="single" w:sz="4" w:space="0" w:color="auto"/>
              <w:right w:val="single" w:sz="4" w:space="0" w:color="auto"/>
            </w:tcBorders>
            <w:shd w:val="clear" w:color="auto" w:fill="auto"/>
            <w:noWrap/>
            <w:vAlign w:val="center"/>
            <w:hideMark/>
          </w:tcPr>
          <w:p w14:paraId="30F103B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292744F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$14,656 </w:t>
            </w:r>
          </w:p>
        </w:tc>
      </w:tr>
      <w:tr w:rsidR="00717D7D" w:rsidRPr="00C56EC9" w14:paraId="7CF73B19"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59896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49</w:t>
            </w:r>
          </w:p>
        </w:tc>
        <w:tc>
          <w:tcPr>
            <w:tcW w:w="235" w:type="pct"/>
            <w:tcBorders>
              <w:top w:val="nil"/>
              <w:left w:val="nil"/>
              <w:bottom w:val="single" w:sz="4" w:space="0" w:color="auto"/>
              <w:right w:val="single" w:sz="4" w:space="0" w:color="auto"/>
            </w:tcBorders>
            <w:shd w:val="clear" w:color="auto" w:fill="auto"/>
            <w:noWrap/>
            <w:vAlign w:val="center"/>
            <w:hideMark/>
          </w:tcPr>
          <w:p w14:paraId="39F8C77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25,489</w:t>
            </w:r>
          </w:p>
        </w:tc>
        <w:tc>
          <w:tcPr>
            <w:tcW w:w="490" w:type="pct"/>
            <w:tcBorders>
              <w:top w:val="nil"/>
              <w:left w:val="nil"/>
              <w:bottom w:val="single" w:sz="4" w:space="0" w:color="auto"/>
              <w:right w:val="single" w:sz="4" w:space="0" w:color="auto"/>
            </w:tcBorders>
            <w:shd w:val="clear" w:color="auto" w:fill="auto"/>
            <w:noWrap/>
            <w:vAlign w:val="center"/>
            <w:hideMark/>
          </w:tcPr>
          <w:p w14:paraId="180865D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$1,264 </w:t>
            </w:r>
          </w:p>
        </w:tc>
        <w:tc>
          <w:tcPr>
            <w:tcW w:w="590" w:type="pct"/>
            <w:tcBorders>
              <w:top w:val="nil"/>
              <w:left w:val="nil"/>
              <w:bottom w:val="single" w:sz="4" w:space="0" w:color="auto"/>
              <w:right w:val="single" w:sz="4" w:space="0" w:color="auto"/>
            </w:tcBorders>
            <w:shd w:val="clear" w:color="auto" w:fill="auto"/>
            <w:noWrap/>
            <w:vAlign w:val="center"/>
            <w:hideMark/>
          </w:tcPr>
          <w:p w14:paraId="1538960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150.68</w:t>
            </w:r>
          </w:p>
        </w:tc>
        <w:tc>
          <w:tcPr>
            <w:tcW w:w="481" w:type="pct"/>
            <w:tcBorders>
              <w:top w:val="nil"/>
              <w:left w:val="nil"/>
              <w:bottom w:val="single" w:sz="4" w:space="0" w:color="auto"/>
              <w:right w:val="single" w:sz="4" w:space="0" w:color="auto"/>
            </w:tcBorders>
            <w:shd w:val="clear" w:color="auto" w:fill="auto"/>
            <w:noWrap/>
            <w:vAlign w:val="center"/>
            <w:hideMark/>
          </w:tcPr>
          <w:p w14:paraId="36E0034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7" w:type="pct"/>
            <w:tcBorders>
              <w:top w:val="nil"/>
              <w:left w:val="nil"/>
              <w:bottom w:val="single" w:sz="4" w:space="0" w:color="auto"/>
              <w:right w:val="single" w:sz="4" w:space="0" w:color="auto"/>
            </w:tcBorders>
            <w:shd w:val="clear" w:color="auto" w:fill="auto"/>
            <w:noWrap/>
            <w:vAlign w:val="center"/>
            <w:hideMark/>
          </w:tcPr>
          <w:p w14:paraId="4AEA7CE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$15,692 </w:t>
            </w:r>
          </w:p>
        </w:tc>
        <w:tc>
          <w:tcPr>
            <w:tcW w:w="235" w:type="pct"/>
            <w:tcBorders>
              <w:top w:val="nil"/>
              <w:left w:val="nil"/>
              <w:bottom w:val="single" w:sz="4" w:space="0" w:color="auto"/>
              <w:right w:val="single" w:sz="4" w:space="0" w:color="auto"/>
            </w:tcBorders>
            <w:shd w:val="clear" w:color="auto" w:fill="auto"/>
            <w:noWrap/>
            <w:vAlign w:val="center"/>
            <w:hideMark/>
          </w:tcPr>
          <w:p w14:paraId="20C5A58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25,489</w:t>
            </w:r>
          </w:p>
        </w:tc>
        <w:tc>
          <w:tcPr>
            <w:tcW w:w="490" w:type="pct"/>
            <w:tcBorders>
              <w:top w:val="nil"/>
              <w:left w:val="nil"/>
              <w:bottom w:val="single" w:sz="4" w:space="0" w:color="auto"/>
              <w:right w:val="single" w:sz="4" w:space="0" w:color="auto"/>
            </w:tcBorders>
            <w:shd w:val="clear" w:color="auto" w:fill="auto"/>
            <w:noWrap/>
            <w:vAlign w:val="center"/>
            <w:hideMark/>
          </w:tcPr>
          <w:p w14:paraId="596BBAB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$1,264 </w:t>
            </w:r>
          </w:p>
        </w:tc>
        <w:tc>
          <w:tcPr>
            <w:tcW w:w="590" w:type="pct"/>
            <w:tcBorders>
              <w:top w:val="nil"/>
              <w:left w:val="nil"/>
              <w:bottom w:val="single" w:sz="4" w:space="0" w:color="auto"/>
              <w:right w:val="single" w:sz="4" w:space="0" w:color="auto"/>
            </w:tcBorders>
            <w:shd w:val="clear" w:color="auto" w:fill="auto"/>
            <w:noWrap/>
            <w:vAlign w:val="center"/>
            <w:hideMark/>
          </w:tcPr>
          <w:p w14:paraId="14E7627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150.60</w:t>
            </w:r>
          </w:p>
        </w:tc>
        <w:tc>
          <w:tcPr>
            <w:tcW w:w="481" w:type="pct"/>
            <w:tcBorders>
              <w:top w:val="nil"/>
              <w:left w:val="nil"/>
              <w:bottom w:val="single" w:sz="4" w:space="0" w:color="auto"/>
              <w:right w:val="single" w:sz="4" w:space="0" w:color="auto"/>
            </w:tcBorders>
            <w:shd w:val="clear" w:color="auto" w:fill="auto"/>
            <w:noWrap/>
            <w:vAlign w:val="center"/>
            <w:hideMark/>
          </w:tcPr>
          <w:p w14:paraId="0BBA24F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7F29ADA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$15,640 </w:t>
            </w:r>
          </w:p>
        </w:tc>
      </w:tr>
      <w:tr w:rsidR="00717D7D" w:rsidRPr="00C56EC9" w14:paraId="53376D31"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3A33C1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50</w:t>
            </w:r>
          </w:p>
        </w:tc>
        <w:tc>
          <w:tcPr>
            <w:tcW w:w="235" w:type="pct"/>
            <w:tcBorders>
              <w:top w:val="nil"/>
              <w:left w:val="nil"/>
              <w:bottom w:val="single" w:sz="4" w:space="0" w:color="auto"/>
              <w:right w:val="single" w:sz="4" w:space="0" w:color="auto"/>
            </w:tcBorders>
            <w:shd w:val="clear" w:color="auto" w:fill="auto"/>
            <w:noWrap/>
            <w:vAlign w:val="center"/>
            <w:hideMark/>
          </w:tcPr>
          <w:p w14:paraId="1844607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24,389</w:t>
            </w:r>
          </w:p>
        </w:tc>
        <w:tc>
          <w:tcPr>
            <w:tcW w:w="490" w:type="pct"/>
            <w:tcBorders>
              <w:top w:val="nil"/>
              <w:left w:val="nil"/>
              <w:bottom w:val="single" w:sz="4" w:space="0" w:color="auto"/>
              <w:right w:val="single" w:sz="4" w:space="0" w:color="auto"/>
            </w:tcBorders>
            <w:shd w:val="clear" w:color="auto" w:fill="auto"/>
            <w:noWrap/>
            <w:vAlign w:val="center"/>
            <w:hideMark/>
          </w:tcPr>
          <w:p w14:paraId="1235C4F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$1,280 </w:t>
            </w:r>
          </w:p>
        </w:tc>
        <w:tc>
          <w:tcPr>
            <w:tcW w:w="590" w:type="pct"/>
            <w:tcBorders>
              <w:top w:val="nil"/>
              <w:left w:val="nil"/>
              <w:bottom w:val="single" w:sz="4" w:space="0" w:color="auto"/>
              <w:right w:val="single" w:sz="4" w:space="0" w:color="auto"/>
            </w:tcBorders>
            <w:shd w:val="clear" w:color="auto" w:fill="auto"/>
            <w:noWrap/>
            <w:vAlign w:val="center"/>
            <w:hideMark/>
          </w:tcPr>
          <w:p w14:paraId="33D13A3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157.51</w:t>
            </w:r>
          </w:p>
        </w:tc>
        <w:tc>
          <w:tcPr>
            <w:tcW w:w="481" w:type="pct"/>
            <w:tcBorders>
              <w:top w:val="nil"/>
              <w:left w:val="nil"/>
              <w:bottom w:val="single" w:sz="4" w:space="0" w:color="auto"/>
              <w:right w:val="single" w:sz="4" w:space="0" w:color="auto"/>
            </w:tcBorders>
            <w:shd w:val="clear" w:color="auto" w:fill="auto"/>
            <w:noWrap/>
            <w:vAlign w:val="center"/>
            <w:hideMark/>
          </w:tcPr>
          <w:p w14:paraId="7CB3936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7" w:type="pct"/>
            <w:tcBorders>
              <w:top w:val="nil"/>
              <w:left w:val="nil"/>
              <w:bottom w:val="single" w:sz="4" w:space="0" w:color="auto"/>
              <w:right w:val="single" w:sz="4" w:space="0" w:color="auto"/>
            </w:tcBorders>
            <w:shd w:val="clear" w:color="auto" w:fill="auto"/>
            <w:noWrap/>
            <w:vAlign w:val="center"/>
            <w:hideMark/>
          </w:tcPr>
          <w:p w14:paraId="102A58B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$16,703 </w:t>
            </w:r>
          </w:p>
        </w:tc>
        <w:tc>
          <w:tcPr>
            <w:tcW w:w="235" w:type="pct"/>
            <w:tcBorders>
              <w:top w:val="nil"/>
              <w:left w:val="nil"/>
              <w:bottom w:val="single" w:sz="4" w:space="0" w:color="auto"/>
              <w:right w:val="single" w:sz="4" w:space="0" w:color="auto"/>
            </w:tcBorders>
            <w:shd w:val="clear" w:color="auto" w:fill="auto"/>
            <w:noWrap/>
            <w:vAlign w:val="center"/>
            <w:hideMark/>
          </w:tcPr>
          <w:p w14:paraId="439B3CC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24,389</w:t>
            </w:r>
          </w:p>
        </w:tc>
        <w:tc>
          <w:tcPr>
            <w:tcW w:w="490" w:type="pct"/>
            <w:tcBorders>
              <w:top w:val="nil"/>
              <w:left w:val="nil"/>
              <w:bottom w:val="single" w:sz="4" w:space="0" w:color="auto"/>
              <w:right w:val="single" w:sz="4" w:space="0" w:color="auto"/>
            </w:tcBorders>
            <w:shd w:val="clear" w:color="auto" w:fill="auto"/>
            <w:noWrap/>
            <w:vAlign w:val="center"/>
            <w:hideMark/>
          </w:tcPr>
          <w:p w14:paraId="35776A4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$1,280 </w:t>
            </w:r>
          </w:p>
        </w:tc>
        <w:tc>
          <w:tcPr>
            <w:tcW w:w="590" w:type="pct"/>
            <w:tcBorders>
              <w:top w:val="nil"/>
              <w:left w:val="nil"/>
              <w:bottom w:val="single" w:sz="4" w:space="0" w:color="auto"/>
              <w:right w:val="single" w:sz="4" w:space="0" w:color="auto"/>
            </w:tcBorders>
            <w:shd w:val="clear" w:color="auto" w:fill="auto"/>
            <w:noWrap/>
            <w:vAlign w:val="center"/>
            <w:hideMark/>
          </w:tcPr>
          <w:p w14:paraId="4134B9F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157.45</w:t>
            </w:r>
          </w:p>
        </w:tc>
        <w:tc>
          <w:tcPr>
            <w:tcW w:w="481" w:type="pct"/>
            <w:tcBorders>
              <w:top w:val="nil"/>
              <w:left w:val="nil"/>
              <w:bottom w:val="single" w:sz="4" w:space="0" w:color="auto"/>
              <w:right w:val="single" w:sz="4" w:space="0" w:color="auto"/>
            </w:tcBorders>
            <w:shd w:val="clear" w:color="auto" w:fill="auto"/>
            <w:noWrap/>
            <w:vAlign w:val="center"/>
            <w:hideMark/>
          </w:tcPr>
          <w:p w14:paraId="1ECE73C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713D2EC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$16,689 </w:t>
            </w:r>
          </w:p>
        </w:tc>
      </w:tr>
      <w:tr w:rsidR="00717D7D" w:rsidRPr="00C56EC9" w14:paraId="3DF00E11"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064CAF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51</w:t>
            </w:r>
          </w:p>
        </w:tc>
        <w:tc>
          <w:tcPr>
            <w:tcW w:w="235" w:type="pct"/>
            <w:tcBorders>
              <w:top w:val="nil"/>
              <w:left w:val="nil"/>
              <w:bottom w:val="single" w:sz="4" w:space="0" w:color="auto"/>
              <w:right w:val="single" w:sz="4" w:space="0" w:color="auto"/>
            </w:tcBorders>
            <w:shd w:val="clear" w:color="auto" w:fill="auto"/>
            <w:noWrap/>
            <w:vAlign w:val="center"/>
            <w:hideMark/>
          </w:tcPr>
          <w:p w14:paraId="05CA46B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23,289</w:t>
            </w:r>
          </w:p>
        </w:tc>
        <w:tc>
          <w:tcPr>
            <w:tcW w:w="490" w:type="pct"/>
            <w:tcBorders>
              <w:top w:val="nil"/>
              <w:left w:val="nil"/>
              <w:bottom w:val="single" w:sz="4" w:space="0" w:color="auto"/>
              <w:right w:val="single" w:sz="4" w:space="0" w:color="auto"/>
            </w:tcBorders>
            <w:shd w:val="clear" w:color="auto" w:fill="auto"/>
            <w:noWrap/>
            <w:vAlign w:val="center"/>
            <w:hideMark/>
          </w:tcPr>
          <w:p w14:paraId="3C08633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$1,297 </w:t>
            </w:r>
          </w:p>
        </w:tc>
        <w:tc>
          <w:tcPr>
            <w:tcW w:w="590" w:type="pct"/>
            <w:tcBorders>
              <w:top w:val="nil"/>
              <w:left w:val="nil"/>
              <w:bottom w:val="single" w:sz="4" w:space="0" w:color="auto"/>
              <w:right w:val="single" w:sz="4" w:space="0" w:color="auto"/>
            </w:tcBorders>
            <w:shd w:val="clear" w:color="auto" w:fill="auto"/>
            <w:noWrap/>
            <w:vAlign w:val="center"/>
            <w:hideMark/>
          </w:tcPr>
          <w:p w14:paraId="28D2919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164.66</w:t>
            </w:r>
          </w:p>
        </w:tc>
        <w:tc>
          <w:tcPr>
            <w:tcW w:w="481" w:type="pct"/>
            <w:tcBorders>
              <w:top w:val="nil"/>
              <w:left w:val="nil"/>
              <w:bottom w:val="single" w:sz="4" w:space="0" w:color="auto"/>
              <w:right w:val="single" w:sz="4" w:space="0" w:color="auto"/>
            </w:tcBorders>
            <w:shd w:val="clear" w:color="auto" w:fill="auto"/>
            <w:noWrap/>
            <w:vAlign w:val="center"/>
            <w:hideMark/>
          </w:tcPr>
          <w:p w14:paraId="3129181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108D0A7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$18,446 </w:t>
            </w:r>
          </w:p>
        </w:tc>
        <w:tc>
          <w:tcPr>
            <w:tcW w:w="235" w:type="pct"/>
            <w:tcBorders>
              <w:top w:val="nil"/>
              <w:left w:val="nil"/>
              <w:bottom w:val="single" w:sz="4" w:space="0" w:color="auto"/>
              <w:right w:val="single" w:sz="4" w:space="0" w:color="auto"/>
            </w:tcBorders>
            <w:shd w:val="clear" w:color="auto" w:fill="auto"/>
            <w:noWrap/>
            <w:vAlign w:val="center"/>
            <w:hideMark/>
          </w:tcPr>
          <w:p w14:paraId="0DD712E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23,289</w:t>
            </w:r>
          </w:p>
        </w:tc>
        <w:tc>
          <w:tcPr>
            <w:tcW w:w="490" w:type="pct"/>
            <w:tcBorders>
              <w:top w:val="nil"/>
              <w:left w:val="nil"/>
              <w:bottom w:val="single" w:sz="4" w:space="0" w:color="auto"/>
              <w:right w:val="single" w:sz="4" w:space="0" w:color="auto"/>
            </w:tcBorders>
            <w:shd w:val="clear" w:color="auto" w:fill="auto"/>
            <w:noWrap/>
            <w:vAlign w:val="center"/>
            <w:hideMark/>
          </w:tcPr>
          <w:p w14:paraId="0EFC1C8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$1,297 </w:t>
            </w:r>
          </w:p>
        </w:tc>
        <w:tc>
          <w:tcPr>
            <w:tcW w:w="590" w:type="pct"/>
            <w:tcBorders>
              <w:top w:val="nil"/>
              <w:left w:val="nil"/>
              <w:bottom w:val="single" w:sz="4" w:space="0" w:color="auto"/>
              <w:right w:val="single" w:sz="4" w:space="0" w:color="auto"/>
            </w:tcBorders>
            <w:shd w:val="clear" w:color="auto" w:fill="auto"/>
            <w:noWrap/>
            <w:vAlign w:val="center"/>
            <w:hideMark/>
          </w:tcPr>
          <w:p w14:paraId="78E02CC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164.64</w:t>
            </w:r>
          </w:p>
        </w:tc>
        <w:tc>
          <w:tcPr>
            <w:tcW w:w="481" w:type="pct"/>
            <w:tcBorders>
              <w:top w:val="nil"/>
              <w:left w:val="nil"/>
              <w:bottom w:val="single" w:sz="4" w:space="0" w:color="auto"/>
              <w:right w:val="single" w:sz="4" w:space="0" w:color="auto"/>
            </w:tcBorders>
            <w:shd w:val="clear" w:color="auto" w:fill="auto"/>
            <w:noWrap/>
            <w:vAlign w:val="center"/>
            <w:hideMark/>
          </w:tcPr>
          <w:p w14:paraId="4B21D8A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29</w:t>
            </w:r>
          </w:p>
        </w:tc>
        <w:tc>
          <w:tcPr>
            <w:tcW w:w="479" w:type="pct"/>
            <w:tcBorders>
              <w:top w:val="nil"/>
              <w:left w:val="nil"/>
              <w:bottom w:val="single" w:sz="4" w:space="0" w:color="auto"/>
              <w:right w:val="single" w:sz="4" w:space="0" w:color="auto"/>
            </w:tcBorders>
            <w:shd w:val="clear" w:color="auto" w:fill="auto"/>
            <w:noWrap/>
            <w:vAlign w:val="center"/>
            <w:hideMark/>
          </w:tcPr>
          <w:p w14:paraId="6C81784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$17,787 </w:t>
            </w:r>
          </w:p>
        </w:tc>
      </w:tr>
      <w:tr w:rsidR="00717D7D" w:rsidRPr="00C56EC9" w14:paraId="33B395D3"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D5866B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52</w:t>
            </w:r>
          </w:p>
        </w:tc>
        <w:tc>
          <w:tcPr>
            <w:tcW w:w="235" w:type="pct"/>
            <w:tcBorders>
              <w:top w:val="nil"/>
              <w:left w:val="nil"/>
              <w:bottom w:val="single" w:sz="4" w:space="0" w:color="auto"/>
              <w:right w:val="single" w:sz="4" w:space="0" w:color="auto"/>
            </w:tcBorders>
            <w:shd w:val="clear" w:color="auto" w:fill="auto"/>
            <w:noWrap/>
            <w:vAlign w:val="center"/>
            <w:hideMark/>
          </w:tcPr>
          <w:p w14:paraId="036A1BD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20,539</w:t>
            </w:r>
          </w:p>
        </w:tc>
        <w:tc>
          <w:tcPr>
            <w:tcW w:w="490" w:type="pct"/>
            <w:tcBorders>
              <w:top w:val="nil"/>
              <w:left w:val="nil"/>
              <w:bottom w:val="single" w:sz="4" w:space="0" w:color="auto"/>
              <w:right w:val="single" w:sz="4" w:space="0" w:color="auto"/>
            </w:tcBorders>
            <w:shd w:val="clear" w:color="auto" w:fill="auto"/>
            <w:noWrap/>
            <w:vAlign w:val="center"/>
            <w:hideMark/>
          </w:tcPr>
          <w:p w14:paraId="18BB671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$1,314 </w:t>
            </w:r>
          </w:p>
        </w:tc>
        <w:tc>
          <w:tcPr>
            <w:tcW w:w="590" w:type="pct"/>
            <w:tcBorders>
              <w:top w:val="nil"/>
              <w:left w:val="nil"/>
              <w:bottom w:val="single" w:sz="4" w:space="0" w:color="auto"/>
              <w:right w:val="single" w:sz="4" w:space="0" w:color="auto"/>
            </w:tcBorders>
            <w:shd w:val="clear" w:color="auto" w:fill="auto"/>
            <w:noWrap/>
            <w:vAlign w:val="center"/>
            <w:hideMark/>
          </w:tcPr>
          <w:p w14:paraId="686DCE1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172.53</w:t>
            </w:r>
          </w:p>
        </w:tc>
        <w:tc>
          <w:tcPr>
            <w:tcW w:w="481" w:type="pct"/>
            <w:tcBorders>
              <w:top w:val="nil"/>
              <w:left w:val="nil"/>
              <w:bottom w:val="single" w:sz="4" w:space="0" w:color="auto"/>
              <w:right w:val="single" w:sz="4" w:space="0" w:color="auto"/>
            </w:tcBorders>
            <w:shd w:val="clear" w:color="auto" w:fill="auto"/>
            <w:noWrap/>
            <w:vAlign w:val="center"/>
            <w:hideMark/>
          </w:tcPr>
          <w:p w14:paraId="57883D2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209F7B4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$19,658 </w:t>
            </w:r>
          </w:p>
        </w:tc>
        <w:tc>
          <w:tcPr>
            <w:tcW w:w="235" w:type="pct"/>
            <w:tcBorders>
              <w:top w:val="nil"/>
              <w:left w:val="nil"/>
              <w:bottom w:val="single" w:sz="4" w:space="0" w:color="auto"/>
              <w:right w:val="single" w:sz="4" w:space="0" w:color="auto"/>
            </w:tcBorders>
            <w:shd w:val="clear" w:color="auto" w:fill="auto"/>
            <w:noWrap/>
            <w:vAlign w:val="center"/>
            <w:hideMark/>
          </w:tcPr>
          <w:p w14:paraId="214938C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20,539</w:t>
            </w:r>
          </w:p>
        </w:tc>
        <w:tc>
          <w:tcPr>
            <w:tcW w:w="490" w:type="pct"/>
            <w:tcBorders>
              <w:top w:val="nil"/>
              <w:left w:val="nil"/>
              <w:bottom w:val="single" w:sz="4" w:space="0" w:color="auto"/>
              <w:right w:val="single" w:sz="4" w:space="0" w:color="auto"/>
            </w:tcBorders>
            <w:shd w:val="clear" w:color="auto" w:fill="auto"/>
            <w:noWrap/>
            <w:vAlign w:val="center"/>
            <w:hideMark/>
          </w:tcPr>
          <w:p w14:paraId="1113BF9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$1,314 </w:t>
            </w:r>
          </w:p>
        </w:tc>
        <w:tc>
          <w:tcPr>
            <w:tcW w:w="590" w:type="pct"/>
            <w:tcBorders>
              <w:top w:val="nil"/>
              <w:left w:val="nil"/>
              <w:bottom w:val="single" w:sz="4" w:space="0" w:color="auto"/>
              <w:right w:val="single" w:sz="4" w:space="0" w:color="auto"/>
            </w:tcBorders>
            <w:shd w:val="clear" w:color="auto" w:fill="auto"/>
            <w:noWrap/>
            <w:vAlign w:val="center"/>
            <w:hideMark/>
          </w:tcPr>
          <w:p w14:paraId="3DA9345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172.54</w:t>
            </w:r>
          </w:p>
        </w:tc>
        <w:tc>
          <w:tcPr>
            <w:tcW w:w="481" w:type="pct"/>
            <w:tcBorders>
              <w:top w:val="nil"/>
              <w:left w:val="nil"/>
              <w:bottom w:val="single" w:sz="4" w:space="0" w:color="auto"/>
              <w:right w:val="single" w:sz="4" w:space="0" w:color="auto"/>
            </w:tcBorders>
            <w:shd w:val="clear" w:color="auto" w:fill="auto"/>
            <w:noWrap/>
            <w:vAlign w:val="center"/>
            <w:hideMark/>
          </w:tcPr>
          <w:p w14:paraId="1F4A6B9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9" w:type="pct"/>
            <w:tcBorders>
              <w:top w:val="nil"/>
              <w:left w:val="nil"/>
              <w:bottom w:val="single" w:sz="4" w:space="0" w:color="auto"/>
              <w:right w:val="single" w:sz="4" w:space="0" w:color="auto"/>
            </w:tcBorders>
            <w:shd w:val="clear" w:color="auto" w:fill="auto"/>
            <w:noWrap/>
            <w:vAlign w:val="center"/>
            <w:hideMark/>
          </w:tcPr>
          <w:p w14:paraId="050F36B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$19,733 </w:t>
            </w:r>
          </w:p>
        </w:tc>
      </w:tr>
      <w:tr w:rsidR="00717D7D" w:rsidRPr="00C56EC9" w14:paraId="3DA65054"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B879D1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53</w:t>
            </w:r>
          </w:p>
        </w:tc>
        <w:tc>
          <w:tcPr>
            <w:tcW w:w="235" w:type="pct"/>
            <w:tcBorders>
              <w:top w:val="nil"/>
              <w:left w:val="nil"/>
              <w:bottom w:val="single" w:sz="4" w:space="0" w:color="auto"/>
              <w:right w:val="single" w:sz="4" w:space="0" w:color="auto"/>
            </w:tcBorders>
            <w:shd w:val="clear" w:color="auto" w:fill="auto"/>
            <w:noWrap/>
            <w:vAlign w:val="center"/>
            <w:hideMark/>
          </w:tcPr>
          <w:p w14:paraId="6CA2423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17,789</w:t>
            </w:r>
          </w:p>
        </w:tc>
        <w:tc>
          <w:tcPr>
            <w:tcW w:w="490" w:type="pct"/>
            <w:tcBorders>
              <w:top w:val="nil"/>
              <w:left w:val="nil"/>
              <w:bottom w:val="single" w:sz="4" w:space="0" w:color="auto"/>
              <w:right w:val="single" w:sz="4" w:space="0" w:color="auto"/>
            </w:tcBorders>
            <w:shd w:val="clear" w:color="auto" w:fill="auto"/>
            <w:noWrap/>
            <w:vAlign w:val="center"/>
            <w:hideMark/>
          </w:tcPr>
          <w:p w14:paraId="27D3F18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$1,331 </w:t>
            </w:r>
          </w:p>
        </w:tc>
        <w:tc>
          <w:tcPr>
            <w:tcW w:w="590" w:type="pct"/>
            <w:tcBorders>
              <w:top w:val="nil"/>
              <w:left w:val="nil"/>
              <w:bottom w:val="single" w:sz="4" w:space="0" w:color="auto"/>
              <w:right w:val="single" w:sz="4" w:space="0" w:color="auto"/>
            </w:tcBorders>
            <w:shd w:val="clear" w:color="auto" w:fill="auto"/>
            <w:noWrap/>
            <w:vAlign w:val="center"/>
            <w:hideMark/>
          </w:tcPr>
          <w:p w14:paraId="08E6B4D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182.86</w:t>
            </w:r>
          </w:p>
        </w:tc>
        <w:tc>
          <w:tcPr>
            <w:tcW w:w="481" w:type="pct"/>
            <w:tcBorders>
              <w:top w:val="nil"/>
              <w:left w:val="nil"/>
              <w:bottom w:val="single" w:sz="4" w:space="0" w:color="auto"/>
              <w:right w:val="single" w:sz="4" w:space="0" w:color="auto"/>
            </w:tcBorders>
            <w:shd w:val="clear" w:color="auto" w:fill="auto"/>
            <w:noWrap/>
            <w:vAlign w:val="center"/>
            <w:hideMark/>
          </w:tcPr>
          <w:p w14:paraId="15B5922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71B48C0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$21,165 </w:t>
            </w:r>
          </w:p>
        </w:tc>
        <w:tc>
          <w:tcPr>
            <w:tcW w:w="235" w:type="pct"/>
            <w:tcBorders>
              <w:top w:val="nil"/>
              <w:left w:val="nil"/>
              <w:bottom w:val="single" w:sz="4" w:space="0" w:color="auto"/>
              <w:right w:val="single" w:sz="4" w:space="0" w:color="auto"/>
            </w:tcBorders>
            <w:shd w:val="clear" w:color="auto" w:fill="auto"/>
            <w:noWrap/>
            <w:vAlign w:val="center"/>
            <w:hideMark/>
          </w:tcPr>
          <w:p w14:paraId="366DBD2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17,789</w:t>
            </w:r>
          </w:p>
        </w:tc>
        <w:tc>
          <w:tcPr>
            <w:tcW w:w="490" w:type="pct"/>
            <w:tcBorders>
              <w:top w:val="nil"/>
              <w:left w:val="nil"/>
              <w:bottom w:val="single" w:sz="4" w:space="0" w:color="auto"/>
              <w:right w:val="single" w:sz="4" w:space="0" w:color="auto"/>
            </w:tcBorders>
            <w:shd w:val="clear" w:color="auto" w:fill="auto"/>
            <w:noWrap/>
            <w:vAlign w:val="center"/>
            <w:hideMark/>
          </w:tcPr>
          <w:p w14:paraId="2AFEEA9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$1,331 </w:t>
            </w:r>
          </w:p>
        </w:tc>
        <w:tc>
          <w:tcPr>
            <w:tcW w:w="590" w:type="pct"/>
            <w:tcBorders>
              <w:top w:val="nil"/>
              <w:left w:val="nil"/>
              <w:bottom w:val="single" w:sz="4" w:space="0" w:color="auto"/>
              <w:right w:val="single" w:sz="4" w:space="0" w:color="auto"/>
            </w:tcBorders>
            <w:shd w:val="clear" w:color="auto" w:fill="auto"/>
            <w:noWrap/>
            <w:vAlign w:val="center"/>
            <w:hideMark/>
          </w:tcPr>
          <w:p w14:paraId="1079B59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182.89</w:t>
            </w:r>
          </w:p>
        </w:tc>
        <w:tc>
          <w:tcPr>
            <w:tcW w:w="481" w:type="pct"/>
            <w:tcBorders>
              <w:top w:val="nil"/>
              <w:left w:val="nil"/>
              <w:bottom w:val="single" w:sz="4" w:space="0" w:color="auto"/>
              <w:right w:val="single" w:sz="4" w:space="0" w:color="auto"/>
            </w:tcBorders>
            <w:shd w:val="clear" w:color="auto" w:fill="auto"/>
            <w:noWrap/>
            <w:vAlign w:val="center"/>
            <w:hideMark/>
          </w:tcPr>
          <w:p w14:paraId="283901F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2E0CD72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$22,093 </w:t>
            </w:r>
          </w:p>
        </w:tc>
      </w:tr>
      <w:tr w:rsidR="00717D7D" w:rsidRPr="00C56EC9" w14:paraId="7EB8963B"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646E9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54</w:t>
            </w:r>
          </w:p>
        </w:tc>
        <w:tc>
          <w:tcPr>
            <w:tcW w:w="235" w:type="pct"/>
            <w:tcBorders>
              <w:top w:val="nil"/>
              <w:left w:val="nil"/>
              <w:bottom w:val="single" w:sz="4" w:space="0" w:color="auto"/>
              <w:right w:val="single" w:sz="4" w:space="0" w:color="auto"/>
            </w:tcBorders>
            <w:shd w:val="clear" w:color="auto" w:fill="auto"/>
            <w:noWrap/>
            <w:vAlign w:val="center"/>
            <w:hideMark/>
          </w:tcPr>
          <w:p w14:paraId="17F3B36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15,039</w:t>
            </w:r>
          </w:p>
        </w:tc>
        <w:tc>
          <w:tcPr>
            <w:tcW w:w="490" w:type="pct"/>
            <w:tcBorders>
              <w:top w:val="nil"/>
              <w:left w:val="nil"/>
              <w:bottom w:val="single" w:sz="4" w:space="0" w:color="auto"/>
              <w:right w:val="single" w:sz="4" w:space="0" w:color="auto"/>
            </w:tcBorders>
            <w:shd w:val="clear" w:color="auto" w:fill="auto"/>
            <w:noWrap/>
            <w:vAlign w:val="center"/>
            <w:hideMark/>
          </w:tcPr>
          <w:p w14:paraId="7B357B3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$1,348 </w:t>
            </w:r>
          </w:p>
        </w:tc>
        <w:tc>
          <w:tcPr>
            <w:tcW w:w="590" w:type="pct"/>
            <w:tcBorders>
              <w:top w:val="nil"/>
              <w:left w:val="nil"/>
              <w:bottom w:val="single" w:sz="4" w:space="0" w:color="auto"/>
              <w:right w:val="single" w:sz="4" w:space="0" w:color="auto"/>
            </w:tcBorders>
            <w:shd w:val="clear" w:color="auto" w:fill="auto"/>
            <w:noWrap/>
            <w:vAlign w:val="center"/>
            <w:hideMark/>
          </w:tcPr>
          <w:p w14:paraId="4DC5955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193.25</w:t>
            </w:r>
          </w:p>
        </w:tc>
        <w:tc>
          <w:tcPr>
            <w:tcW w:w="481" w:type="pct"/>
            <w:tcBorders>
              <w:top w:val="nil"/>
              <w:left w:val="nil"/>
              <w:bottom w:val="single" w:sz="4" w:space="0" w:color="auto"/>
              <w:right w:val="single" w:sz="4" w:space="0" w:color="auto"/>
            </w:tcBorders>
            <w:shd w:val="clear" w:color="auto" w:fill="auto"/>
            <w:noWrap/>
            <w:vAlign w:val="center"/>
            <w:hideMark/>
          </w:tcPr>
          <w:p w14:paraId="2FFE539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4ADA8C4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$23,607 </w:t>
            </w:r>
          </w:p>
        </w:tc>
        <w:tc>
          <w:tcPr>
            <w:tcW w:w="235" w:type="pct"/>
            <w:tcBorders>
              <w:top w:val="nil"/>
              <w:left w:val="nil"/>
              <w:bottom w:val="single" w:sz="4" w:space="0" w:color="auto"/>
              <w:right w:val="single" w:sz="4" w:space="0" w:color="auto"/>
            </w:tcBorders>
            <w:shd w:val="clear" w:color="auto" w:fill="auto"/>
            <w:noWrap/>
            <w:vAlign w:val="center"/>
            <w:hideMark/>
          </w:tcPr>
          <w:p w14:paraId="3D45066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15,039</w:t>
            </w:r>
          </w:p>
        </w:tc>
        <w:tc>
          <w:tcPr>
            <w:tcW w:w="490" w:type="pct"/>
            <w:tcBorders>
              <w:top w:val="nil"/>
              <w:left w:val="nil"/>
              <w:bottom w:val="single" w:sz="4" w:space="0" w:color="auto"/>
              <w:right w:val="single" w:sz="4" w:space="0" w:color="auto"/>
            </w:tcBorders>
            <w:shd w:val="clear" w:color="auto" w:fill="auto"/>
            <w:noWrap/>
            <w:vAlign w:val="center"/>
            <w:hideMark/>
          </w:tcPr>
          <w:p w14:paraId="1C14034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$1,348 </w:t>
            </w:r>
          </w:p>
        </w:tc>
        <w:tc>
          <w:tcPr>
            <w:tcW w:w="590" w:type="pct"/>
            <w:tcBorders>
              <w:top w:val="nil"/>
              <w:left w:val="nil"/>
              <w:bottom w:val="single" w:sz="4" w:space="0" w:color="auto"/>
              <w:right w:val="single" w:sz="4" w:space="0" w:color="auto"/>
            </w:tcBorders>
            <w:shd w:val="clear" w:color="auto" w:fill="auto"/>
            <w:noWrap/>
            <w:vAlign w:val="center"/>
            <w:hideMark/>
          </w:tcPr>
          <w:p w14:paraId="46CF5EF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193.30</w:t>
            </w:r>
          </w:p>
        </w:tc>
        <w:tc>
          <w:tcPr>
            <w:tcW w:w="481" w:type="pct"/>
            <w:tcBorders>
              <w:top w:val="nil"/>
              <w:left w:val="nil"/>
              <w:bottom w:val="single" w:sz="4" w:space="0" w:color="auto"/>
              <w:right w:val="single" w:sz="4" w:space="0" w:color="auto"/>
            </w:tcBorders>
            <w:shd w:val="clear" w:color="auto" w:fill="auto"/>
            <w:noWrap/>
            <w:vAlign w:val="center"/>
            <w:hideMark/>
          </w:tcPr>
          <w:p w14:paraId="1C79FF5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0F45AAD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$24,654 </w:t>
            </w:r>
          </w:p>
        </w:tc>
      </w:tr>
      <w:tr w:rsidR="00717D7D" w:rsidRPr="00C56EC9" w14:paraId="3D29E262"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84D3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55</w:t>
            </w:r>
          </w:p>
        </w:tc>
        <w:tc>
          <w:tcPr>
            <w:tcW w:w="235" w:type="pct"/>
            <w:tcBorders>
              <w:top w:val="nil"/>
              <w:left w:val="nil"/>
              <w:bottom w:val="single" w:sz="4" w:space="0" w:color="auto"/>
              <w:right w:val="single" w:sz="4" w:space="0" w:color="auto"/>
            </w:tcBorders>
            <w:shd w:val="clear" w:color="auto" w:fill="auto"/>
            <w:noWrap/>
            <w:vAlign w:val="center"/>
            <w:hideMark/>
          </w:tcPr>
          <w:p w14:paraId="5E682E7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12,289</w:t>
            </w:r>
          </w:p>
        </w:tc>
        <w:tc>
          <w:tcPr>
            <w:tcW w:w="490" w:type="pct"/>
            <w:tcBorders>
              <w:top w:val="nil"/>
              <w:left w:val="nil"/>
              <w:bottom w:val="single" w:sz="4" w:space="0" w:color="auto"/>
              <w:right w:val="single" w:sz="4" w:space="0" w:color="auto"/>
            </w:tcBorders>
            <w:shd w:val="clear" w:color="auto" w:fill="auto"/>
            <w:noWrap/>
            <w:vAlign w:val="center"/>
            <w:hideMark/>
          </w:tcPr>
          <w:p w14:paraId="5DCAACF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$1,366 </w:t>
            </w:r>
          </w:p>
        </w:tc>
        <w:tc>
          <w:tcPr>
            <w:tcW w:w="590" w:type="pct"/>
            <w:tcBorders>
              <w:top w:val="nil"/>
              <w:left w:val="nil"/>
              <w:bottom w:val="single" w:sz="4" w:space="0" w:color="auto"/>
              <w:right w:val="single" w:sz="4" w:space="0" w:color="auto"/>
            </w:tcBorders>
            <w:shd w:val="clear" w:color="auto" w:fill="auto"/>
            <w:noWrap/>
            <w:vAlign w:val="center"/>
            <w:hideMark/>
          </w:tcPr>
          <w:p w14:paraId="435A92F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198.21</w:t>
            </w:r>
          </w:p>
        </w:tc>
        <w:tc>
          <w:tcPr>
            <w:tcW w:w="481" w:type="pct"/>
            <w:tcBorders>
              <w:top w:val="nil"/>
              <w:left w:val="nil"/>
              <w:bottom w:val="single" w:sz="4" w:space="0" w:color="auto"/>
              <w:right w:val="single" w:sz="4" w:space="0" w:color="auto"/>
            </w:tcBorders>
            <w:shd w:val="clear" w:color="auto" w:fill="auto"/>
            <w:noWrap/>
            <w:vAlign w:val="center"/>
            <w:hideMark/>
          </w:tcPr>
          <w:p w14:paraId="04C4E4A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108482C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$24,758 </w:t>
            </w:r>
          </w:p>
        </w:tc>
        <w:tc>
          <w:tcPr>
            <w:tcW w:w="235" w:type="pct"/>
            <w:tcBorders>
              <w:top w:val="nil"/>
              <w:left w:val="nil"/>
              <w:bottom w:val="single" w:sz="4" w:space="0" w:color="auto"/>
              <w:right w:val="single" w:sz="4" w:space="0" w:color="auto"/>
            </w:tcBorders>
            <w:shd w:val="clear" w:color="auto" w:fill="auto"/>
            <w:noWrap/>
            <w:vAlign w:val="center"/>
            <w:hideMark/>
          </w:tcPr>
          <w:p w14:paraId="469906C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12,289</w:t>
            </w:r>
          </w:p>
        </w:tc>
        <w:tc>
          <w:tcPr>
            <w:tcW w:w="490" w:type="pct"/>
            <w:tcBorders>
              <w:top w:val="nil"/>
              <w:left w:val="nil"/>
              <w:bottom w:val="single" w:sz="4" w:space="0" w:color="auto"/>
              <w:right w:val="single" w:sz="4" w:space="0" w:color="auto"/>
            </w:tcBorders>
            <w:shd w:val="clear" w:color="auto" w:fill="auto"/>
            <w:noWrap/>
            <w:vAlign w:val="center"/>
            <w:hideMark/>
          </w:tcPr>
          <w:p w14:paraId="77A5998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$1,366 </w:t>
            </w:r>
          </w:p>
        </w:tc>
        <w:tc>
          <w:tcPr>
            <w:tcW w:w="590" w:type="pct"/>
            <w:tcBorders>
              <w:top w:val="nil"/>
              <w:left w:val="nil"/>
              <w:bottom w:val="single" w:sz="4" w:space="0" w:color="auto"/>
              <w:right w:val="single" w:sz="4" w:space="0" w:color="auto"/>
            </w:tcBorders>
            <w:shd w:val="clear" w:color="auto" w:fill="auto"/>
            <w:noWrap/>
            <w:vAlign w:val="center"/>
            <w:hideMark/>
          </w:tcPr>
          <w:p w14:paraId="27004B8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198.26</w:t>
            </w:r>
          </w:p>
        </w:tc>
        <w:tc>
          <w:tcPr>
            <w:tcW w:w="481" w:type="pct"/>
            <w:tcBorders>
              <w:top w:val="nil"/>
              <w:left w:val="nil"/>
              <w:bottom w:val="single" w:sz="4" w:space="0" w:color="auto"/>
              <w:right w:val="single" w:sz="4" w:space="0" w:color="auto"/>
            </w:tcBorders>
            <w:shd w:val="clear" w:color="auto" w:fill="auto"/>
            <w:noWrap/>
            <w:vAlign w:val="center"/>
            <w:hideMark/>
          </w:tcPr>
          <w:p w14:paraId="515D5DD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05E4FF7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$25,847 </w:t>
            </w:r>
          </w:p>
        </w:tc>
      </w:tr>
      <w:tr w:rsidR="00717D7D" w:rsidRPr="00C56EC9" w14:paraId="0ED839F5" w14:textId="77777777" w:rsidTr="00717D7D">
        <w:trPr>
          <w:trHeight w:val="293"/>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DE952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56</w:t>
            </w:r>
          </w:p>
        </w:tc>
        <w:tc>
          <w:tcPr>
            <w:tcW w:w="235" w:type="pct"/>
            <w:tcBorders>
              <w:top w:val="nil"/>
              <w:left w:val="nil"/>
              <w:bottom w:val="single" w:sz="4" w:space="0" w:color="auto"/>
              <w:right w:val="single" w:sz="4" w:space="0" w:color="auto"/>
            </w:tcBorders>
            <w:shd w:val="clear" w:color="auto" w:fill="auto"/>
            <w:noWrap/>
            <w:vAlign w:val="center"/>
            <w:hideMark/>
          </w:tcPr>
          <w:p w14:paraId="180BF06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11,675</w:t>
            </w:r>
          </w:p>
        </w:tc>
        <w:tc>
          <w:tcPr>
            <w:tcW w:w="490" w:type="pct"/>
            <w:tcBorders>
              <w:top w:val="nil"/>
              <w:left w:val="nil"/>
              <w:bottom w:val="single" w:sz="4" w:space="0" w:color="auto"/>
              <w:right w:val="single" w:sz="4" w:space="0" w:color="auto"/>
            </w:tcBorders>
            <w:shd w:val="clear" w:color="auto" w:fill="auto"/>
            <w:noWrap/>
            <w:vAlign w:val="center"/>
            <w:hideMark/>
          </w:tcPr>
          <w:p w14:paraId="1D134C7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$1,384 </w:t>
            </w:r>
          </w:p>
        </w:tc>
        <w:tc>
          <w:tcPr>
            <w:tcW w:w="590" w:type="pct"/>
            <w:tcBorders>
              <w:top w:val="nil"/>
              <w:left w:val="nil"/>
              <w:bottom w:val="single" w:sz="4" w:space="0" w:color="auto"/>
              <w:right w:val="single" w:sz="4" w:space="0" w:color="auto"/>
            </w:tcBorders>
            <w:shd w:val="clear" w:color="auto" w:fill="auto"/>
            <w:noWrap/>
            <w:vAlign w:val="center"/>
            <w:hideMark/>
          </w:tcPr>
          <w:p w14:paraId="0869DE1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202.95</w:t>
            </w:r>
          </w:p>
        </w:tc>
        <w:tc>
          <w:tcPr>
            <w:tcW w:w="481" w:type="pct"/>
            <w:tcBorders>
              <w:top w:val="nil"/>
              <w:left w:val="nil"/>
              <w:bottom w:val="single" w:sz="4" w:space="0" w:color="auto"/>
              <w:right w:val="single" w:sz="4" w:space="0" w:color="auto"/>
            </w:tcBorders>
            <w:shd w:val="clear" w:color="auto" w:fill="auto"/>
            <w:noWrap/>
            <w:vAlign w:val="center"/>
            <w:hideMark/>
          </w:tcPr>
          <w:p w14:paraId="6079857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3102557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$25,915 </w:t>
            </w:r>
          </w:p>
        </w:tc>
        <w:tc>
          <w:tcPr>
            <w:tcW w:w="235" w:type="pct"/>
            <w:tcBorders>
              <w:top w:val="nil"/>
              <w:left w:val="nil"/>
              <w:bottom w:val="single" w:sz="4" w:space="0" w:color="auto"/>
              <w:right w:val="single" w:sz="4" w:space="0" w:color="auto"/>
            </w:tcBorders>
            <w:shd w:val="clear" w:color="auto" w:fill="auto"/>
            <w:noWrap/>
            <w:vAlign w:val="center"/>
            <w:hideMark/>
          </w:tcPr>
          <w:p w14:paraId="419670C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11,675</w:t>
            </w:r>
          </w:p>
        </w:tc>
        <w:tc>
          <w:tcPr>
            <w:tcW w:w="490" w:type="pct"/>
            <w:tcBorders>
              <w:top w:val="nil"/>
              <w:left w:val="nil"/>
              <w:bottom w:val="single" w:sz="4" w:space="0" w:color="auto"/>
              <w:right w:val="single" w:sz="4" w:space="0" w:color="auto"/>
            </w:tcBorders>
            <w:shd w:val="clear" w:color="auto" w:fill="auto"/>
            <w:noWrap/>
            <w:vAlign w:val="center"/>
            <w:hideMark/>
          </w:tcPr>
          <w:p w14:paraId="4371705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$1,384 </w:t>
            </w:r>
          </w:p>
        </w:tc>
        <w:tc>
          <w:tcPr>
            <w:tcW w:w="590" w:type="pct"/>
            <w:tcBorders>
              <w:top w:val="nil"/>
              <w:left w:val="nil"/>
              <w:bottom w:val="single" w:sz="4" w:space="0" w:color="auto"/>
              <w:right w:val="single" w:sz="4" w:space="0" w:color="auto"/>
            </w:tcBorders>
            <w:shd w:val="clear" w:color="auto" w:fill="auto"/>
            <w:noWrap/>
            <w:vAlign w:val="center"/>
            <w:hideMark/>
          </w:tcPr>
          <w:p w14:paraId="71F0731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203.00</w:t>
            </w:r>
          </w:p>
        </w:tc>
        <w:tc>
          <w:tcPr>
            <w:tcW w:w="481" w:type="pct"/>
            <w:tcBorders>
              <w:top w:val="nil"/>
              <w:left w:val="nil"/>
              <w:bottom w:val="single" w:sz="4" w:space="0" w:color="auto"/>
              <w:right w:val="single" w:sz="4" w:space="0" w:color="auto"/>
            </w:tcBorders>
            <w:shd w:val="clear" w:color="auto" w:fill="auto"/>
            <w:noWrap/>
            <w:vAlign w:val="center"/>
            <w:hideMark/>
          </w:tcPr>
          <w:p w14:paraId="307CAC0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26</w:t>
            </w:r>
          </w:p>
        </w:tc>
        <w:tc>
          <w:tcPr>
            <w:tcW w:w="479" w:type="pct"/>
            <w:tcBorders>
              <w:top w:val="nil"/>
              <w:left w:val="nil"/>
              <w:bottom w:val="single" w:sz="4" w:space="0" w:color="auto"/>
              <w:right w:val="single" w:sz="4" w:space="0" w:color="auto"/>
            </w:tcBorders>
            <w:shd w:val="clear" w:color="auto" w:fill="auto"/>
            <w:noWrap/>
            <w:vAlign w:val="center"/>
            <w:hideMark/>
          </w:tcPr>
          <w:p w14:paraId="39E12F1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$27,051 </w:t>
            </w:r>
          </w:p>
        </w:tc>
      </w:tr>
      <w:tr w:rsidR="00717D7D" w:rsidRPr="00C56EC9" w14:paraId="0BAA8A55"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834331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lastRenderedPageBreak/>
              <w:t>57</w:t>
            </w:r>
          </w:p>
        </w:tc>
        <w:tc>
          <w:tcPr>
            <w:tcW w:w="235" w:type="pct"/>
            <w:tcBorders>
              <w:top w:val="nil"/>
              <w:left w:val="nil"/>
              <w:bottom w:val="single" w:sz="4" w:space="0" w:color="auto"/>
              <w:right w:val="single" w:sz="4" w:space="0" w:color="auto"/>
            </w:tcBorders>
            <w:shd w:val="clear" w:color="auto" w:fill="auto"/>
            <w:noWrap/>
            <w:vAlign w:val="center"/>
            <w:hideMark/>
          </w:tcPr>
          <w:p w14:paraId="2599A17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11,091</w:t>
            </w:r>
          </w:p>
        </w:tc>
        <w:tc>
          <w:tcPr>
            <w:tcW w:w="490" w:type="pct"/>
            <w:tcBorders>
              <w:top w:val="nil"/>
              <w:left w:val="nil"/>
              <w:bottom w:val="single" w:sz="4" w:space="0" w:color="auto"/>
              <w:right w:val="single" w:sz="4" w:space="0" w:color="auto"/>
            </w:tcBorders>
            <w:shd w:val="clear" w:color="auto" w:fill="auto"/>
            <w:noWrap/>
            <w:vAlign w:val="center"/>
            <w:hideMark/>
          </w:tcPr>
          <w:p w14:paraId="11D472C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$1,402 </w:t>
            </w:r>
          </w:p>
        </w:tc>
        <w:tc>
          <w:tcPr>
            <w:tcW w:w="590" w:type="pct"/>
            <w:tcBorders>
              <w:top w:val="nil"/>
              <w:left w:val="nil"/>
              <w:bottom w:val="single" w:sz="4" w:space="0" w:color="auto"/>
              <w:right w:val="single" w:sz="4" w:space="0" w:color="auto"/>
            </w:tcBorders>
            <w:shd w:val="clear" w:color="auto" w:fill="auto"/>
            <w:noWrap/>
            <w:vAlign w:val="center"/>
            <w:hideMark/>
          </w:tcPr>
          <w:p w14:paraId="1E45062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207.55</w:t>
            </w:r>
          </w:p>
        </w:tc>
        <w:tc>
          <w:tcPr>
            <w:tcW w:w="481" w:type="pct"/>
            <w:tcBorders>
              <w:top w:val="nil"/>
              <w:left w:val="nil"/>
              <w:bottom w:val="single" w:sz="4" w:space="0" w:color="auto"/>
              <w:right w:val="single" w:sz="4" w:space="0" w:color="auto"/>
            </w:tcBorders>
            <w:shd w:val="clear" w:color="auto" w:fill="auto"/>
            <w:noWrap/>
            <w:vAlign w:val="center"/>
            <w:hideMark/>
          </w:tcPr>
          <w:p w14:paraId="5908E9C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45FDE75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$27,092 </w:t>
            </w:r>
          </w:p>
        </w:tc>
        <w:tc>
          <w:tcPr>
            <w:tcW w:w="235" w:type="pct"/>
            <w:tcBorders>
              <w:top w:val="nil"/>
              <w:left w:val="nil"/>
              <w:bottom w:val="single" w:sz="4" w:space="0" w:color="auto"/>
              <w:right w:val="single" w:sz="4" w:space="0" w:color="auto"/>
            </w:tcBorders>
            <w:shd w:val="clear" w:color="auto" w:fill="auto"/>
            <w:noWrap/>
            <w:vAlign w:val="center"/>
            <w:hideMark/>
          </w:tcPr>
          <w:p w14:paraId="38A1B3B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11,091</w:t>
            </w:r>
          </w:p>
        </w:tc>
        <w:tc>
          <w:tcPr>
            <w:tcW w:w="490" w:type="pct"/>
            <w:tcBorders>
              <w:top w:val="nil"/>
              <w:left w:val="nil"/>
              <w:bottom w:val="single" w:sz="4" w:space="0" w:color="auto"/>
              <w:right w:val="single" w:sz="4" w:space="0" w:color="auto"/>
            </w:tcBorders>
            <w:shd w:val="clear" w:color="auto" w:fill="auto"/>
            <w:noWrap/>
            <w:vAlign w:val="center"/>
            <w:hideMark/>
          </w:tcPr>
          <w:p w14:paraId="2E78B15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$1,402 </w:t>
            </w:r>
          </w:p>
        </w:tc>
        <w:tc>
          <w:tcPr>
            <w:tcW w:w="590" w:type="pct"/>
            <w:tcBorders>
              <w:top w:val="nil"/>
              <w:left w:val="nil"/>
              <w:bottom w:val="single" w:sz="4" w:space="0" w:color="auto"/>
              <w:right w:val="single" w:sz="4" w:space="0" w:color="auto"/>
            </w:tcBorders>
            <w:shd w:val="clear" w:color="auto" w:fill="auto"/>
            <w:noWrap/>
            <w:vAlign w:val="center"/>
            <w:hideMark/>
          </w:tcPr>
          <w:p w14:paraId="673887C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207.62</w:t>
            </w:r>
          </w:p>
        </w:tc>
        <w:tc>
          <w:tcPr>
            <w:tcW w:w="481" w:type="pct"/>
            <w:tcBorders>
              <w:top w:val="nil"/>
              <w:left w:val="nil"/>
              <w:bottom w:val="single" w:sz="4" w:space="0" w:color="auto"/>
              <w:right w:val="single" w:sz="4" w:space="0" w:color="auto"/>
            </w:tcBorders>
            <w:shd w:val="clear" w:color="auto" w:fill="auto"/>
            <w:noWrap/>
            <w:vAlign w:val="center"/>
            <w:hideMark/>
          </w:tcPr>
          <w:p w14:paraId="7EBF004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9" w:type="pct"/>
            <w:tcBorders>
              <w:top w:val="nil"/>
              <w:left w:val="nil"/>
              <w:bottom w:val="single" w:sz="4" w:space="0" w:color="auto"/>
              <w:right w:val="single" w:sz="4" w:space="0" w:color="auto"/>
            </w:tcBorders>
            <w:shd w:val="clear" w:color="auto" w:fill="auto"/>
            <w:noWrap/>
            <w:vAlign w:val="center"/>
            <w:hideMark/>
          </w:tcPr>
          <w:p w14:paraId="007B0CE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$27,232 </w:t>
            </w:r>
          </w:p>
        </w:tc>
      </w:tr>
      <w:tr w:rsidR="00717D7D" w:rsidRPr="00C56EC9" w14:paraId="74A85231"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88989E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58</w:t>
            </w:r>
          </w:p>
        </w:tc>
        <w:tc>
          <w:tcPr>
            <w:tcW w:w="235" w:type="pct"/>
            <w:tcBorders>
              <w:top w:val="nil"/>
              <w:left w:val="nil"/>
              <w:bottom w:val="single" w:sz="4" w:space="0" w:color="auto"/>
              <w:right w:val="single" w:sz="4" w:space="0" w:color="auto"/>
            </w:tcBorders>
            <w:shd w:val="clear" w:color="auto" w:fill="auto"/>
            <w:noWrap/>
            <w:vAlign w:val="center"/>
            <w:hideMark/>
          </w:tcPr>
          <w:p w14:paraId="3F7BB8D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10,536</w:t>
            </w:r>
          </w:p>
        </w:tc>
        <w:tc>
          <w:tcPr>
            <w:tcW w:w="490" w:type="pct"/>
            <w:tcBorders>
              <w:top w:val="nil"/>
              <w:left w:val="nil"/>
              <w:bottom w:val="single" w:sz="4" w:space="0" w:color="auto"/>
              <w:right w:val="single" w:sz="4" w:space="0" w:color="auto"/>
            </w:tcBorders>
            <w:shd w:val="clear" w:color="auto" w:fill="auto"/>
            <w:noWrap/>
            <w:vAlign w:val="center"/>
            <w:hideMark/>
          </w:tcPr>
          <w:p w14:paraId="086F23D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$1,420 </w:t>
            </w:r>
          </w:p>
        </w:tc>
        <w:tc>
          <w:tcPr>
            <w:tcW w:w="590" w:type="pct"/>
            <w:tcBorders>
              <w:top w:val="nil"/>
              <w:left w:val="nil"/>
              <w:bottom w:val="single" w:sz="4" w:space="0" w:color="auto"/>
              <w:right w:val="single" w:sz="4" w:space="0" w:color="auto"/>
            </w:tcBorders>
            <w:shd w:val="clear" w:color="auto" w:fill="auto"/>
            <w:noWrap/>
            <w:vAlign w:val="center"/>
            <w:hideMark/>
          </w:tcPr>
          <w:p w14:paraId="2ABE46A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212.01</w:t>
            </w:r>
          </w:p>
        </w:tc>
        <w:tc>
          <w:tcPr>
            <w:tcW w:w="481" w:type="pct"/>
            <w:tcBorders>
              <w:top w:val="nil"/>
              <w:left w:val="nil"/>
              <w:bottom w:val="single" w:sz="4" w:space="0" w:color="auto"/>
              <w:right w:val="single" w:sz="4" w:space="0" w:color="auto"/>
            </w:tcBorders>
            <w:shd w:val="clear" w:color="auto" w:fill="auto"/>
            <w:noWrap/>
            <w:vAlign w:val="center"/>
            <w:hideMark/>
          </w:tcPr>
          <w:p w14:paraId="60A8FE7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4E37AD05"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$28,307 </w:t>
            </w:r>
          </w:p>
        </w:tc>
        <w:tc>
          <w:tcPr>
            <w:tcW w:w="235" w:type="pct"/>
            <w:tcBorders>
              <w:top w:val="nil"/>
              <w:left w:val="nil"/>
              <w:bottom w:val="single" w:sz="4" w:space="0" w:color="auto"/>
              <w:right w:val="single" w:sz="4" w:space="0" w:color="auto"/>
            </w:tcBorders>
            <w:shd w:val="clear" w:color="auto" w:fill="auto"/>
            <w:noWrap/>
            <w:vAlign w:val="center"/>
            <w:hideMark/>
          </w:tcPr>
          <w:p w14:paraId="48F567B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90" w:type="pct"/>
            <w:tcBorders>
              <w:top w:val="nil"/>
              <w:left w:val="nil"/>
              <w:bottom w:val="single" w:sz="4" w:space="0" w:color="auto"/>
              <w:right w:val="single" w:sz="4" w:space="0" w:color="auto"/>
            </w:tcBorders>
            <w:shd w:val="clear" w:color="auto" w:fill="auto"/>
            <w:noWrap/>
            <w:vAlign w:val="center"/>
            <w:hideMark/>
          </w:tcPr>
          <w:p w14:paraId="0998BB97"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590" w:type="pct"/>
            <w:tcBorders>
              <w:top w:val="nil"/>
              <w:left w:val="nil"/>
              <w:bottom w:val="single" w:sz="4" w:space="0" w:color="auto"/>
              <w:right w:val="single" w:sz="4" w:space="0" w:color="auto"/>
            </w:tcBorders>
            <w:shd w:val="clear" w:color="auto" w:fill="auto"/>
            <w:noWrap/>
            <w:vAlign w:val="center"/>
            <w:hideMark/>
          </w:tcPr>
          <w:p w14:paraId="436136B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81" w:type="pct"/>
            <w:tcBorders>
              <w:top w:val="nil"/>
              <w:left w:val="nil"/>
              <w:bottom w:val="single" w:sz="4" w:space="0" w:color="auto"/>
              <w:right w:val="single" w:sz="4" w:space="0" w:color="auto"/>
            </w:tcBorders>
            <w:shd w:val="clear" w:color="auto" w:fill="auto"/>
            <w:noWrap/>
            <w:vAlign w:val="center"/>
            <w:hideMark/>
          </w:tcPr>
          <w:p w14:paraId="037DFB4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79" w:type="pct"/>
            <w:tcBorders>
              <w:top w:val="nil"/>
              <w:left w:val="nil"/>
              <w:bottom w:val="single" w:sz="4" w:space="0" w:color="auto"/>
              <w:right w:val="single" w:sz="4" w:space="0" w:color="auto"/>
            </w:tcBorders>
            <w:shd w:val="clear" w:color="auto" w:fill="auto"/>
            <w:noWrap/>
            <w:vAlign w:val="center"/>
            <w:hideMark/>
          </w:tcPr>
          <w:p w14:paraId="131DADF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r>
      <w:tr w:rsidR="00717D7D" w:rsidRPr="00C56EC9" w14:paraId="72FF2418"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866241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59</w:t>
            </w:r>
          </w:p>
        </w:tc>
        <w:tc>
          <w:tcPr>
            <w:tcW w:w="235" w:type="pct"/>
            <w:tcBorders>
              <w:top w:val="nil"/>
              <w:left w:val="nil"/>
              <w:bottom w:val="single" w:sz="4" w:space="0" w:color="auto"/>
              <w:right w:val="single" w:sz="4" w:space="0" w:color="auto"/>
            </w:tcBorders>
            <w:shd w:val="clear" w:color="auto" w:fill="auto"/>
            <w:noWrap/>
            <w:vAlign w:val="center"/>
            <w:hideMark/>
          </w:tcPr>
          <w:p w14:paraId="0183CE7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10,010</w:t>
            </w:r>
          </w:p>
        </w:tc>
        <w:tc>
          <w:tcPr>
            <w:tcW w:w="490" w:type="pct"/>
            <w:tcBorders>
              <w:top w:val="nil"/>
              <w:left w:val="nil"/>
              <w:bottom w:val="single" w:sz="4" w:space="0" w:color="auto"/>
              <w:right w:val="single" w:sz="4" w:space="0" w:color="auto"/>
            </w:tcBorders>
            <w:shd w:val="clear" w:color="auto" w:fill="auto"/>
            <w:noWrap/>
            <w:vAlign w:val="center"/>
            <w:hideMark/>
          </w:tcPr>
          <w:p w14:paraId="3895718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$1,438 </w:t>
            </w:r>
          </w:p>
        </w:tc>
        <w:tc>
          <w:tcPr>
            <w:tcW w:w="590" w:type="pct"/>
            <w:tcBorders>
              <w:top w:val="nil"/>
              <w:left w:val="nil"/>
              <w:bottom w:val="single" w:sz="4" w:space="0" w:color="auto"/>
              <w:right w:val="single" w:sz="4" w:space="0" w:color="auto"/>
            </w:tcBorders>
            <w:shd w:val="clear" w:color="auto" w:fill="auto"/>
            <w:noWrap/>
            <w:vAlign w:val="center"/>
            <w:hideMark/>
          </w:tcPr>
          <w:p w14:paraId="5831BD0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216.31</w:t>
            </w:r>
          </w:p>
        </w:tc>
        <w:tc>
          <w:tcPr>
            <w:tcW w:w="481" w:type="pct"/>
            <w:tcBorders>
              <w:top w:val="nil"/>
              <w:left w:val="nil"/>
              <w:bottom w:val="single" w:sz="4" w:space="0" w:color="auto"/>
              <w:right w:val="single" w:sz="4" w:space="0" w:color="auto"/>
            </w:tcBorders>
            <w:shd w:val="clear" w:color="auto" w:fill="auto"/>
            <w:noWrap/>
            <w:vAlign w:val="center"/>
            <w:hideMark/>
          </w:tcPr>
          <w:p w14:paraId="072ECC6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2964711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$29,548 </w:t>
            </w:r>
          </w:p>
        </w:tc>
        <w:tc>
          <w:tcPr>
            <w:tcW w:w="235" w:type="pct"/>
            <w:tcBorders>
              <w:top w:val="nil"/>
              <w:left w:val="nil"/>
              <w:bottom w:val="single" w:sz="4" w:space="0" w:color="auto"/>
              <w:right w:val="single" w:sz="4" w:space="0" w:color="auto"/>
            </w:tcBorders>
            <w:shd w:val="clear" w:color="auto" w:fill="auto"/>
            <w:noWrap/>
            <w:vAlign w:val="center"/>
            <w:hideMark/>
          </w:tcPr>
          <w:p w14:paraId="0D53923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90" w:type="pct"/>
            <w:tcBorders>
              <w:top w:val="nil"/>
              <w:left w:val="nil"/>
              <w:bottom w:val="single" w:sz="4" w:space="0" w:color="auto"/>
              <w:right w:val="single" w:sz="4" w:space="0" w:color="auto"/>
            </w:tcBorders>
            <w:shd w:val="clear" w:color="auto" w:fill="auto"/>
            <w:noWrap/>
            <w:vAlign w:val="center"/>
            <w:hideMark/>
          </w:tcPr>
          <w:p w14:paraId="5A1D226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590" w:type="pct"/>
            <w:tcBorders>
              <w:top w:val="nil"/>
              <w:left w:val="nil"/>
              <w:bottom w:val="single" w:sz="4" w:space="0" w:color="auto"/>
              <w:right w:val="single" w:sz="4" w:space="0" w:color="auto"/>
            </w:tcBorders>
            <w:shd w:val="clear" w:color="auto" w:fill="auto"/>
            <w:noWrap/>
            <w:vAlign w:val="center"/>
            <w:hideMark/>
          </w:tcPr>
          <w:p w14:paraId="2ABE45E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81" w:type="pct"/>
            <w:tcBorders>
              <w:top w:val="nil"/>
              <w:left w:val="nil"/>
              <w:bottom w:val="single" w:sz="4" w:space="0" w:color="auto"/>
              <w:right w:val="single" w:sz="4" w:space="0" w:color="auto"/>
            </w:tcBorders>
            <w:shd w:val="clear" w:color="auto" w:fill="auto"/>
            <w:noWrap/>
            <w:vAlign w:val="center"/>
            <w:hideMark/>
          </w:tcPr>
          <w:p w14:paraId="608D73E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79" w:type="pct"/>
            <w:tcBorders>
              <w:top w:val="nil"/>
              <w:left w:val="nil"/>
              <w:bottom w:val="single" w:sz="4" w:space="0" w:color="auto"/>
              <w:right w:val="single" w:sz="4" w:space="0" w:color="auto"/>
            </w:tcBorders>
            <w:shd w:val="clear" w:color="auto" w:fill="auto"/>
            <w:noWrap/>
            <w:vAlign w:val="center"/>
            <w:hideMark/>
          </w:tcPr>
          <w:p w14:paraId="2DA3765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r>
      <w:tr w:rsidR="00717D7D" w:rsidRPr="00C56EC9" w14:paraId="1226AA4B"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11893A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60</w:t>
            </w:r>
          </w:p>
        </w:tc>
        <w:tc>
          <w:tcPr>
            <w:tcW w:w="235" w:type="pct"/>
            <w:tcBorders>
              <w:top w:val="nil"/>
              <w:left w:val="nil"/>
              <w:bottom w:val="single" w:sz="4" w:space="0" w:color="auto"/>
              <w:right w:val="single" w:sz="4" w:space="0" w:color="auto"/>
            </w:tcBorders>
            <w:shd w:val="clear" w:color="auto" w:fill="auto"/>
            <w:noWrap/>
            <w:vAlign w:val="center"/>
            <w:hideMark/>
          </w:tcPr>
          <w:p w14:paraId="66E5F72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9,509</w:t>
            </w:r>
          </w:p>
        </w:tc>
        <w:tc>
          <w:tcPr>
            <w:tcW w:w="490" w:type="pct"/>
            <w:tcBorders>
              <w:top w:val="nil"/>
              <w:left w:val="nil"/>
              <w:bottom w:val="single" w:sz="4" w:space="0" w:color="auto"/>
              <w:right w:val="single" w:sz="4" w:space="0" w:color="auto"/>
            </w:tcBorders>
            <w:shd w:val="clear" w:color="auto" w:fill="auto"/>
            <w:noWrap/>
            <w:vAlign w:val="center"/>
            <w:hideMark/>
          </w:tcPr>
          <w:p w14:paraId="1F46E8C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$1,457 </w:t>
            </w:r>
          </w:p>
        </w:tc>
        <w:tc>
          <w:tcPr>
            <w:tcW w:w="590" w:type="pct"/>
            <w:tcBorders>
              <w:top w:val="nil"/>
              <w:left w:val="nil"/>
              <w:bottom w:val="single" w:sz="4" w:space="0" w:color="auto"/>
              <w:right w:val="single" w:sz="4" w:space="0" w:color="auto"/>
            </w:tcBorders>
            <w:shd w:val="clear" w:color="auto" w:fill="auto"/>
            <w:noWrap/>
            <w:vAlign w:val="center"/>
            <w:hideMark/>
          </w:tcPr>
          <w:p w14:paraId="7E5C3BA8"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220.46</w:t>
            </w:r>
          </w:p>
        </w:tc>
        <w:tc>
          <w:tcPr>
            <w:tcW w:w="481" w:type="pct"/>
            <w:tcBorders>
              <w:top w:val="nil"/>
              <w:left w:val="nil"/>
              <w:bottom w:val="single" w:sz="4" w:space="0" w:color="auto"/>
              <w:right w:val="single" w:sz="4" w:space="0" w:color="auto"/>
            </w:tcBorders>
            <w:shd w:val="clear" w:color="auto" w:fill="auto"/>
            <w:noWrap/>
            <w:vAlign w:val="center"/>
            <w:hideMark/>
          </w:tcPr>
          <w:p w14:paraId="33698C6D"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733CF6C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$30,800 </w:t>
            </w:r>
          </w:p>
        </w:tc>
        <w:tc>
          <w:tcPr>
            <w:tcW w:w="235" w:type="pct"/>
            <w:tcBorders>
              <w:top w:val="nil"/>
              <w:left w:val="nil"/>
              <w:bottom w:val="single" w:sz="4" w:space="0" w:color="auto"/>
              <w:right w:val="single" w:sz="4" w:space="0" w:color="auto"/>
            </w:tcBorders>
            <w:shd w:val="clear" w:color="auto" w:fill="auto"/>
            <w:noWrap/>
            <w:vAlign w:val="center"/>
            <w:hideMark/>
          </w:tcPr>
          <w:p w14:paraId="04D33D0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90" w:type="pct"/>
            <w:tcBorders>
              <w:top w:val="nil"/>
              <w:left w:val="nil"/>
              <w:bottom w:val="single" w:sz="4" w:space="0" w:color="auto"/>
              <w:right w:val="single" w:sz="4" w:space="0" w:color="auto"/>
            </w:tcBorders>
            <w:shd w:val="clear" w:color="auto" w:fill="auto"/>
            <w:noWrap/>
            <w:vAlign w:val="center"/>
            <w:hideMark/>
          </w:tcPr>
          <w:p w14:paraId="36DA0E24"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590" w:type="pct"/>
            <w:tcBorders>
              <w:top w:val="nil"/>
              <w:left w:val="nil"/>
              <w:bottom w:val="single" w:sz="4" w:space="0" w:color="auto"/>
              <w:right w:val="single" w:sz="4" w:space="0" w:color="auto"/>
            </w:tcBorders>
            <w:shd w:val="clear" w:color="auto" w:fill="auto"/>
            <w:noWrap/>
            <w:vAlign w:val="center"/>
            <w:hideMark/>
          </w:tcPr>
          <w:p w14:paraId="665D3C9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81" w:type="pct"/>
            <w:tcBorders>
              <w:top w:val="nil"/>
              <w:left w:val="nil"/>
              <w:bottom w:val="single" w:sz="4" w:space="0" w:color="auto"/>
              <w:right w:val="single" w:sz="4" w:space="0" w:color="auto"/>
            </w:tcBorders>
            <w:shd w:val="clear" w:color="auto" w:fill="auto"/>
            <w:noWrap/>
            <w:vAlign w:val="center"/>
            <w:hideMark/>
          </w:tcPr>
          <w:p w14:paraId="21E9571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79" w:type="pct"/>
            <w:tcBorders>
              <w:top w:val="nil"/>
              <w:left w:val="nil"/>
              <w:bottom w:val="single" w:sz="4" w:space="0" w:color="auto"/>
              <w:right w:val="single" w:sz="4" w:space="0" w:color="auto"/>
            </w:tcBorders>
            <w:shd w:val="clear" w:color="auto" w:fill="auto"/>
            <w:noWrap/>
            <w:vAlign w:val="center"/>
            <w:hideMark/>
          </w:tcPr>
          <w:p w14:paraId="0FBE49E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r>
      <w:tr w:rsidR="00717D7D" w:rsidRPr="00C56EC9" w14:paraId="1C06B449"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05FC4A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61</w:t>
            </w:r>
          </w:p>
        </w:tc>
        <w:tc>
          <w:tcPr>
            <w:tcW w:w="235" w:type="pct"/>
            <w:tcBorders>
              <w:top w:val="nil"/>
              <w:left w:val="nil"/>
              <w:bottom w:val="single" w:sz="4" w:space="0" w:color="auto"/>
              <w:right w:val="single" w:sz="4" w:space="0" w:color="auto"/>
            </w:tcBorders>
            <w:shd w:val="clear" w:color="auto" w:fill="auto"/>
            <w:noWrap/>
            <w:vAlign w:val="center"/>
            <w:hideMark/>
          </w:tcPr>
          <w:p w14:paraId="250735F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9,034</w:t>
            </w:r>
          </w:p>
        </w:tc>
        <w:tc>
          <w:tcPr>
            <w:tcW w:w="490" w:type="pct"/>
            <w:tcBorders>
              <w:top w:val="nil"/>
              <w:left w:val="nil"/>
              <w:bottom w:val="single" w:sz="4" w:space="0" w:color="auto"/>
              <w:right w:val="single" w:sz="4" w:space="0" w:color="auto"/>
            </w:tcBorders>
            <w:shd w:val="clear" w:color="auto" w:fill="auto"/>
            <w:noWrap/>
            <w:vAlign w:val="center"/>
            <w:hideMark/>
          </w:tcPr>
          <w:p w14:paraId="20AE5113"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$1,476 </w:t>
            </w:r>
          </w:p>
        </w:tc>
        <w:tc>
          <w:tcPr>
            <w:tcW w:w="590" w:type="pct"/>
            <w:tcBorders>
              <w:top w:val="nil"/>
              <w:left w:val="nil"/>
              <w:bottom w:val="single" w:sz="4" w:space="0" w:color="auto"/>
              <w:right w:val="single" w:sz="4" w:space="0" w:color="auto"/>
            </w:tcBorders>
            <w:shd w:val="clear" w:color="auto" w:fill="auto"/>
            <w:noWrap/>
            <w:vAlign w:val="center"/>
            <w:hideMark/>
          </w:tcPr>
          <w:p w14:paraId="5A69018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224.59</w:t>
            </w:r>
          </w:p>
        </w:tc>
        <w:tc>
          <w:tcPr>
            <w:tcW w:w="481" w:type="pct"/>
            <w:tcBorders>
              <w:top w:val="nil"/>
              <w:left w:val="nil"/>
              <w:bottom w:val="single" w:sz="4" w:space="0" w:color="auto"/>
              <w:right w:val="single" w:sz="4" w:space="0" w:color="auto"/>
            </w:tcBorders>
            <w:shd w:val="clear" w:color="auto" w:fill="auto"/>
            <w:noWrap/>
            <w:vAlign w:val="center"/>
            <w:hideMark/>
          </w:tcPr>
          <w:p w14:paraId="096D21D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27</w:t>
            </w:r>
          </w:p>
        </w:tc>
        <w:tc>
          <w:tcPr>
            <w:tcW w:w="477" w:type="pct"/>
            <w:tcBorders>
              <w:top w:val="nil"/>
              <w:left w:val="nil"/>
              <w:bottom w:val="single" w:sz="4" w:space="0" w:color="auto"/>
              <w:right w:val="single" w:sz="4" w:space="0" w:color="auto"/>
            </w:tcBorders>
            <w:shd w:val="clear" w:color="auto" w:fill="auto"/>
            <w:noWrap/>
            <w:vAlign w:val="center"/>
            <w:hideMark/>
          </w:tcPr>
          <w:p w14:paraId="3AB70D1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$32,075 </w:t>
            </w:r>
          </w:p>
        </w:tc>
        <w:tc>
          <w:tcPr>
            <w:tcW w:w="235" w:type="pct"/>
            <w:tcBorders>
              <w:top w:val="nil"/>
              <w:left w:val="nil"/>
              <w:bottom w:val="single" w:sz="4" w:space="0" w:color="auto"/>
              <w:right w:val="single" w:sz="4" w:space="0" w:color="auto"/>
            </w:tcBorders>
            <w:shd w:val="clear" w:color="auto" w:fill="auto"/>
            <w:noWrap/>
            <w:vAlign w:val="center"/>
            <w:hideMark/>
          </w:tcPr>
          <w:p w14:paraId="1B7F089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90" w:type="pct"/>
            <w:tcBorders>
              <w:top w:val="nil"/>
              <w:left w:val="nil"/>
              <w:bottom w:val="single" w:sz="4" w:space="0" w:color="auto"/>
              <w:right w:val="single" w:sz="4" w:space="0" w:color="auto"/>
            </w:tcBorders>
            <w:shd w:val="clear" w:color="auto" w:fill="auto"/>
            <w:noWrap/>
            <w:vAlign w:val="center"/>
            <w:hideMark/>
          </w:tcPr>
          <w:p w14:paraId="7379A11B"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590" w:type="pct"/>
            <w:tcBorders>
              <w:top w:val="nil"/>
              <w:left w:val="nil"/>
              <w:bottom w:val="single" w:sz="4" w:space="0" w:color="auto"/>
              <w:right w:val="single" w:sz="4" w:space="0" w:color="auto"/>
            </w:tcBorders>
            <w:shd w:val="clear" w:color="auto" w:fill="auto"/>
            <w:noWrap/>
            <w:vAlign w:val="center"/>
            <w:hideMark/>
          </w:tcPr>
          <w:p w14:paraId="1C268C9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81" w:type="pct"/>
            <w:tcBorders>
              <w:top w:val="nil"/>
              <w:left w:val="nil"/>
              <w:bottom w:val="single" w:sz="4" w:space="0" w:color="auto"/>
              <w:right w:val="single" w:sz="4" w:space="0" w:color="auto"/>
            </w:tcBorders>
            <w:shd w:val="clear" w:color="auto" w:fill="auto"/>
            <w:noWrap/>
            <w:vAlign w:val="center"/>
            <w:hideMark/>
          </w:tcPr>
          <w:p w14:paraId="0DED03A2"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79" w:type="pct"/>
            <w:tcBorders>
              <w:top w:val="nil"/>
              <w:left w:val="nil"/>
              <w:bottom w:val="single" w:sz="4" w:space="0" w:color="auto"/>
              <w:right w:val="single" w:sz="4" w:space="0" w:color="auto"/>
            </w:tcBorders>
            <w:shd w:val="clear" w:color="auto" w:fill="auto"/>
            <w:noWrap/>
            <w:vAlign w:val="center"/>
            <w:hideMark/>
          </w:tcPr>
          <w:p w14:paraId="58B111DA"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r>
      <w:tr w:rsidR="00717D7D" w:rsidRPr="00C56EC9" w14:paraId="3BC486A0" w14:textId="77777777" w:rsidTr="00717D7D">
        <w:trPr>
          <w:trHeight w:val="28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83F111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62</w:t>
            </w:r>
          </w:p>
        </w:tc>
        <w:tc>
          <w:tcPr>
            <w:tcW w:w="235" w:type="pct"/>
            <w:tcBorders>
              <w:top w:val="nil"/>
              <w:left w:val="nil"/>
              <w:bottom w:val="single" w:sz="4" w:space="0" w:color="auto"/>
              <w:right w:val="single" w:sz="4" w:space="0" w:color="auto"/>
            </w:tcBorders>
            <w:shd w:val="clear" w:color="auto" w:fill="auto"/>
            <w:noWrap/>
            <w:vAlign w:val="center"/>
            <w:hideMark/>
          </w:tcPr>
          <w:p w14:paraId="367E63A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8,582</w:t>
            </w:r>
          </w:p>
        </w:tc>
        <w:tc>
          <w:tcPr>
            <w:tcW w:w="490" w:type="pct"/>
            <w:tcBorders>
              <w:top w:val="nil"/>
              <w:left w:val="nil"/>
              <w:bottom w:val="single" w:sz="4" w:space="0" w:color="auto"/>
              <w:right w:val="single" w:sz="4" w:space="0" w:color="auto"/>
            </w:tcBorders>
            <w:shd w:val="clear" w:color="auto" w:fill="auto"/>
            <w:noWrap/>
            <w:vAlign w:val="center"/>
            <w:hideMark/>
          </w:tcPr>
          <w:p w14:paraId="29C223DC"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$1,495 </w:t>
            </w:r>
          </w:p>
        </w:tc>
        <w:tc>
          <w:tcPr>
            <w:tcW w:w="590" w:type="pct"/>
            <w:tcBorders>
              <w:top w:val="nil"/>
              <w:left w:val="nil"/>
              <w:bottom w:val="single" w:sz="4" w:space="0" w:color="auto"/>
              <w:right w:val="single" w:sz="4" w:space="0" w:color="auto"/>
            </w:tcBorders>
            <w:shd w:val="clear" w:color="auto" w:fill="auto"/>
            <w:noWrap/>
            <w:vAlign w:val="center"/>
            <w:hideMark/>
          </w:tcPr>
          <w:p w14:paraId="17E6841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228.75</w:t>
            </w:r>
          </w:p>
        </w:tc>
        <w:tc>
          <w:tcPr>
            <w:tcW w:w="481" w:type="pct"/>
            <w:tcBorders>
              <w:top w:val="nil"/>
              <w:left w:val="nil"/>
              <w:bottom w:val="single" w:sz="4" w:space="0" w:color="auto"/>
              <w:right w:val="single" w:sz="4" w:space="0" w:color="auto"/>
            </w:tcBorders>
            <w:shd w:val="clear" w:color="auto" w:fill="auto"/>
            <w:noWrap/>
            <w:vAlign w:val="center"/>
            <w:hideMark/>
          </w:tcPr>
          <w:p w14:paraId="01673A8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28</w:t>
            </w:r>
          </w:p>
        </w:tc>
        <w:tc>
          <w:tcPr>
            <w:tcW w:w="477" w:type="pct"/>
            <w:tcBorders>
              <w:top w:val="nil"/>
              <w:left w:val="nil"/>
              <w:bottom w:val="single" w:sz="4" w:space="0" w:color="auto"/>
              <w:right w:val="single" w:sz="4" w:space="0" w:color="auto"/>
            </w:tcBorders>
            <w:shd w:val="clear" w:color="auto" w:fill="auto"/>
            <w:noWrap/>
            <w:vAlign w:val="center"/>
            <w:hideMark/>
          </w:tcPr>
          <w:p w14:paraId="703D3FC1"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xml:space="preserve">$32,152 </w:t>
            </w:r>
          </w:p>
        </w:tc>
        <w:tc>
          <w:tcPr>
            <w:tcW w:w="235" w:type="pct"/>
            <w:tcBorders>
              <w:top w:val="nil"/>
              <w:left w:val="nil"/>
              <w:bottom w:val="single" w:sz="4" w:space="0" w:color="auto"/>
              <w:right w:val="single" w:sz="4" w:space="0" w:color="auto"/>
            </w:tcBorders>
            <w:shd w:val="clear" w:color="auto" w:fill="auto"/>
            <w:noWrap/>
            <w:vAlign w:val="center"/>
            <w:hideMark/>
          </w:tcPr>
          <w:p w14:paraId="78C3D2D6"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90" w:type="pct"/>
            <w:tcBorders>
              <w:top w:val="nil"/>
              <w:left w:val="nil"/>
              <w:bottom w:val="single" w:sz="4" w:space="0" w:color="auto"/>
              <w:right w:val="single" w:sz="4" w:space="0" w:color="auto"/>
            </w:tcBorders>
            <w:shd w:val="clear" w:color="auto" w:fill="auto"/>
            <w:noWrap/>
            <w:vAlign w:val="center"/>
            <w:hideMark/>
          </w:tcPr>
          <w:p w14:paraId="0B7C4D90"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590" w:type="pct"/>
            <w:tcBorders>
              <w:top w:val="nil"/>
              <w:left w:val="nil"/>
              <w:bottom w:val="single" w:sz="4" w:space="0" w:color="auto"/>
              <w:right w:val="single" w:sz="4" w:space="0" w:color="auto"/>
            </w:tcBorders>
            <w:shd w:val="clear" w:color="auto" w:fill="auto"/>
            <w:noWrap/>
            <w:vAlign w:val="center"/>
            <w:hideMark/>
          </w:tcPr>
          <w:p w14:paraId="3AB83D7E"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81" w:type="pct"/>
            <w:tcBorders>
              <w:top w:val="nil"/>
              <w:left w:val="nil"/>
              <w:bottom w:val="single" w:sz="4" w:space="0" w:color="auto"/>
              <w:right w:val="single" w:sz="4" w:space="0" w:color="auto"/>
            </w:tcBorders>
            <w:shd w:val="clear" w:color="auto" w:fill="auto"/>
            <w:noWrap/>
            <w:vAlign w:val="center"/>
            <w:hideMark/>
          </w:tcPr>
          <w:p w14:paraId="491BDCBF"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c>
          <w:tcPr>
            <w:tcW w:w="479" w:type="pct"/>
            <w:tcBorders>
              <w:top w:val="nil"/>
              <w:left w:val="nil"/>
              <w:bottom w:val="single" w:sz="4" w:space="0" w:color="auto"/>
              <w:right w:val="single" w:sz="4" w:space="0" w:color="auto"/>
            </w:tcBorders>
            <w:shd w:val="clear" w:color="auto" w:fill="auto"/>
            <w:noWrap/>
            <w:vAlign w:val="center"/>
            <w:hideMark/>
          </w:tcPr>
          <w:p w14:paraId="4CF05A49" w14:textId="77777777" w:rsidR="00E27790" w:rsidRPr="00E27790" w:rsidRDefault="00E27790" w:rsidP="00E27790">
            <w:pPr>
              <w:spacing w:after="0" w:line="240" w:lineRule="auto"/>
              <w:jc w:val="center"/>
              <w:rPr>
                <w:rFonts w:eastAsia="Times New Roman" w:cs="Times New Roman"/>
                <w:color w:val="000000"/>
                <w:kern w:val="0"/>
                <w:sz w:val="16"/>
                <w:szCs w:val="16"/>
                <w:lang w:val="es-419" w:eastAsia="en-GB"/>
                <w14:ligatures w14:val="none"/>
              </w:rPr>
            </w:pPr>
            <w:r w:rsidRPr="00E27790">
              <w:rPr>
                <w:rFonts w:eastAsia="Times New Roman" w:cs="Times New Roman"/>
                <w:color w:val="000000"/>
                <w:kern w:val="0"/>
                <w:sz w:val="16"/>
                <w:szCs w:val="16"/>
                <w:lang w:val="es-419" w:eastAsia="en-GB"/>
                <w14:ligatures w14:val="none"/>
              </w:rPr>
              <w:t> </w:t>
            </w:r>
          </w:p>
        </w:tc>
      </w:tr>
    </w:tbl>
    <w:p w14:paraId="0DC6DADB" w14:textId="1F33ACE6" w:rsidR="00E04C18" w:rsidRPr="00C56EC9" w:rsidRDefault="00E04C18" w:rsidP="00BC1F53">
      <w:pPr>
        <w:spacing w:line="240" w:lineRule="auto"/>
        <w:ind w:left="-993" w:right="-926"/>
        <w:rPr>
          <w:lang w:val="es-419"/>
        </w:rPr>
      </w:pPr>
    </w:p>
    <w:p w14:paraId="11A83008" w14:textId="77777777" w:rsidR="00710F49" w:rsidRDefault="00710F49" w:rsidP="00717D7D">
      <w:pPr>
        <w:pStyle w:val="Grfico"/>
      </w:pPr>
    </w:p>
    <w:p w14:paraId="5A36A356" w14:textId="77777777" w:rsidR="00710F49" w:rsidRDefault="00710F49" w:rsidP="00717D7D">
      <w:pPr>
        <w:pStyle w:val="Grfico"/>
      </w:pPr>
    </w:p>
    <w:p w14:paraId="123DE70E" w14:textId="77777777" w:rsidR="00710F49" w:rsidRDefault="00710F49" w:rsidP="00717D7D">
      <w:pPr>
        <w:pStyle w:val="Grfico"/>
      </w:pPr>
    </w:p>
    <w:p w14:paraId="0459B9AC" w14:textId="77777777" w:rsidR="00710F49" w:rsidRDefault="00710F49" w:rsidP="00717D7D">
      <w:pPr>
        <w:pStyle w:val="Grfico"/>
      </w:pPr>
    </w:p>
    <w:p w14:paraId="5F174ECB" w14:textId="77777777" w:rsidR="00710F49" w:rsidRDefault="00710F49" w:rsidP="00717D7D">
      <w:pPr>
        <w:pStyle w:val="Grfico"/>
      </w:pPr>
    </w:p>
    <w:p w14:paraId="78ECC4BE" w14:textId="77777777" w:rsidR="00710F49" w:rsidRDefault="00710F49" w:rsidP="00717D7D">
      <w:pPr>
        <w:pStyle w:val="Grfico"/>
      </w:pPr>
    </w:p>
    <w:p w14:paraId="199CD3EE" w14:textId="77777777" w:rsidR="00710F49" w:rsidRDefault="00710F49" w:rsidP="00717D7D">
      <w:pPr>
        <w:pStyle w:val="Grfico"/>
      </w:pPr>
    </w:p>
    <w:p w14:paraId="7AE957D0" w14:textId="77777777" w:rsidR="00710F49" w:rsidRDefault="00710F49" w:rsidP="00717D7D">
      <w:pPr>
        <w:pStyle w:val="Grfico"/>
      </w:pPr>
    </w:p>
    <w:p w14:paraId="36E00C32" w14:textId="77777777" w:rsidR="00710F49" w:rsidRDefault="00710F49" w:rsidP="00717D7D">
      <w:pPr>
        <w:pStyle w:val="Grfico"/>
      </w:pPr>
    </w:p>
    <w:p w14:paraId="6993F88B" w14:textId="77777777" w:rsidR="00710F49" w:rsidRDefault="00710F49" w:rsidP="00717D7D">
      <w:pPr>
        <w:pStyle w:val="Grfico"/>
      </w:pPr>
    </w:p>
    <w:p w14:paraId="21F0FD19" w14:textId="77777777" w:rsidR="00710F49" w:rsidRDefault="00710F49" w:rsidP="00717D7D">
      <w:pPr>
        <w:pStyle w:val="Grfico"/>
      </w:pPr>
    </w:p>
    <w:p w14:paraId="35ED4447" w14:textId="77777777" w:rsidR="00710F49" w:rsidRDefault="00710F49" w:rsidP="00717D7D">
      <w:pPr>
        <w:pStyle w:val="Grfico"/>
      </w:pPr>
    </w:p>
    <w:p w14:paraId="2A3ECD9E" w14:textId="77777777" w:rsidR="00710F49" w:rsidRDefault="00710F49" w:rsidP="00717D7D">
      <w:pPr>
        <w:pStyle w:val="Grfico"/>
      </w:pPr>
    </w:p>
    <w:p w14:paraId="5AF6A4E8" w14:textId="77777777" w:rsidR="00710F49" w:rsidRDefault="00710F49" w:rsidP="00717D7D">
      <w:pPr>
        <w:pStyle w:val="Grfico"/>
      </w:pPr>
    </w:p>
    <w:p w14:paraId="6C10DAFB" w14:textId="77777777" w:rsidR="00710F49" w:rsidRDefault="00710F49" w:rsidP="00717D7D">
      <w:pPr>
        <w:pStyle w:val="Grfico"/>
      </w:pPr>
    </w:p>
    <w:p w14:paraId="703ED79B" w14:textId="77777777" w:rsidR="00710F49" w:rsidRDefault="00710F49" w:rsidP="00717D7D">
      <w:pPr>
        <w:pStyle w:val="Grfico"/>
      </w:pPr>
    </w:p>
    <w:p w14:paraId="449E8F71" w14:textId="77777777" w:rsidR="00710F49" w:rsidRDefault="00710F49" w:rsidP="00717D7D">
      <w:pPr>
        <w:pStyle w:val="Grfico"/>
      </w:pPr>
    </w:p>
    <w:p w14:paraId="58F889A4" w14:textId="4D4D9977" w:rsidR="00717D7D" w:rsidRPr="00C56EC9" w:rsidRDefault="00717D7D" w:rsidP="00717D7D">
      <w:pPr>
        <w:pStyle w:val="Grfico"/>
      </w:pPr>
      <w:r w:rsidRPr="00C56EC9">
        <w:lastRenderedPageBreak/>
        <w:t xml:space="preserve">Tabla </w:t>
      </w:r>
      <w:r w:rsidRPr="00C56EC9">
        <w:fldChar w:fldCharType="begin"/>
      </w:r>
      <w:r w:rsidRPr="00C56EC9">
        <w:instrText xml:space="preserve"> SEQ Tabla \* ARABIC </w:instrText>
      </w:r>
      <w:r w:rsidRPr="00C56EC9">
        <w:fldChar w:fldCharType="separate"/>
      </w:r>
      <w:r w:rsidR="00B24233">
        <w:rPr>
          <w:noProof/>
        </w:rPr>
        <w:t>3</w:t>
      </w:r>
      <w:r w:rsidRPr="00C56EC9">
        <w:fldChar w:fldCharType="end"/>
      </w:r>
      <w:r w:rsidRPr="00C56EC9">
        <w:t xml:space="preserve">. Afiliados de línea de base a 1 de </w:t>
      </w:r>
      <w:r w:rsidR="009D75AE">
        <w:t>enero</w:t>
      </w:r>
      <w:r w:rsidRPr="00C56EC9">
        <w:t xml:space="preserve"> de 2023 (</w:t>
      </w:r>
      <w:r w:rsidR="00981FEE" w:rsidRPr="00C56EC9">
        <w:t>SMP</w:t>
      </w:r>
      <w:r w:rsidRPr="00C56EC9">
        <w:t>)</w:t>
      </w:r>
    </w:p>
    <w:tbl>
      <w:tblPr>
        <w:tblW w:w="14300" w:type="dxa"/>
        <w:tblLook w:val="04A0" w:firstRow="1" w:lastRow="0" w:firstColumn="1" w:lastColumn="0" w:noHBand="0" w:noVBand="1"/>
      </w:tblPr>
      <w:tblGrid>
        <w:gridCol w:w="1300"/>
        <w:gridCol w:w="1153"/>
        <w:gridCol w:w="1353"/>
        <w:gridCol w:w="1624"/>
        <w:gridCol w:w="1323"/>
        <w:gridCol w:w="1318"/>
        <w:gridCol w:w="656"/>
        <w:gridCol w:w="1353"/>
        <w:gridCol w:w="1624"/>
        <w:gridCol w:w="1323"/>
        <w:gridCol w:w="1318"/>
      </w:tblGrid>
      <w:tr w:rsidR="00C01B60" w:rsidRPr="00C01B60" w14:paraId="2159AB99" w14:textId="77777777" w:rsidTr="00710F49">
        <w:trPr>
          <w:trHeight w:val="293"/>
          <w:tblHead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F709FE"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Edad</w:t>
            </w:r>
          </w:p>
        </w:tc>
        <w:tc>
          <w:tcPr>
            <w:tcW w:w="1300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C472B6D"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SMP</w:t>
            </w:r>
          </w:p>
        </w:tc>
      </w:tr>
      <w:tr w:rsidR="00C01B60" w:rsidRPr="00C01B60" w14:paraId="788DB58D" w14:textId="77777777" w:rsidTr="00710F49">
        <w:trPr>
          <w:trHeight w:val="293"/>
          <w:tblHeader/>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0818CC80" w14:textId="77777777" w:rsidR="00C01B60" w:rsidRPr="00C01B60" w:rsidRDefault="00C01B60" w:rsidP="00C01B60">
            <w:pPr>
              <w:spacing w:after="0" w:line="240" w:lineRule="auto"/>
              <w:jc w:val="left"/>
              <w:rPr>
                <w:rFonts w:eastAsia="Times New Roman" w:cs="Times New Roman"/>
                <w:b/>
                <w:bCs/>
                <w:color w:val="000000"/>
                <w:kern w:val="0"/>
                <w:sz w:val="16"/>
                <w:szCs w:val="16"/>
                <w:lang w:val="es-419" w:eastAsia="en-GB"/>
                <w14:ligatures w14:val="none"/>
              </w:rPr>
            </w:pPr>
          </w:p>
        </w:tc>
        <w:tc>
          <w:tcPr>
            <w:tcW w:w="6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A69FBA7"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Hombre</w:t>
            </w:r>
          </w:p>
        </w:tc>
        <w:tc>
          <w:tcPr>
            <w:tcW w:w="62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E81581"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Mujer</w:t>
            </w:r>
          </w:p>
        </w:tc>
      </w:tr>
      <w:tr w:rsidR="00C01B60" w:rsidRPr="00C01B60" w14:paraId="2FB66B20" w14:textId="77777777" w:rsidTr="00710F49">
        <w:trPr>
          <w:trHeight w:val="413"/>
          <w:tblHeader/>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6F7ACB32" w14:textId="77777777" w:rsidR="00C01B60" w:rsidRPr="00C01B60" w:rsidRDefault="00C01B60" w:rsidP="00C01B60">
            <w:pPr>
              <w:spacing w:after="0" w:line="240" w:lineRule="auto"/>
              <w:jc w:val="left"/>
              <w:rPr>
                <w:rFonts w:eastAsia="Times New Roman" w:cs="Times New Roman"/>
                <w:b/>
                <w:bCs/>
                <w:color w:val="000000"/>
                <w:kern w:val="0"/>
                <w:sz w:val="16"/>
                <w:szCs w:val="16"/>
                <w:lang w:val="es-419" w:eastAsia="en-GB"/>
                <w14:ligatures w14:val="none"/>
              </w:rPr>
            </w:pPr>
          </w:p>
        </w:tc>
        <w:tc>
          <w:tcPr>
            <w:tcW w:w="1153" w:type="dxa"/>
            <w:tcBorders>
              <w:top w:val="nil"/>
              <w:left w:val="nil"/>
              <w:bottom w:val="single" w:sz="4" w:space="0" w:color="auto"/>
              <w:right w:val="single" w:sz="4" w:space="0" w:color="auto"/>
            </w:tcBorders>
            <w:shd w:val="clear" w:color="auto" w:fill="auto"/>
            <w:noWrap/>
            <w:vAlign w:val="center"/>
            <w:hideMark/>
          </w:tcPr>
          <w:p w14:paraId="54D2296F"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No.</w:t>
            </w:r>
          </w:p>
        </w:tc>
        <w:tc>
          <w:tcPr>
            <w:tcW w:w="1353" w:type="dxa"/>
            <w:tcBorders>
              <w:top w:val="nil"/>
              <w:left w:val="nil"/>
              <w:bottom w:val="single" w:sz="4" w:space="0" w:color="auto"/>
              <w:right w:val="single" w:sz="4" w:space="0" w:color="auto"/>
            </w:tcBorders>
            <w:shd w:val="clear" w:color="auto" w:fill="auto"/>
            <w:noWrap/>
            <w:vAlign w:val="center"/>
            <w:hideMark/>
          </w:tcPr>
          <w:p w14:paraId="1D8C734C"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 xml:space="preserve">Salario </w:t>
            </w:r>
            <w:proofErr w:type="spellStart"/>
            <w:r w:rsidRPr="00C01B60">
              <w:rPr>
                <w:rFonts w:eastAsia="Times New Roman" w:cs="Times New Roman"/>
                <w:b/>
                <w:bCs/>
                <w:color w:val="000000"/>
                <w:kern w:val="0"/>
                <w:sz w:val="16"/>
                <w:szCs w:val="16"/>
                <w:lang w:val="es-419" w:eastAsia="en-GB"/>
                <w14:ligatures w14:val="none"/>
              </w:rPr>
              <w:t>prom</w:t>
            </w:r>
            <w:proofErr w:type="spellEnd"/>
            <w:r w:rsidRPr="00C01B60">
              <w:rPr>
                <w:rFonts w:eastAsia="Times New Roman" w:cs="Times New Roman"/>
                <w:b/>
                <w:bCs/>
                <w:color w:val="000000"/>
                <w:kern w:val="0"/>
                <w:sz w:val="16"/>
                <w:szCs w:val="16"/>
                <w:lang w:val="es-419" w:eastAsia="en-GB"/>
                <w14:ligatures w14:val="none"/>
              </w:rPr>
              <w:t>.</w:t>
            </w:r>
          </w:p>
        </w:tc>
        <w:tc>
          <w:tcPr>
            <w:tcW w:w="1624" w:type="dxa"/>
            <w:tcBorders>
              <w:top w:val="nil"/>
              <w:left w:val="nil"/>
              <w:bottom w:val="single" w:sz="4" w:space="0" w:color="auto"/>
              <w:right w:val="single" w:sz="4" w:space="0" w:color="auto"/>
            </w:tcBorders>
            <w:shd w:val="clear" w:color="auto" w:fill="auto"/>
            <w:noWrap/>
            <w:vAlign w:val="center"/>
            <w:hideMark/>
          </w:tcPr>
          <w:p w14:paraId="302FFAA2"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Meses cotizados</w:t>
            </w:r>
          </w:p>
        </w:tc>
        <w:tc>
          <w:tcPr>
            <w:tcW w:w="1323" w:type="dxa"/>
            <w:tcBorders>
              <w:top w:val="nil"/>
              <w:left w:val="nil"/>
              <w:bottom w:val="single" w:sz="4" w:space="0" w:color="auto"/>
              <w:right w:val="single" w:sz="4" w:space="0" w:color="auto"/>
            </w:tcBorders>
            <w:shd w:val="clear" w:color="auto" w:fill="auto"/>
            <w:noWrap/>
            <w:vAlign w:val="center"/>
            <w:hideMark/>
          </w:tcPr>
          <w:p w14:paraId="3BAEF264"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Edad entrada</w:t>
            </w:r>
          </w:p>
        </w:tc>
        <w:tc>
          <w:tcPr>
            <w:tcW w:w="1318" w:type="dxa"/>
            <w:tcBorders>
              <w:top w:val="nil"/>
              <w:left w:val="nil"/>
              <w:bottom w:val="single" w:sz="4" w:space="0" w:color="auto"/>
              <w:right w:val="single" w:sz="4" w:space="0" w:color="auto"/>
            </w:tcBorders>
            <w:shd w:val="clear" w:color="auto" w:fill="auto"/>
            <w:vAlign w:val="center"/>
            <w:hideMark/>
          </w:tcPr>
          <w:p w14:paraId="4195C27D"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Valor nocional de aportes al 4%</w:t>
            </w:r>
          </w:p>
        </w:tc>
        <w:tc>
          <w:tcPr>
            <w:tcW w:w="611" w:type="dxa"/>
            <w:tcBorders>
              <w:top w:val="nil"/>
              <w:left w:val="nil"/>
              <w:bottom w:val="single" w:sz="4" w:space="0" w:color="auto"/>
              <w:right w:val="single" w:sz="4" w:space="0" w:color="auto"/>
            </w:tcBorders>
            <w:shd w:val="clear" w:color="auto" w:fill="auto"/>
            <w:noWrap/>
            <w:vAlign w:val="center"/>
            <w:hideMark/>
          </w:tcPr>
          <w:p w14:paraId="29531F49"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No.</w:t>
            </w:r>
          </w:p>
        </w:tc>
        <w:tc>
          <w:tcPr>
            <w:tcW w:w="1353" w:type="dxa"/>
            <w:tcBorders>
              <w:top w:val="nil"/>
              <w:left w:val="nil"/>
              <w:bottom w:val="single" w:sz="4" w:space="0" w:color="auto"/>
              <w:right w:val="single" w:sz="4" w:space="0" w:color="auto"/>
            </w:tcBorders>
            <w:shd w:val="clear" w:color="auto" w:fill="auto"/>
            <w:noWrap/>
            <w:vAlign w:val="center"/>
            <w:hideMark/>
          </w:tcPr>
          <w:p w14:paraId="74E4003E"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 xml:space="preserve">Salario </w:t>
            </w:r>
            <w:proofErr w:type="spellStart"/>
            <w:r w:rsidRPr="00C01B60">
              <w:rPr>
                <w:rFonts w:eastAsia="Times New Roman" w:cs="Times New Roman"/>
                <w:b/>
                <w:bCs/>
                <w:color w:val="000000"/>
                <w:kern w:val="0"/>
                <w:sz w:val="16"/>
                <w:szCs w:val="16"/>
                <w:lang w:val="es-419" w:eastAsia="en-GB"/>
                <w14:ligatures w14:val="none"/>
              </w:rPr>
              <w:t>prom</w:t>
            </w:r>
            <w:proofErr w:type="spellEnd"/>
            <w:r w:rsidRPr="00C01B60">
              <w:rPr>
                <w:rFonts w:eastAsia="Times New Roman" w:cs="Times New Roman"/>
                <w:b/>
                <w:bCs/>
                <w:color w:val="000000"/>
                <w:kern w:val="0"/>
                <w:sz w:val="16"/>
                <w:szCs w:val="16"/>
                <w:lang w:val="es-419" w:eastAsia="en-GB"/>
                <w14:ligatures w14:val="none"/>
              </w:rPr>
              <w:t>.</w:t>
            </w:r>
          </w:p>
        </w:tc>
        <w:tc>
          <w:tcPr>
            <w:tcW w:w="1624" w:type="dxa"/>
            <w:tcBorders>
              <w:top w:val="nil"/>
              <w:left w:val="nil"/>
              <w:bottom w:val="single" w:sz="4" w:space="0" w:color="auto"/>
              <w:right w:val="single" w:sz="4" w:space="0" w:color="auto"/>
            </w:tcBorders>
            <w:shd w:val="clear" w:color="auto" w:fill="auto"/>
            <w:noWrap/>
            <w:vAlign w:val="center"/>
            <w:hideMark/>
          </w:tcPr>
          <w:p w14:paraId="69EA4AB9"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Meses cotizados</w:t>
            </w:r>
          </w:p>
        </w:tc>
        <w:tc>
          <w:tcPr>
            <w:tcW w:w="1323" w:type="dxa"/>
            <w:tcBorders>
              <w:top w:val="nil"/>
              <w:left w:val="nil"/>
              <w:bottom w:val="single" w:sz="4" w:space="0" w:color="auto"/>
              <w:right w:val="single" w:sz="4" w:space="0" w:color="auto"/>
            </w:tcBorders>
            <w:shd w:val="clear" w:color="auto" w:fill="auto"/>
            <w:noWrap/>
            <w:vAlign w:val="center"/>
            <w:hideMark/>
          </w:tcPr>
          <w:p w14:paraId="5C419351"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Edad entrada</w:t>
            </w:r>
          </w:p>
        </w:tc>
        <w:tc>
          <w:tcPr>
            <w:tcW w:w="1318" w:type="dxa"/>
            <w:tcBorders>
              <w:top w:val="nil"/>
              <w:left w:val="nil"/>
              <w:bottom w:val="single" w:sz="4" w:space="0" w:color="auto"/>
              <w:right w:val="single" w:sz="4" w:space="0" w:color="auto"/>
            </w:tcBorders>
            <w:shd w:val="clear" w:color="auto" w:fill="auto"/>
            <w:vAlign w:val="center"/>
            <w:hideMark/>
          </w:tcPr>
          <w:p w14:paraId="5ABD6AC8" w14:textId="77777777" w:rsidR="00C01B60" w:rsidRPr="00C01B60" w:rsidRDefault="00C01B60" w:rsidP="00C01B60">
            <w:pPr>
              <w:spacing w:after="0" w:line="240" w:lineRule="auto"/>
              <w:jc w:val="center"/>
              <w:rPr>
                <w:rFonts w:eastAsia="Times New Roman" w:cs="Times New Roman"/>
                <w:b/>
                <w:bCs/>
                <w:color w:val="000000"/>
                <w:kern w:val="0"/>
                <w:sz w:val="16"/>
                <w:szCs w:val="16"/>
                <w:lang w:val="es-419" w:eastAsia="en-GB"/>
                <w14:ligatures w14:val="none"/>
              </w:rPr>
            </w:pPr>
            <w:r w:rsidRPr="00C01B60">
              <w:rPr>
                <w:rFonts w:eastAsia="Times New Roman" w:cs="Times New Roman"/>
                <w:b/>
                <w:bCs/>
                <w:color w:val="000000"/>
                <w:kern w:val="0"/>
                <w:sz w:val="16"/>
                <w:szCs w:val="16"/>
                <w:lang w:val="es-419" w:eastAsia="en-GB"/>
                <w14:ligatures w14:val="none"/>
              </w:rPr>
              <w:t>Valor nocional de aportes al 4%</w:t>
            </w:r>
          </w:p>
        </w:tc>
      </w:tr>
      <w:tr w:rsidR="00C01B60" w:rsidRPr="00C01B60" w14:paraId="678E7C7D"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3876C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w:t>
            </w:r>
          </w:p>
        </w:tc>
        <w:tc>
          <w:tcPr>
            <w:tcW w:w="1153" w:type="dxa"/>
            <w:tcBorders>
              <w:top w:val="nil"/>
              <w:left w:val="nil"/>
              <w:bottom w:val="single" w:sz="4" w:space="0" w:color="auto"/>
              <w:right w:val="single" w:sz="4" w:space="0" w:color="auto"/>
            </w:tcBorders>
            <w:shd w:val="clear" w:color="auto" w:fill="auto"/>
            <w:noWrap/>
            <w:vAlign w:val="center"/>
            <w:hideMark/>
          </w:tcPr>
          <w:p w14:paraId="0530929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38.38</w:t>
            </w:r>
          </w:p>
        </w:tc>
        <w:tc>
          <w:tcPr>
            <w:tcW w:w="1353" w:type="dxa"/>
            <w:tcBorders>
              <w:top w:val="nil"/>
              <w:left w:val="nil"/>
              <w:bottom w:val="single" w:sz="4" w:space="0" w:color="auto"/>
              <w:right w:val="single" w:sz="4" w:space="0" w:color="auto"/>
            </w:tcBorders>
            <w:shd w:val="clear" w:color="auto" w:fill="auto"/>
            <w:noWrap/>
            <w:vAlign w:val="center"/>
            <w:hideMark/>
          </w:tcPr>
          <w:p w14:paraId="3373B75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724</w:t>
            </w:r>
          </w:p>
        </w:tc>
        <w:tc>
          <w:tcPr>
            <w:tcW w:w="1624" w:type="dxa"/>
            <w:tcBorders>
              <w:top w:val="nil"/>
              <w:left w:val="nil"/>
              <w:bottom w:val="single" w:sz="4" w:space="0" w:color="auto"/>
              <w:right w:val="single" w:sz="4" w:space="0" w:color="auto"/>
            </w:tcBorders>
            <w:shd w:val="clear" w:color="auto" w:fill="auto"/>
            <w:noWrap/>
            <w:vAlign w:val="center"/>
            <w:hideMark/>
          </w:tcPr>
          <w:p w14:paraId="794C74D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11.09</w:t>
            </w:r>
          </w:p>
        </w:tc>
        <w:tc>
          <w:tcPr>
            <w:tcW w:w="1323" w:type="dxa"/>
            <w:tcBorders>
              <w:top w:val="nil"/>
              <w:left w:val="nil"/>
              <w:bottom w:val="single" w:sz="4" w:space="0" w:color="auto"/>
              <w:right w:val="single" w:sz="4" w:space="0" w:color="auto"/>
            </w:tcBorders>
            <w:shd w:val="clear" w:color="auto" w:fill="auto"/>
            <w:noWrap/>
            <w:vAlign w:val="center"/>
            <w:hideMark/>
          </w:tcPr>
          <w:p w14:paraId="052A605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w:t>
            </w:r>
          </w:p>
        </w:tc>
        <w:tc>
          <w:tcPr>
            <w:tcW w:w="1318" w:type="dxa"/>
            <w:tcBorders>
              <w:top w:val="nil"/>
              <w:left w:val="nil"/>
              <w:bottom w:val="single" w:sz="4" w:space="0" w:color="auto"/>
              <w:right w:val="single" w:sz="4" w:space="0" w:color="auto"/>
            </w:tcBorders>
            <w:shd w:val="clear" w:color="auto" w:fill="auto"/>
            <w:noWrap/>
            <w:vAlign w:val="center"/>
            <w:hideMark/>
          </w:tcPr>
          <w:p w14:paraId="45BE274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1666</w:t>
            </w:r>
          </w:p>
        </w:tc>
        <w:tc>
          <w:tcPr>
            <w:tcW w:w="611" w:type="dxa"/>
            <w:tcBorders>
              <w:top w:val="nil"/>
              <w:left w:val="nil"/>
              <w:bottom w:val="single" w:sz="4" w:space="0" w:color="auto"/>
              <w:right w:val="single" w:sz="4" w:space="0" w:color="auto"/>
            </w:tcBorders>
            <w:shd w:val="clear" w:color="auto" w:fill="auto"/>
            <w:noWrap/>
            <w:vAlign w:val="center"/>
            <w:hideMark/>
          </w:tcPr>
          <w:p w14:paraId="2AF64B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38.38</w:t>
            </w:r>
          </w:p>
        </w:tc>
        <w:tc>
          <w:tcPr>
            <w:tcW w:w="1353" w:type="dxa"/>
            <w:tcBorders>
              <w:top w:val="nil"/>
              <w:left w:val="nil"/>
              <w:bottom w:val="single" w:sz="4" w:space="0" w:color="auto"/>
              <w:right w:val="single" w:sz="4" w:space="0" w:color="auto"/>
            </w:tcBorders>
            <w:shd w:val="clear" w:color="auto" w:fill="auto"/>
            <w:noWrap/>
            <w:vAlign w:val="center"/>
            <w:hideMark/>
          </w:tcPr>
          <w:p w14:paraId="45BF273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724</w:t>
            </w:r>
          </w:p>
        </w:tc>
        <w:tc>
          <w:tcPr>
            <w:tcW w:w="1624" w:type="dxa"/>
            <w:tcBorders>
              <w:top w:val="nil"/>
              <w:left w:val="nil"/>
              <w:bottom w:val="single" w:sz="4" w:space="0" w:color="auto"/>
              <w:right w:val="single" w:sz="4" w:space="0" w:color="auto"/>
            </w:tcBorders>
            <w:shd w:val="clear" w:color="auto" w:fill="auto"/>
            <w:noWrap/>
            <w:vAlign w:val="center"/>
            <w:hideMark/>
          </w:tcPr>
          <w:p w14:paraId="5151364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11.09</w:t>
            </w:r>
          </w:p>
        </w:tc>
        <w:tc>
          <w:tcPr>
            <w:tcW w:w="1323" w:type="dxa"/>
            <w:tcBorders>
              <w:top w:val="nil"/>
              <w:left w:val="nil"/>
              <w:bottom w:val="single" w:sz="4" w:space="0" w:color="auto"/>
              <w:right w:val="single" w:sz="4" w:space="0" w:color="auto"/>
            </w:tcBorders>
            <w:shd w:val="clear" w:color="auto" w:fill="auto"/>
            <w:noWrap/>
            <w:vAlign w:val="center"/>
            <w:hideMark/>
          </w:tcPr>
          <w:p w14:paraId="339B7FC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w:t>
            </w:r>
          </w:p>
        </w:tc>
        <w:tc>
          <w:tcPr>
            <w:tcW w:w="1318" w:type="dxa"/>
            <w:tcBorders>
              <w:top w:val="nil"/>
              <w:left w:val="nil"/>
              <w:bottom w:val="single" w:sz="4" w:space="0" w:color="auto"/>
              <w:right w:val="single" w:sz="4" w:space="0" w:color="auto"/>
            </w:tcBorders>
            <w:shd w:val="clear" w:color="auto" w:fill="auto"/>
            <w:noWrap/>
            <w:vAlign w:val="center"/>
            <w:hideMark/>
          </w:tcPr>
          <w:p w14:paraId="6F81F48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1,666</w:t>
            </w:r>
          </w:p>
        </w:tc>
      </w:tr>
      <w:tr w:rsidR="00C01B60" w:rsidRPr="00C01B60" w14:paraId="371B0693"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04AB01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w:t>
            </w:r>
          </w:p>
        </w:tc>
        <w:tc>
          <w:tcPr>
            <w:tcW w:w="1153" w:type="dxa"/>
            <w:tcBorders>
              <w:top w:val="nil"/>
              <w:left w:val="nil"/>
              <w:bottom w:val="single" w:sz="4" w:space="0" w:color="auto"/>
              <w:right w:val="single" w:sz="4" w:space="0" w:color="auto"/>
            </w:tcBorders>
            <w:shd w:val="clear" w:color="auto" w:fill="auto"/>
            <w:noWrap/>
            <w:vAlign w:val="center"/>
            <w:hideMark/>
          </w:tcPr>
          <w:p w14:paraId="2C520C5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285</w:t>
            </w:r>
          </w:p>
        </w:tc>
        <w:tc>
          <w:tcPr>
            <w:tcW w:w="1353" w:type="dxa"/>
            <w:tcBorders>
              <w:top w:val="nil"/>
              <w:left w:val="nil"/>
              <w:bottom w:val="single" w:sz="4" w:space="0" w:color="auto"/>
              <w:right w:val="single" w:sz="4" w:space="0" w:color="auto"/>
            </w:tcBorders>
            <w:shd w:val="clear" w:color="auto" w:fill="auto"/>
            <w:noWrap/>
            <w:vAlign w:val="center"/>
            <w:hideMark/>
          </w:tcPr>
          <w:p w14:paraId="62AF4E7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746</w:t>
            </w:r>
          </w:p>
        </w:tc>
        <w:tc>
          <w:tcPr>
            <w:tcW w:w="1624" w:type="dxa"/>
            <w:tcBorders>
              <w:top w:val="nil"/>
              <w:left w:val="nil"/>
              <w:bottom w:val="single" w:sz="4" w:space="0" w:color="auto"/>
              <w:right w:val="single" w:sz="4" w:space="0" w:color="auto"/>
            </w:tcBorders>
            <w:shd w:val="clear" w:color="auto" w:fill="auto"/>
            <w:noWrap/>
            <w:vAlign w:val="center"/>
            <w:hideMark/>
          </w:tcPr>
          <w:p w14:paraId="7A6269F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12.32</w:t>
            </w:r>
          </w:p>
        </w:tc>
        <w:tc>
          <w:tcPr>
            <w:tcW w:w="1323" w:type="dxa"/>
            <w:tcBorders>
              <w:top w:val="nil"/>
              <w:left w:val="nil"/>
              <w:bottom w:val="single" w:sz="4" w:space="0" w:color="auto"/>
              <w:right w:val="single" w:sz="4" w:space="0" w:color="auto"/>
            </w:tcBorders>
            <w:shd w:val="clear" w:color="auto" w:fill="auto"/>
            <w:noWrap/>
            <w:vAlign w:val="center"/>
            <w:hideMark/>
          </w:tcPr>
          <w:p w14:paraId="2C89470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w:t>
            </w:r>
          </w:p>
        </w:tc>
        <w:tc>
          <w:tcPr>
            <w:tcW w:w="1318" w:type="dxa"/>
            <w:tcBorders>
              <w:top w:val="nil"/>
              <w:left w:val="nil"/>
              <w:bottom w:val="single" w:sz="4" w:space="0" w:color="auto"/>
              <w:right w:val="single" w:sz="4" w:space="0" w:color="auto"/>
            </w:tcBorders>
            <w:shd w:val="clear" w:color="auto" w:fill="auto"/>
            <w:noWrap/>
            <w:vAlign w:val="center"/>
            <w:hideMark/>
          </w:tcPr>
          <w:p w14:paraId="2975FCC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1924</w:t>
            </w:r>
          </w:p>
        </w:tc>
        <w:tc>
          <w:tcPr>
            <w:tcW w:w="611" w:type="dxa"/>
            <w:tcBorders>
              <w:top w:val="nil"/>
              <w:left w:val="nil"/>
              <w:bottom w:val="single" w:sz="4" w:space="0" w:color="auto"/>
              <w:right w:val="single" w:sz="4" w:space="0" w:color="auto"/>
            </w:tcBorders>
            <w:shd w:val="clear" w:color="auto" w:fill="auto"/>
            <w:noWrap/>
            <w:vAlign w:val="center"/>
            <w:hideMark/>
          </w:tcPr>
          <w:p w14:paraId="2E7045F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285</w:t>
            </w:r>
          </w:p>
        </w:tc>
        <w:tc>
          <w:tcPr>
            <w:tcW w:w="1353" w:type="dxa"/>
            <w:tcBorders>
              <w:top w:val="nil"/>
              <w:left w:val="nil"/>
              <w:bottom w:val="single" w:sz="4" w:space="0" w:color="auto"/>
              <w:right w:val="single" w:sz="4" w:space="0" w:color="auto"/>
            </w:tcBorders>
            <w:shd w:val="clear" w:color="auto" w:fill="auto"/>
            <w:noWrap/>
            <w:vAlign w:val="center"/>
            <w:hideMark/>
          </w:tcPr>
          <w:p w14:paraId="2438505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746</w:t>
            </w:r>
          </w:p>
        </w:tc>
        <w:tc>
          <w:tcPr>
            <w:tcW w:w="1624" w:type="dxa"/>
            <w:tcBorders>
              <w:top w:val="nil"/>
              <w:left w:val="nil"/>
              <w:bottom w:val="single" w:sz="4" w:space="0" w:color="auto"/>
              <w:right w:val="single" w:sz="4" w:space="0" w:color="auto"/>
            </w:tcBorders>
            <w:shd w:val="clear" w:color="auto" w:fill="auto"/>
            <w:noWrap/>
            <w:vAlign w:val="center"/>
            <w:hideMark/>
          </w:tcPr>
          <w:p w14:paraId="1F6E39D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12.32</w:t>
            </w:r>
          </w:p>
        </w:tc>
        <w:tc>
          <w:tcPr>
            <w:tcW w:w="1323" w:type="dxa"/>
            <w:tcBorders>
              <w:top w:val="nil"/>
              <w:left w:val="nil"/>
              <w:bottom w:val="single" w:sz="4" w:space="0" w:color="auto"/>
              <w:right w:val="single" w:sz="4" w:space="0" w:color="auto"/>
            </w:tcBorders>
            <w:shd w:val="clear" w:color="auto" w:fill="auto"/>
            <w:noWrap/>
            <w:vAlign w:val="center"/>
            <w:hideMark/>
          </w:tcPr>
          <w:p w14:paraId="62AE0E6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w:t>
            </w:r>
          </w:p>
        </w:tc>
        <w:tc>
          <w:tcPr>
            <w:tcW w:w="1318" w:type="dxa"/>
            <w:tcBorders>
              <w:top w:val="nil"/>
              <w:left w:val="nil"/>
              <w:bottom w:val="single" w:sz="4" w:space="0" w:color="auto"/>
              <w:right w:val="single" w:sz="4" w:space="0" w:color="auto"/>
            </w:tcBorders>
            <w:shd w:val="clear" w:color="auto" w:fill="auto"/>
            <w:noWrap/>
            <w:vAlign w:val="center"/>
            <w:hideMark/>
          </w:tcPr>
          <w:p w14:paraId="4A6C483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1,924</w:t>
            </w:r>
          </w:p>
        </w:tc>
      </w:tr>
      <w:tr w:rsidR="00C01B60" w:rsidRPr="00C01B60" w14:paraId="449A8E50"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2D80FC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w:t>
            </w:r>
          </w:p>
        </w:tc>
        <w:tc>
          <w:tcPr>
            <w:tcW w:w="1153" w:type="dxa"/>
            <w:tcBorders>
              <w:top w:val="nil"/>
              <w:left w:val="nil"/>
              <w:bottom w:val="single" w:sz="4" w:space="0" w:color="auto"/>
              <w:right w:val="single" w:sz="4" w:space="0" w:color="auto"/>
            </w:tcBorders>
            <w:shd w:val="clear" w:color="auto" w:fill="auto"/>
            <w:noWrap/>
            <w:vAlign w:val="center"/>
            <w:hideMark/>
          </w:tcPr>
          <w:p w14:paraId="55E1AE4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950</w:t>
            </w:r>
          </w:p>
        </w:tc>
        <w:tc>
          <w:tcPr>
            <w:tcW w:w="1353" w:type="dxa"/>
            <w:tcBorders>
              <w:top w:val="nil"/>
              <w:left w:val="nil"/>
              <w:bottom w:val="single" w:sz="4" w:space="0" w:color="auto"/>
              <w:right w:val="single" w:sz="4" w:space="0" w:color="auto"/>
            </w:tcBorders>
            <w:shd w:val="clear" w:color="auto" w:fill="auto"/>
            <w:noWrap/>
            <w:vAlign w:val="center"/>
            <w:hideMark/>
          </w:tcPr>
          <w:p w14:paraId="4DE82FC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769</w:t>
            </w:r>
          </w:p>
        </w:tc>
        <w:tc>
          <w:tcPr>
            <w:tcW w:w="1624" w:type="dxa"/>
            <w:tcBorders>
              <w:top w:val="nil"/>
              <w:left w:val="nil"/>
              <w:bottom w:val="single" w:sz="4" w:space="0" w:color="auto"/>
              <w:right w:val="single" w:sz="4" w:space="0" w:color="auto"/>
            </w:tcBorders>
            <w:shd w:val="clear" w:color="auto" w:fill="auto"/>
            <w:noWrap/>
            <w:vAlign w:val="center"/>
            <w:hideMark/>
          </w:tcPr>
          <w:p w14:paraId="5F7E293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13.69</w:t>
            </w:r>
          </w:p>
        </w:tc>
        <w:tc>
          <w:tcPr>
            <w:tcW w:w="1323" w:type="dxa"/>
            <w:tcBorders>
              <w:top w:val="nil"/>
              <w:left w:val="nil"/>
              <w:bottom w:val="single" w:sz="4" w:space="0" w:color="auto"/>
              <w:right w:val="single" w:sz="4" w:space="0" w:color="auto"/>
            </w:tcBorders>
            <w:shd w:val="clear" w:color="auto" w:fill="auto"/>
            <w:noWrap/>
            <w:vAlign w:val="center"/>
            <w:hideMark/>
          </w:tcPr>
          <w:p w14:paraId="060095E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w:t>
            </w:r>
          </w:p>
        </w:tc>
        <w:tc>
          <w:tcPr>
            <w:tcW w:w="1318" w:type="dxa"/>
            <w:tcBorders>
              <w:top w:val="nil"/>
              <w:left w:val="nil"/>
              <w:bottom w:val="single" w:sz="4" w:space="0" w:color="auto"/>
              <w:right w:val="single" w:sz="4" w:space="0" w:color="auto"/>
            </w:tcBorders>
            <w:shd w:val="clear" w:color="auto" w:fill="auto"/>
            <w:noWrap/>
            <w:vAlign w:val="center"/>
            <w:hideMark/>
          </w:tcPr>
          <w:p w14:paraId="5F836DB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2234</w:t>
            </w:r>
          </w:p>
        </w:tc>
        <w:tc>
          <w:tcPr>
            <w:tcW w:w="611" w:type="dxa"/>
            <w:tcBorders>
              <w:top w:val="nil"/>
              <w:left w:val="nil"/>
              <w:bottom w:val="single" w:sz="4" w:space="0" w:color="auto"/>
              <w:right w:val="single" w:sz="4" w:space="0" w:color="auto"/>
            </w:tcBorders>
            <w:shd w:val="clear" w:color="auto" w:fill="auto"/>
            <w:noWrap/>
            <w:vAlign w:val="center"/>
            <w:hideMark/>
          </w:tcPr>
          <w:p w14:paraId="5016266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950</w:t>
            </w:r>
          </w:p>
        </w:tc>
        <w:tc>
          <w:tcPr>
            <w:tcW w:w="1353" w:type="dxa"/>
            <w:tcBorders>
              <w:top w:val="nil"/>
              <w:left w:val="nil"/>
              <w:bottom w:val="single" w:sz="4" w:space="0" w:color="auto"/>
              <w:right w:val="single" w:sz="4" w:space="0" w:color="auto"/>
            </w:tcBorders>
            <w:shd w:val="clear" w:color="auto" w:fill="auto"/>
            <w:noWrap/>
            <w:vAlign w:val="center"/>
            <w:hideMark/>
          </w:tcPr>
          <w:p w14:paraId="7CCB49F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769</w:t>
            </w:r>
          </w:p>
        </w:tc>
        <w:tc>
          <w:tcPr>
            <w:tcW w:w="1624" w:type="dxa"/>
            <w:tcBorders>
              <w:top w:val="nil"/>
              <w:left w:val="nil"/>
              <w:bottom w:val="single" w:sz="4" w:space="0" w:color="auto"/>
              <w:right w:val="single" w:sz="4" w:space="0" w:color="auto"/>
            </w:tcBorders>
            <w:shd w:val="clear" w:color="auto" w:fill="auto"/>
            <w:noWrap/>
            <w:vAlign w:val="center"/>
            <w:hideMark/>
          </w:tcPr>
          <w:p w14:paraId="1DE0F30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13.69</w:t>
            </w:r>
          </w:p>
        </w:tc>
        <w:tc>
          <w:tcPr>
            <w:tcW w:w="1323" w:type="dxa"/>
            <w:tcBorders>
              <w:top w:val="nil"/>
              <w:left w:val="nil"/>
              <w:bottom w:val="single" w:sz="4" w:space="0" w:color="auto"/>
              <w:right w:val="single" w:sz="4" w:space="0" w:color="auto"/>
            </w:tcBorders>
            <w:shd w:val="clear" w:color="auto" w:fill="auto"/>
            <w:noWrap/>
            <w:vAlign w:val="center"/>
            <w:hideMark/>
          </w:tcPr>
          <w:p w14:paraId="59D72D6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w:t>
            </w:r>
          </w:p>
        </w:tc>
        <w:tc>
          <w:tcPr>
            <w:tcW w:w="1318" w:type="dxa"/>
            <w:tcBorders>
              <w:top w:val="nil"/>
              <w:left w:val="nil"/>
              <w:bottom w:val="single" w:sz="4" w:space="0" w:color="auto"/>
              <w:right w:val="single" w:sz="4" w:space="0" w:color="auto"/>
            </w:tcBorders>
            <w:shd w:val="clear" w:color="auto" w:fill="auto"/>
            <w:noWrap/>
            <w:vAlign w:val="center"/>
            <w:hideMark/>
          </w:tcPr>
          <w:p w14:paraId="2EF6940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2,233</w:t>
            </w:r>
          </w:p>
        </w:tc>
      </w:tr>
      <w:tr w:rsidR="00C01B60" w:rsidRPr="00C01B60" w14:paraId="19055FB1"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85279D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w:t>
            </w:r>
          </w:p>
        </w:tc>
        <w:tc>
          <w:tcPr>
            <w:tcW w:w="1153" w:type="dxa"/>
            <w:tcBorders>
              <w:top w:val="nil"/>
              <w:left w:val="nil"/>
              <w:bottom w:val="single" w:sz="4" w:space="0" w:color="auto"/>
              <w:right w:val="single" w:sz="4" w:space="0" w:color="auto"/>
            </w:tcBorders>
            <w:shd w:val="clear" w:color="auto" w:fill="auto"/>
            <w:noWrap/>
            <w:vAlign w:val="center"/>
            <w:hideMark/>
          </w:tcPr>
          <w:p w14:paraId="0F19F53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7,600</w:t>
            </w:r>
          </w:p>
        </w:tc>
        <w:tc>
          <w:tcPr>
            <w:tcW w:w="1353" w:type="dxa"/>
            <w:tcBorders>
              <w:top w:val="nil"/>
              <w:left w:val="nil"/>
              <w:bottom w:val="single" w:sz="4" w:space="0" w:color="auto"/>
              <w:right w:val="single" w:sz="4" w:space="0" w:color="auto"/>
            </w:tcBorders>
            <w:shd w:val="clear" w:color="auto" w:fill="auto"/>
            <w:noWrap/>
            <w:vAlign w:val="center"/>
            <w:hideMark/>
          </w:tcPr>
          <w:p w14:paraId="71E1286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793</w:t>
            </w:r>
          </w:p>
        </w:tc>
        <w:tc>
          <w:tcPr>
            <w:tcW w:w="1624" w:type="dxa"/>
            <w:tcBorders>
              <w:top w:val="nil"/>
              <w:left w:val="nil"/>
              <w:bottom w:val="single" w:sz="4" w:space="0" w:color="auto"/>
              <w:right w:val="single" w:sz="4" w:space="0" w:color="auto"/>
            </w:tcBorders>
            <w:shd w:val="clear" w:color="auto" w:fill="auto"/>
            <w:noWrap/>
            <w:vAlign w:val="center"/>
            <w:hideMark/>
          </w:tcPr>
          <w:p w14:paraId="65D7E70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15.21</w:t>
            </w:r>
          </w:p>
        </w:tc>
        <w:tc>
          <w:tcPr>
            <w:tcW w:w="1323" w:type="dxa"/>
            <w:tcBorders>
              <w:top w:val="nil"/>
              <w:left w:val="nil"/>
              <w:bottom w:val="single" w:sz="4" w:space="0" w:color="auto"/>
              <w:right w:val="single" w:sz="4" w:space="0" w:color="auto"/>
            </w:tcBorders>
            <w:shd w:val="clear" w:color="auto" w:fill="auto"/>
            <w:noWrap/>
            <w:vAlign w:val="center"/>
            <w:hideMark/>
          </w:tcPr>
          <w:p w14:paraId="26C81D2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w:t>
            </w:r>
          </w:p>
        </w:tc>
        <w:tc>
          <w:tcPr>
            <w:tcW w:w="1318" w:type="dxa"/>
            <w:tcBorders>
              <w:top w:val="nil"/>
              <w:left w:val="nil"/>
              <w:bottom w:val="single" w:sz="4" w:space="0" w:color="auto"/>
              <w:right w:val="single" w:sz="4" w:space="0" w:color="auto"/>
            </w:tcBorders>
            <w:shd w:val="clear" w:color="auto" w:fill="auto"/>
            <w:noWrap/>
            <w:vAlign w:val="center"/>
            <w:hideMark/>
          </w:tcPr>
          <w:p w14:paraId="6613B19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2491</w:t>
            </w:r>
          </w:p>
        </w:tc>
        <w:tc>
          <w:tcPr>
            <w:tcW w:w="611" w:type="dxa"/>
            <w:tcBorders>
              <w:top w:val="nil"/>
              <w:left w:val="nil"/>
              <w:bottom w:val="single" w:sz="4" w:space="0" w:color="auto"/>
              <w:right w:val="single" w:sz="4" w:space="0" w:color="auto"/>
            </w:tcBorders>
            <w:shd w:val="clear" w:color="auto" w:fill="auto"/>
            <w:noWrap/>
            <w:vAlign w:val="center"/>
            <w:hideMark/>
          </w:tcPr>
          <w:p w14:paraId="1C91E0A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7,600</w:t>
            </w:r>
          </w:p>
        </w:tc>
        <w:tc>
          <w:tcPr>
            <w:tcW w:w="1353" w:type="dxa"/>
            <w:tcBorders>
              <w:top w:val="nil"/>
              <w:left w:val="nil"/>
              <w:bottom w:val="single" w:sz="4" w:space="0" w:color="auto"/>
              <w:right w:val="single" w:sz="4" w:space="0" w:color="auto"/>
            </w:tcBorders>
            <w:shd w:val="clear" w:color="auto" w:fill="auto"/>
            <w:noWrap/>
            <w:vAlign w:val="center"/>
            <w:hideMark/>
          </w:tcPr>
          <w:p w14:paraId="2365245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793</w:t>
            </w:r>
          </w:p>
        </w:tc>
        <w:tc>
          <w:tcPr>
            <w:tcW w:w="1624" w:type="dxa"/>
            <w:tcBorders>
              <w:top w:val="nil"/>
              <w:left w:val="nil"/>
              <w:bottom w:val="single" w:sz="4" w:space="0" w:color="auto"/>
              <w:right w:val="single" w:sz="4" w:space="0" w:color="auto"/>
            </w:tcBorders>
            <w:shd w:val="clear" w:color="auto" w:fill="auto"/>
            <w:noWrap/>
            <w:vAlign w:val="center"/>
            <w:hideMark/>
          </w:tcPr>
          <w:p w14:paraId="7A30E39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15.21</w:t>
            </w:r>
          </w:p>
        </w:tc>
        <w:tc>
          <w:tcPr>
            <w:tcW w:w="1323" w:type="dxa"/>
            <w:tcBorders>
              <w:top w:val="nil"/>
              <w:left w:val="nil"/>
              <w:bottom w:val="single" w:sz="4" w:space="0" w:color="auto"/>
              <w:right w:val="single" w:sz="4" w:space="0" w:color="auto"/>
            </w:tcBorders>
            <w:shd w:val="clear" w:color="auto" w:fill="auto"/>
            <w:noWrap/>
            <w:vAlign w:val="center"/>
            <w:hideMark/>
          </w:tcPr>
          <w:p w14:paraId="40990A7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w:t>
            </w:r>
          </w:p>
        </w:tc>
        <w:tc>
          <w:tcPr>
            <w:tcW w:w="1318" w:type="dxa"/>
            <w:tcBorders>
              <w:top w:val="nil"/>
              <w:left w:val="nil"/>
              <w:bottom w:val="single" w:sz="4" w:space="0" w:color="auto"/>
              <w:right w:val="single" w:sz="4" w:space="0" w:color="auto"/>
            </w:tcBorders>
            <w:shd w:val="clear" w:color="auto" w:fill="auto"/>
            <w:noWrap/>
            <w:vAlign w:val="center"/>
            <w:hideMark/>
          </w:tcPr>
          <w:p w14:paraId="4A32C6E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2,490</w:t>
            </w:r>
          </w:p>
        </w:tc>
      </w:tr>
      <w:tr w:rsidR="00C01B60" w:rsidRPr="00C01B60" w14:paraId="0E3D589B"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34BF9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w:t>
            </w:r>
          </w:p>
        </w:tc>
        <w:tc>
          <w:tcPr>
            <w:tcW w:w="1153" w:type="dxa"/>
            <w:tcBorders>
              <w:top w:val="nil"/>
              <w:left w:val="nil"/>
              <w:bottom w:val="single" w:sz="4" w:space="0" w:color="auto"/>
              <w:right w:val="single" w:sz="4" w:space="0" w:color="auto"/>
            </w:tcBorders>
            <w:shd w:val="clear" w:color="auto" w:fill="auto"/>
            <w:noWrap/>
            <w:vAlign w:val="center"/>
            <w:hideMark/>
          </w:tcPr>
          <w:p w14:paraId="48A82B0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13,300</w:t>
            </w:r>
          </w:p>
        </w:tc>
        <w:tc>
          <w:tcPr>
            <w:tcW w:w="1353" w:type="dxa"/>
            <w:tcBorders>
              <w:top w:val="nil"/>
              <w:left w:val="nil"/>
              <w:bottom w:val="single" w:sz="4" w:space="0" w:color="auto"/>
              <w:right w:val="single" w:sz="4" w:space="0" w:color="auto"/>
            </w:tcBorders>
            <w:shd w:val="clear" w:color="auto" w:fill="auto"/>
            <w:noWrap/>
            <w:vAlign w:val="center"/>
            <w:hideMark/>
          </w:tcPr>
          <w:p w14:paraId="768867F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817</w:t>
            </w:r>
          </w:p>
        </w:tc>
        <w:tc>
          <w:tcPr>
            <w:tcW w:w="1624" w:type="dxa"/>
            <w:tcBorders>
              <w:top w:val="nil"/>
              <w:left w:val="nil"/>
              <w:bottom w:val="single" w:sz="4" w:space="0" w:color="auto"/>
              <w:right w:val="single" w:sz="4" w:space="0" w:color="auto"/>
            </w:tcBorders>
            <w:shd w:val="clear" w:color="auto" w:fill="auto"/>
            <w:noWrap/>
            <w:vAlign w:val="center"/>
            <w:hideMark/>
          </w:tcPr>
          <w:p w14:paraId="6A094B3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16.90</w:t>
            </w:r>
          </w:p>
        </w:tc>
        <w:tc>
          <w:tcPr>
            <w:tcW w:w="1323" w:type="dxa"/>
            <w:tcBorders>
              <w:top w:val="nil"/>
              <w:left w:val="nil"/>
              <w:bottom w:val="single" w:sz="4" w:space="0" w:color="auto"/>
              <w:right w:val="single" w:sz="4" w:space="0" w:color="auto"/>
            </w:tcBorders>
            <w:shd w:val="clear" w:color="auto" w:fill="auto"/>
            <w:noWrap/>
            <w:vAlign w:val="center"/>
            <w:hideMark/>
          </w:tcPr>
          <w:p w14:paraId="0196765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w:t>
            </w:r>
          </w:p>
        </w:tc>
        <w:tc>
          <w:tcPr>
            <w:tcW w:w="1318" w:type="dxa"/>
            <w:tcBorders>
              <w:top w:val="nil"/>
              <w:left w:val="nil"/>
              <w:bottom w:val="single" w:sz="4" w:space="0" w:color="auto"/>
              <w:right w:val="single" w:sz="4" w:space="0" w:color="auto"/>
            </w:tcBorders>
            <w:shd w:val="clear" w:color="auto" w:fill="auto"/>
            <w:noWrap/>
            <w:vAlign w:val="center"/>
            <w:hideMark/>
          </w:tcPr>
          <w:p w14:paraId="04468B6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2778</w:t>
            </w:r>
          </w:p>
        </w:tc>
        <w:tc>
          <w:tcPr>
            <w:tcW w:w="611" w:type="dxa"/>
            <w:tcBorders>
              <w:top w:val="nil"/>
              <w:left w:val="nil"/>
              <w:bottom w:val="single" w:sz="4" w:space="0" w:color="auto"/>
              <w:right w:val="single" w:sz="4" w:space="0" w:color="auto"/>
            </w:tcBorders>
            <w:shd w:val="clear" w:color="auto" w:fill="auto"/>
            <w:noWrap/>
            <w:vAlign w:val="center"/>
            <w:hideMark/>
          </w:tcPr>
          <w:p w14:paraId="215F815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13,300</w:t>
            </w:r>
          </w:p>
        </w:tc>
        <w:tc>
          <w:tcPr>
            <w:tcW w:w="1353" w:type="dxa"/>
            <w:tcBorders>
              <w:top w:val="nil"/>
              <w:left w:val="nil"/>
              <w:bottom w:val="single" w:sz="4" w:space="0" w:color="auto"/>
              <w:right w:val="single" w:sz="4" w:space="0" w:color="auto"/>
            </w:tcBorders>
            <w:shd w:val="clear" w:color="auto" w:fill="auto"/>
            <w:noWrap/>
            <w:vAlign w:val="center"/>
            <w:hideMark/>
          </w:tcPr>
          <w:p w14:paraId="67F169B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817</w:t>
            </w:r>
          </w:p>
        </w:tc>
        <w:tc>
          <w:tcPr>
            <w:tcW w:w="1624" w:type="dxa"/>
            <w:tcBorders>
              <w:top w:val="nil"/>
              <w:left w:val="nil"/>
              <w:bottom w:val="single" w:sz="4" w:space="0" w:color="auto"/>
              <w:right w:val="single" w:sz="4" w:space="0" w:color="auto"/>
            </w:tcBorders>
            <w:shd w:val="clear" w:color="auto" w:fill="auto"/>
            <w:noWrap/>
            <w:vAlign w:val="center"/>
            <w:hideMark/>
          </w:tcPr>
          <w:p w14:paraId="33713EC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16.90</w:t>
            </w:r>
          </w:p>
        </w:tc>
        <w:tc>
          <w:tcPr>
            <w:tcW w:w="1323" w:type="dxa"/>
            <w:tcBorders>
              <w:top w:val="nil"/>
              <w:left w:val="nil"/>
              <w:bottom w:val="single" w:sz="4" w:space="0" w:color="auto"/>
              <w:right w:val="single" w:sz="4" w:space="0" w:color="auto"/>
            </w:tcBorders>
            <w:shd w:val="clear" w:color="auto" w:fill="auto"/>
            <w:noWrap/>
            <w:vAlign w:val="center"/>
            <w:hideMark/>
          </w:tcPr>
          <w:p w14:paraId="1A82176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w:t>
            </w:r>
          </w:p>
        </w:tc>
        <w:tc>
          <w:tcPr>
            <w:tcW w:w="1318" w:type="dxa"/>
            <w:tcBorders>
              <w:top w:val="nil"/>
              <w:left w:val="nil"/>
              <w:bottom w:val="single" w:sz="4" w:space="0" w:color="auto"/>
              <w:right w:val="single" w:sz="4" w:space="0" w:color="auto"/>
            </w:tcBorders>
            <w:shd w:val="clear" w:color="auto" w:fill="auto"/>
            <w:noWrap/>
            <w:vAlign w:val="center"/>
            <w:hideMark/>
          </w:tcPr>
          <w:p w14:paraId="0BC7E23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2,778</w:t>
            </w:r>
          </w:p>
        </w:tc>
      </w:tr>
      <w:tr w:rsidR="00C01B60" w:rsidRPr="00C01B60" w14:paraId="61134733"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27CEDE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153" w:type="dxa"/>
            <w:tcBorders>
              <w:top w:val="nil"/>
              <w:left w:val="nil"/>
              <w:bottom w:val="single" w:sz="4" w:space="0" w:color="auto"/>
              <w:right w:val="single" w:sz="4" w:space="0" w:color="auto"/>
            </w:tcBorders>
            <w:shd w:val="clear" w:color="auto" w:fill="auto"/>
            <w:noWrap/>
            <w:vAlign w:val="center"/>
            <w:hideMark/>
          </w:tcPr>
          <w:p w14:paraId="6DBE93B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14,250</w:t>
            </w:r>
          </w:p>
        </w:tc>
        <w:tc>
          <w:tcPr>
            <w:tcW w:w="1353" w:type="dxa"/>
            <w:tcBorders>
              <w:top w:val="nil"/>
              <w:left w:val="nil"/>
              <w:bottom w:val="single" w:sz="4" w:space="0" w:color="auto"/>
              <w:right w:val="single" w:sz="4" w:space="0" w:color="auto"/>
            </w:tcBorders>
            <w:shd w:val="clear" w:color="auto" w:fill="auto"/>
            <w:noWrap/>
            <w:vAlign w:val="center"/>
            <w:hideMark/>
          </w:tcPr>
          <w:p w14:paraId="433608E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843</w:t>
            </w:r>
          </w:p>
        </w:tc>
        <w:tc>
          <w:tcPr>
            <w:tcW w:w="1624" w:type="dxa"/>
            <w:tcBorders>
              <w:top w:val="nil"/>
              <w:left w:val="nil"/>
              <w:bottom w:val="single" w:sz="4" w:space="0" w:color="auto"/>
              <w:right w:val="single" w:sz="4" w:space="0" w:color="auto"/>
            </w:tcBorders>
            <w:shd w:val="clear" w:color="auto" w:fill="auto"/>
            <w:noWrap/>
            <w:vAlign w:val="center"/>
            <w:hideMark/>
          </w:tcPr>
          <w:p w14:paraId="0AFF968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18.78</w:t>
            </w:r>
          </w:p>
        </w:tc>
        <w:tc>
          <w:tcPr>
            <w:tcW w:w="1323" w:type="dxa"/>
            <w:tcBorders>
              <w:top w:val="nil"/>
              <w:left w:val="nil"/>
              <w:bottom w:val="single" w:sz="4" w:space="0" w:color="auto"/>
              <w:right w:val="single" w:sz="4" w:space="0" w:color="auto"/>
            </w:tcBorders>
            <w:shd w:val="clear" w:color="auto" w:fill="auto"/>
            <w:noWrap/>
            <w:vAlign w:val="center"/>
            <w:hideMark/>
          </w:tcPr>
          <w:p w14:paraId="0A3D828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w:t>
            </w:r>
          </w:p>
        </w:tc>
        <w:tc>
          <w:tcPr>
            <w:tcW w:w="1318" w:type="dxa"/>
            <w:tcBorders>
              <w:top w:val="nil"/>
              <w:left w:val="nil"/>
              <w:bottom w:val="single" w:sz="4" w:space="0" w:color="auto"/>
              <w:right w:val="single" w:sz="4" w:space="0" w:color="auto"/>
            </w:tcBorders>
            <w:shd w:val="clear" w:color="auto" w:fill="auto"/>
            <w:noWrap/>
            <w:vAlign w:val="center"/>
            <w:hideMark/>
          </w:tcPr>
          <w:p w14:paraId="74C4EFD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3100</w:t>
            </w:r>
          </w:p>
        </w:tc>
        <w:tc>
          <w:tcPr>
            <w:tcW w:w="611" w:type="dxa"/>
            <w:tcBorders>
              <w:top w:val="nil"/>
              <w:left w:val="nil"/>
              <w:bottom w:val="single" w:sz="4" w:space="0" w:color="auto"/>
              <w:right w:val="single" w:sz="4" w:space="0" w:color="auto"/>
            </w:tcBorders>
            <w:shd w:val="clear" w:color="auto" w:fill="auto"/>
            <w:noWrap/>
            <w:vAlign w:val="center"/>
            <w:hideMark/>
          </w:tcPr>
          <w:p w14:paraId="423329C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14,250</w:t>
            </w:r>
          </w:p>
        </w:tc>
        <w:tc>
          <w:tcPr>
            <w:tcW w:w="1353" w:type="dxa"/>
            <w:tcBorders>
              <w:top w:val="nil"/>
              <w:left w:val="nil"/>
              <w:bottom w:val="single" w:sz="4" w:space="0" w:color="auto"/>
              <w:right w:val="single" w:sz="4" w:space="0" w:color="auto"/>
            </w:tcBorders>
            <w:shd w:val="clear" w:color="auto" w:fill="auto"/>
            <w:noWrap/>
            <w:vAlign w:val="center"/>
            <w:hideMark/>
          </w:tcPr>
          <w:p w14:paraId="3FD5D91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843</w:t>
            </w:r>
          </w:p>
        </w:tc>
        <w:tc>
          <w:tcPr>
            <w:tcW w:w="1624" w:type="dxa"/>
            <w:tcBorders>
              <w:top w:val="nil"/>
              <w:left w:val="nil"/>
              <w:bottom w:val="single" w:sz="4" w:space="0" w:color="auto"/>
              <w:right w:val="single" w:sz="4" w:space="0" w:color="auto"/>
            </w:tcBorders>
            <w:shd w:val="clear" w:color="auto" w:fill="auto"/>
            <w:noWrap/>
            <w:vAlign w:val="center"/>
            <w:hideMark/>
          </w:tcPr>
          <w:p w14:paraId="09F6D4A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18.78</w:t>
            </w:r>
          </w:p>
        </w:tc>
        <w:tc>
          <w:tcPr>
            <w:tcW w:w="1323" w:type="dxa"/>
            <w:tcBorders>
              <w:top w:val="nil"/>
              <w:left w:val="nil"/>
              <w:bottom w:val="single" w:sz="4" w:space="0" w:color="auto"/>
              <w:right w:val="single" w:sz="4" w:space="0" w:color="auto"/>
            </w:tcBorders>
            <w:shd w:val="clear" w:color="auto" w:fill="auto"/>
            <w:noWrap/>
            <w:vAlign w:val="center"/>
            <w:hideMark/>
          </w:tcPr>
          <w:p w14:paraId="5D48B71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w:t>
            </w:r>
          </w:p>
        </w:tc>
        <w:tc>
          <w:tcPr>
            <w:tcW w:w="1318" w:type="dxa"/>
            <w:tcBorders>
              <w:top w:val="nil"/>
              <w:left w:val="nil"/>
              <w:bottom w:val="single" w:sz="4" w:space="0" w:color="auto"/>
              <w:right w:val="single" w:sz="4" w:space="0" w:color="auto"/>
            </w:tcBorders>
            <w:shd w:val="clear" w:color="auto" w:fill="auto"/>
            <w:noWrap/>
            <w:vAlign w:val="center"/>
            <w:hideMark/>
          </w:tcPr>
          <w:p w14:paraId="49A52F4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3,099</w:t>
            </w:r>
          </w:p>
        </w:tc>
      </w:tr>
      <w:tr w:rsidR="00C01B60" w:rsidRPr="00C01B60" w14:paraId="263785FD"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9F674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153" w:type="dxa"/>
            <w:tcBorders>
              <w:top w:val="nil"/>
              <w:left w:val="nil"/>
              <w:bottom w:val="single" w:sz="4" w:space="0" w:color="auto"/>
              <w:right w:val="single" w:sz="4" w:space="0" w:color="auto"/>
            </w:tcBorders>
            <w:shd w:val="clear" w:color="auto" w:fill="auto"/>
            <w:noWrap/>
            <w:vAlign w:val="center"/>
            <w:hideMark/>
          </w:tcPr>
          <w:p w14:paraId="6D49593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31F0980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869</w:t>
            </w:r>
          </w:p>
        </w:tc>
        <w:tc>
          <w:tcPr>
            <w:tcW w:w="1624" w:type="dxa"/>
            <w:tcBorders>
              <w:top w:val="nil"/>
              <w:left w:val="nil"/>
              <w:bottom w:val="single" w:sz="4" w:space="0" w:color="auto"/>
              <w:right w:val="single" w:sz="4" w:space="0" w:color="auto"/>
            </w:tcBorders>
            <w:shd w:val="clear" w:color="auto" w:fill="auto"/>
            <w:noWrap/>
            <w:vAlign w:val="center"/>
            <w:hideMark/>
          </w:tcPr>
          <w:p w14:paraId="76061B5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20.87</w:t>
            </w:r>
          </w:p>
        </w:tc>
        <w:tc>
          <w:tcPr>
            <w:tcW w:w="1323" w:type="dxa"/>
            <w:tcBorders>
              <w:top w:val="nil"/>
              <w:left w:val="nil"/>
              <w:bottom w:val="single" w:sz="4" w:space="0" w:color="auto"/>
              <w:right w:val="single" w:sz="4" w:space="0" w:color="auto"/>
            </w:tcBorders>
            <w:shd w:val="clear" w:color="auto" w:fill="auto"/>
            <w:noWrap/>
            <w:vAlign w:val="center"/>
            <w:hideMark/>
          </w:tcPr>
          <w:p w14:paraId="6353B2A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w:t>
            </w:r>
          </w:p>
        </w:tc>
        <w:tc>
          <w:tcPr>
            <w:tcW w:w="1318" w:type="dxa"/>
            <w:tcBorders>
              <w:top w:val="nil"/>
              <w:left w:val="nil"/>
              <w:bottom w:val="single" w:sz="4" w:space="0" w:color="auto"/>
              <w:right w:val="single" w:sz="4" w:space="0" w:color="auto"/>
            </w:tcBorders>
            <w:shd w:val="clear" w:color="auto" w:fill="auto"/>
            <w:noWrap/>
            <w:vAlign w:val="center"/>
            <w:hideMark/>
          </w:tcPr>
          <w:p w14:paraId="1CFA30D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3595</w:t>
            </w:r>
          </w:p>
        </w:tc>
        <w:tc>
          <w:tcPr>
            <w:tcW w:w="611" w:type="dxa"/>
            <w:tcBorders>
              <w:top w:val="nil"/>
              <w:left w:val="nil"/>
              <w:bottom w:val="single" w:sz="4" w:space="0" w:color="auto"/>
              <w:right w:val="single" w:sz="4" w:space="0" w:color="auto"/>
            </w:tcBorders>
            <w:shd w:val="clear" w:color="auto" w:fill="auto"/>
            <w:noWrap/>
            <w:vAlign w:val="center"/>
            <w:hideMark/>
          </w:tcPr>
          <w:p w14:paraId="4530CFC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7CA08C3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869</w:t>
            </w:r>
          </w:p>
        </w:tc>
        <w:tc>
          <w:tcPr>
            <w:tcW w:w="1624" w:type="dxa"/>
            <w:tcBorders>
              <w:top w:val="nil"/>
              <w:left w:val="nil"/>
              <w:bottom w:val="single" w:sz="4" w:space="0" w:color="auto"/>
              <w:right w:val="single" w:sz="4" w:space="0" w:color="auto"/>
            </w:tcBorders>
            <w:shd w:val="clear" w:color="auto" w:fill="auto"/>
            <w:noWrap/>
            <w:vAlign w:val="center"/>
            <w:hideMark/>
          </w:tcPr>
          <w:p w14:paraId="3630024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20.87</w:t>
            </w:r>
          </w:p>
        </w:tc>
        <w:tc>
          <w:tcPr>
            <w:tcW w:w="1323" w:type="dxa"/>
            <w:tcBorders>
              <w:top w:val="nil"/>
              <w:left w:val="nil"/>
              <w:bottom w:val="single" w:sz="4" w:space="0" w:color="auto"/>
              <w:right w:val="single" w:sz="4" w:space="0" w:color="auto"/>
            </w:tcBorders>
            <w:shd w:val="clear" w:color="auto" w:fill="auto"/>
            <w:noWrap/>
            <w:vAlign w:val="center"/>
            <w:hideMark/>
          </w:tcPr>
          <w:p w14:paraId="6AD4580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w:t>
            </w:r>
          </w:p>
        </w:tc>
        <w:tc>
          <w:tcPr>
            <w:tcW w:w="1318" w:type="dxa"/>
            <w:tcBorders>
              <w:top w:val="nil"/>
              <w:left w:val="nil"/>
              <w:bottom w:val="single" w:sz="4" w:space="0" w:color="auto"/>
              <w:right w:val="single" w:sz="4" w:space="0" w:color="auto"/>
            </w:tcBorders>
            <w:shd w:val="clear" w:color="auto" w:fill="auto"/>
            <w:noWrap/>
            <w:vAlign w:val="center"/>
            <w:hideMark/>
          </w:tcPr>
          <w:p w14:paraId="6F40DBA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3,594</w:t>
            </w:r>
          </w:p>
        </w:tc>
      </w:tr>
      <w:tr w:rsidR="00C01B60" w:rsidRPr="00C01B60" w14:paraId="546805B7"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1BF9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153" w:type="dxa"/>
            <w:tcBorders>
              <w:top w:val="nil"/>
              <w:left w:val="nil"/>
              <w:bottom w:val="single" w:sz="4" w:space="0" w:color="auto"/>
              <w:right w:val="single" w:sz="4" w:space="0" w:color="auto"/>
            </w:tcBorders>
            <w:shd w:val="clear" w:color="auto" w:fill="auto"/>
            <w:noWrap/>
            <w:vAlign w:val="center"/>
            <w:hideMark/>
          </w:tcPr>
          <w:p w14:paraId="3B330B0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303A5FD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896</w:t>
            </w:r>
          </w:p>
        </w:tc>
        <w:tc>
          <w:tcPr>
            <w:tcW w:w="1624" w:type="dxa"/>
            <w:tcBorders>
              <w:top w:val="nil"/>
              <w:left w:val="nil"/>
              <w:bottom w:val="single" w:sz="4" w:space="0" w:color="auto"/>
              <w:right w:val="single" w:sz="4" w:space="0" w:color="auto"/>
            </w:tcBorders>
            <w:shd w:val="clear" w:color="auto" w:fill="auto"/>
            <w:noWrap/>
            <w:vAlign w:val="center"/>
            <w:hideMark/>
          </w:tcPr>
          <w:p w14:paraId="4A7C58B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23.19</w:t>
            </w:r>
          </w:p>
        </w:tc>
        <w:tc>
          <w:tcPr>
            <w:tcW w:w="1323" w:type="dxa"/>
            <w:tcBorders>
              <w:top w:val="nil"/>
              <w:left w:val="nil"/>
              <w:bottom w:val="single" w:sz="4" w:space="0" w:color="auto"/>
              <w:right w:val="single" w:sz="4" w:space="0" w:color="auto"/>
            </w:tcBorders>
            <w:shd w:val="clear" w:color="auto" w:fill="auto"/>
            <w:noWrap/>
            <w:vAlign w:val="center"/>
            <w:hideMark/>
          </w:tcPr>
          <w:p w14:paraId="1F64E7A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w:t>
            </w:r>
          </w:p>
        </w:tc>
        <w:tc>
          <w:tcPr>
            <w:tcW w:w="1318" w:type="dxa"/>
            <w:tcBorders>
              <w:top w:val="nil"/>
              <w:left w:val="nil"/>
              <w:bottom w:val="single" w:sz="4" w:space="0" w:color="auto"/>
              <w:right w:val="single" w:sz="4" w:space="0" w:color="auto"/>
            </w:tcBorders>
            <w:shd w:val="clear" w:color="auto" w:fill="auto"/>
            <w:noWrap/>
            <w:vAlign w:val="center"/>
            <w:hideMark/>
          </w:tcPr>
          <w:p w14:paraId="7D17FD2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4007</w:t>
            </w:r>
          </w:p>
        </w:tc>
        <w:tc>
          <w:tcPr>
            <w:tcW w:w="611" w:type="dxa"/>
            <w:tcBorders>
              <w:top w:val="nil"/>
              <w:left w:val="nil"/>
              <w:bottom w:val="single" w:sz="4" w:space="0" w:color="auto"/>
              <w:right w:val="single" w:sz="4" w:space="0" w:color="auto"/>
            </w:tcBorders>
            <w:shd w:val="clear" w:color="auto" w:fill="auto"/>
            <w:noWrap/>
            <w:vAlign w:val="center"/>
            <w:hideMark/>
          </w:tcPr>
          <w:p w14:paraId="1C58D62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171C8D8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896</w:t>
            </w:r>
          </w:p>
        </w:tc>
        <w:tc>
          <w:tcPr>
            <w:tcW w:w="1624" w:type="dxa"/>
            <w:tcBorders>
              <w:top w:val="nil"/>
              <w:left w:val="nil"/>
              <w:bottom w:val="single" w:sz="4" w:space="0" w:color="auto"/>
              <w:right w:val="single" w:sz="4" w:space="0" w:color="auto"/>
            </w:tcBorders>
            <w:shd w:val="clear" w:color="auto" w:fill="auto"/>
            <w:noWrap/>
            <w:vAlign w:val="center"/>
            <w:hideMark/>
          </w:tcPr>
          <w:p w14:paraId="3D6E5B7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23.19</w:t>
            </w:r>
          </w:p>
        </w:tc>
        <w:tc>
          <w:tcPr>
            <w:tcW w:w="1323" w:type="dxa"/>
            <w:tcBorders>
              <w:top w:val="nil"/>
              <w:left w:val="nil"/>
              <w:bottom w:val="single" w:sz="4" w:space="0" w:color="auto"/>
              <w:right w:val="single" w:sz="4" w:space="0" w:color="auto"/>
            </w:tcBorders>
            <w:shd w:val="clear" w:color="auto" w:fill="auto"/>
            <w:noWrap/>
            <w:vAlign w:val="center"/>
            <w:hideMark/>
          </w:tcPr>
          <w:p w14:paraId="4DB6F15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w:t>
            </w:r>
          </w:p>
        </w:tc>
        <w:tc>
          <w:tcPr>
            <w:tcW w:w="1318" w:type="dxa"/>
            <w:tcBorders>
              <w:top w:val="nil"/>
              <w:left w:val="nil"/>
              <w:bottom w:val="single" w:sz="4" w:space="0" w:color="auto"/>
              <w:right w:val="single" w:sz="4" w:space="0" w:color="auto"/>
            </w:tcBorders>
            <w:shd w:val="clear" w:color="auto" w:fill="auto"/>
            <w:noWrap/>
            <w:vAlign w:val="center"/>
            <w:hideMark/>
          </w:tcPr>
          <w:p w14:paraId="7E566B8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4,005</w:t>
            </w:r>
          </w:p>
        </w:tc>
      </w:tr>
      <w:tr w:rsidR="00C01B60" w:rsidRPr="00C01B60" w14:paraId="55DFD560"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5B0181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153" w:type="dxa"/>
            <w:tcBorders>
              <w:top w:val="nil"/>
              <w:left w:val="nil"/>
              <w:bottom w:val="single" w:sz="4" w:space="0" w:color="auto"/>
              <w:right w:val="single" w:sz="4" w:space="0" w:color="auto"/>
            </w:tcBorders>
            <w:shd w:val="clear" w:color="auto" w:fill="auto"/>
            <w:noWrap/>
            <w:vAlign w:val="center"/>
            <w:hideMark/>
          </w:tcPr>
          <w:p w14:paraId="3F98352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4D3C892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943</w:t>
            </w:r>
          </w:p>
        </w:tc>
        <w:tc>
          <w:tcPr>
            <w:tcW w:w="1624" w:type="dxa"/>
            <w:tcBorders>
              <w:top w:val="nil"/>
              <w:left w:val="nil"/>
              <w:bottom w:val="single" w:sz="4" w:space="0" w:color="auto"/>
              <w:right w:val="single" w:sz="4" w:space="0" w:color="auto"/>
            </w:tcBorders>
            <w:shd w:val="clear" w:color="auto" w:fill="auto"/>
            <w:noWrap/>
            <w:vAlign w:val="center"/>
            <w:hideMark/>
          </w:tcPr>
          <w:p w14:paraId="2666E23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25.76</w:t>
            </w:r>
          </w:p>
        </w:tc>
        <w:tc>
          <w:tcPr>
            <w:tcW w:w="1323" w:type="dxa"/>
            <w:tcBorders>
              <w:top w:val="nil"/>
              <w:left w:val="nil"/>
              <w:bottom w:val="single" w:sz="4" w:space="0" w:color="auto"/>
              <w:right w:val="single" w:sz="4" w:space="0" w:color="auto"/>
            </w:tcBorders>
            <w:shd w:val="clear" w:color="auto" w:fill="auto"/>
            <w:noWrap/>
            <w:vAlign w:val="center"/>
            <w:hideMark/>
          </w:tcPr>
          <w:p w14:paraId="5401C05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318" w:type="dxa"/>
            <w:tcBorders>
              <w:top w:val="nil"/>
              <w:left w:val="nil"/>
              <w:bottom w:val="single" w:sz="4" w:space="0" w:color="auto"/>
              <w:right w:val="single" w:sz="4" w:space="0" w:color="auto"/>
            </w:tcBorders>
            <w:shd w:val="clear" w:color="auto" w:fill="auto"/>
            <w:noWrap/>
            <w:vAlign w:val="center"/>
            <w:hideMark/>
          </w:tcPr>
          <w:p w14:paraId="623C60F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4560</w:t>
            </w:r>
          </w:p>
        </w:tc>
        <w:tc>
          <w:tcPr>
            <w:tcW w:w="611" w:type="dxa"/>
            <w:tcBorders>
              <w:top w:val="nil"/>
              <w:left w:val="nil"/>
              <w:bottom w:val="single" w:sz="4" w:space="0" w:color="auto"/>
              <w:right w:val="single" w:sz="4" w:space="0" w:color="auto"/>
            </w:tcBorders>
            <w:shd w:val="clear" w:color="auto" w:fill="auto"/>
            <w:noWrap/>
            <w:vAlign w:val="center"/>
            <w:hideMark/>
          </w:tcPr>
          <w:p w14:paraId="416170C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5231265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943</w:t>
            </w:r>
          </w:p>
        </w:tc>
        <w:tc>
          <w:tcPr>
            <w:tcW w:w="1624" w:type="dxa"/>
            <w:tcBorders>
              <w:top w:val="nil"/>
              <w:left w:val="nil"/>
              <w:bottom w:val="single" w:sz="4" w:space="0" w:color="auto"/>
              <w:right w:val="single" w:sz="4" w:space="0" w:color="auto"/>
            </w:tcBorders>
            <w:shd w:val="clear" w:color="auto" w:fill="auto"/>
            <w:noWrap/>
            <w:vAlign w:val="center"/>
            <w:hideMark/>
          </w:tcPr>
          <w:p w14:paraId="429998F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25.76</w:t>
            </w:r>
          </w:p>
        </w:tc>
        <w:tc>
          <w:tcPr>
            <w:tcW w:w="1323" w:type="dxa"/>
            <w:tcBorders>
              <w:top w:val="nil"/>
              <w:left w:val="nil"/>
              <w:bottom w:val="single" w:sz="4" w:space="0" w:color="auto"/>
              <w:right w:val="single" w:sz="4" w:space="0" w:color="auto"/>
            </w:tcBorders>
            <w:shd w:val="clear" w:color="auto" w:fill="auto"/>
            <w:noWrap/>
            <w:vAlign w:val="center"/>
            <w:hideMark/>
          </w:tcPr>
          <w:p w14:paraId="198E647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w:t>
            </w:r>
          </w:p>
        </w:tc>
        <w:tc>
          <w:tcPr>
            <w:tcW w:w="1318" w:type="dxa"/>
            <w:tcBorders>
              <w:top w:val="nil"/>
              <w:left w:val="nil"/>
              <w:bottom w:val="single" w:sz="4" w:space="0" w:color="auto"/>
              <w:right w:val="single" w:sz="4" w:space="0" w:color="auto"/>
            </w:tcBorders>
            <w:shd w:val="clear" w:color="auto" w:fill="auto"/>
            <w:noWrap/>
            <w:vAlign w:val="center"/>
            <w:hideMark/>
          </w:tcPr>
          <w:p w14:paraId="06B12B8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4,559</w:t>
            </w:r>
          </w:p>
        </w:tc>
      </w:tr>
      <w:tr w:rsidR="00C01B60" w:rsidRPr="00C01B60" w14:paraId="0E62D6C9"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7099CF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153" w:type="dxa"/>
            <w:tcBorders>
              <w:top w:val="nil"/>
              <w:left w:val="nil"/>
              <w:bottom w:val="single" w:sz="4" w:space="0" w:color="auto"/>
              <w:right w:val="single" w:sz="4" w:space="0" w:color="auto"/>
            </w:tcBorders>
            <w:shd w:val="clear" w:color="auto" w:fill="auto"/>
            <w:noWrap/>
            <w:vAlign w:val="center"/>
            <w:hideMark/>
          </w:tcPr>
          <w:p w14:paraId="16D7887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659A59A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992</w:t>
            </w:r>
          </w:p>
        </w:tc>
        <w:tc>
          <w:tcPr>
            <w:tcW w:w="1624" w:type="dxa"/>
            <w:tcBorders>
              <w:top w:val="nil"/>
              <w:left w:val="nil"/>
              <w:bottom w:val="single" w:sz="4" w:space="0" w:color="auto"/>
              <w:right w:val="single" w:sz="4" w:space="0" w:color="auto"/>
            </w:tcBorders>
            <w:shd w:val="clear" w:color="auto" w:fill="auto"/>
            <w:noWrap/>
            <w:vAlign w:val="center"/>
            <w:hideMark/>
          </w:tcPr>
          <w:p w14:paraId="6D6E262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28.63</w:t>
            </w:r>
          </w:p>
        </w:tc>
        <w:tc>
          <w:tcPr>
            <w:tcW w:w="1323" w:type="dxa"/>
            <w:tcBorders>
              <w:top w:val="nil"/>
              <w:left w:val="nil"/>
              <w:bottom w:val="single" w:sz="4" w:space="0" w:color="auto"/>
              <w:right w:val="single" w:sz="4" w:space="0" w:color="auto"/>
            </w:tcBorders>
            <w:shd w:val="clear" w:color="auto" w:fill="auto"/>
            <w:noWrap/>
            <w:vAlign w:val="center"/>
            <w:hideMark/>
          </w:tcPr>
          <w:p w14:paraId="35BA486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318" w:type="dxa"/>
            <w:tcBorders>
              <w:top w:val="nil"/>
              <w:left w:val="nil"/>
              <w:bottom w:val="single" w:sz="4" w:space="0" w:color="auto"/>
              <w:right w:val="single" w:sz="4" w:space="0" w:color="auto"/>
            </w:tcBorders>
            <w:shd w:val="clear" w:color="auto" w:fill="auto"/>
            <w:noWrap/>
            <w:vAlign w:val="center"/>
            <w:hideMark/>
          </w:tcPr>
          <w:p w14:paraId="4678BE6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5395</w:t>
            </w:r>
          </w:p>
        </w:tc>
        <w:tc>
          <w:tcPr>
            <w:tcW w:w="611" w:type="dxa"/>
            <w:tcBorders>
              <w:top w:val="nil"/>
              <w:left w:val="nil"/>
              <w:bottom w:val="single" w:sz="4" w:space="0" w:color="auto"/>
              <w:right w:val="single" w:sz="4" w:space="0" w:color="auto"/>
            </w:tcBorders>
            <w:shd w:val="clear" w:color="auto" w:fill="auto"/>
            <w:noWrap/>
            <w:vAlign w:val="center"/>
            <w:hideMark/>
          </w:tcPr>
          <w:p w14:paraId="212E7D7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0F8F3F1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992</w:t>
            </w:r>
          </w:p>
        </w:tc>
        <w:tc>
          <w:tcPr>
            <w:tcW w:w="1624" w:type="dxa"/>
            <w:tcBorders>
              <w:top w:val="nil"/>
              <w:left w:val="nil"/>
              <w:bottom w:val="single" w:sz="4" w:space="0" w:color="auto"/>
              <w:right w:val="single" w:sz="4" w:space="0" w:color="auto"/>
            </w:tcBorders>
            <w:shd w:val="clear" w:color="auto" w:fill="auto"/>
            <w:noWrap/>
            <w:vAlign w:val="center"/>
            <w:hideMark/>
          </w:tcPr>
          <w:p w14:paraId="0573B2B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28.63</w:t>
            </w:r>
          </w:p>
        </w:tc>
        <w:tc>
          <w:tcPr>
            <w:tcW w:w="1323" w:type="dxa"/>
            <w:tcBorders>
              <w:top w:val="nil"/>
              <w:left w:val="nil"/>
              <w:bottom w:val="single" w:sz="4" w:space="0" w:color="auto"/>
              <w:right w:val="single" w:sz="4" w:space="0" w:color="auto"/>
            </w:tcBorders>
            <w:shd w:val="clear" w:color="auto" w:fill="auto"/>
            <w:noWrap/>
            <w:vAlign w:val="center"/>
            <w:hideMark/>
          </w:tcPr>
          <w:p w14:paraId="429CD9A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w:t>
            </w:r>
          </w:p>
        </w:tc>
        <w:tc>
          <w:tcPr>
            <w:tcW w:w="1318" w:type="dxa"/>
            <w:tcBorders>
              <w:top w:val="nil"/>
              <w:left w:val="nil"/>
              <w:bottom w:val="single" w:sz="4" w:space="0" w:color="auto"/>
              <w:right w:val="single" w:sz="4" w:space="0" w:color="auto"/>
            </w:tcBorders>
            <w:shd w:val="clear" w:color="auto" w:fill="auto"/>
            <w:noWrap/>
            <w:vAlign w:val="center"/>
            <w:hideMark/>
          </w:tcPr>
          <w:p w14:paraId="165678B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5,392</w:t>
            </w:r>
          </w:p>
        </w:tc>
      </w:tr>
      <w:tr w:rsidR="00C01B60" w:rsidRPr="00C01B60" w14:paraId="379CC239"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D6949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153" w:type="dxa"/>
            <w:tcBorders>
              <w:top w:val="nil"/>
              <w:left w:val="nil"/>
              <w:bottom w:val="single" w:sz="4" w:space="0" w:color="auto"/>
              <w:right w:val="single" w:sz="4" w:space="0" w:color="auto"/>
            </w:tcBorders>
            <w:shd w:val="clear" w:color="auto" w:fill="auto"/>
            <w:noWrap/>
            <w:vAlign w:val="center"/>
            <w:hideMark/>
          </w:tcPr>
          <w:p w14:paraId="431042B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61DB839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1,045</w:t>
            </w:r>
          </w:p>
        </w:tc>
        <w:tc>
          <w:tcPr>
            <w:tcW w:w="1624" w:type="dxa"/>
            <w:tcBorders>
              <w:top w:val="nil"/>
              <w:left w:val="nil"/>
              <w:bottom w:val="single" w:sz="4" w:space="0" w:color="auto"/>
              <w:right w:val="single" w:sz="4" w:space="0" w:color="auto"/>
            </w:tcBorders>
            <w:shd w:val="clear" w:color="auto" w:fill="auto"/>
            <w:noWrap/>
            <w:vAlign w:val="center"/>
            <w:hideMark/>
          </w:tcPr>
          <w:p w14:paraId="3D538CB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31.81</w:t>
            </w:r>
          </w:p>
        </w:tc>
        <w:tc>
          <w:tcPr>
            <w:tcW w:w="1323" w:type="dxa"/>
            <w:tcBorders>
              <w:top w:val="nil"/>
              <w:left w:val="nil"/>
              <w:bottom w:val="single" w:sz="4" w:space="0" w:color="auto"/>
              <w:right w:val="single" w:sz="4" w:space="0" w:color="auto"/>
            </w:tcBorders>
            <w:shd w:val="clear" w:color="auto" w:fill="auto"/>
            <w:noWrap/>
            <w:vAlign w:val="center"/>
            <w:hideMark/>
          </w:tcPr>
          <w:p w14:paraId="494970E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318" w:type="dxa"/>
            <w:tcBorders>
              <w:top w:val="nil"/>
              <w:left w:val="nil"/>
              <w:bottom w:val="single" w:sz="4" w:space="0" w:color="auto"/>
              <w:right w:val="single" w:sz="4" w:space="0" w:color="auto"/>
            </w:tcBorders>
            <w:shd w:val="clear" w:color="auto" w:fill="auto"/>
            <w:noWrap/>
            <w:vAlign w:val="center"/>
            <w:hideMark/>
          </w:tcPr>
          <w:p w14:paraId="217CA7B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6,135</w:t>
            </w:r>
          </w:p>
        </w:tc>
        <w:tc>
          <w:tcPr>
            <w:tcW w:w="611" w:type="dxa"/>
            <w:tcBorders>
              <w:top w:val="nil"/>
              <w:left w:val="nil"/>
              <w:bottom w:val="single" w:sz="4" w:space="0" w:color="auto"/>
              <w:right w:val="single" w:sz="4" w:space="0" w:color="auto"/>
            </w:tcBorders>
            <w:shd w:val="clear" w:color="auto" w:fill="auto"/>
            <w:noWrap/>
            <w:vAlign w:val="center"/>
            <w:hideMark/>
          </w:tcPr>
          <w:p w14:paraId="463A8C2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4F20170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1,045</w:t>
            </w:r>
          </w:p>
        </w:tc>
        <w:tc>
          <w:tcPr>
            <w:tcW w:w="1624" w:type="dxa"/>
            <w:tcBorders>
              <w:top w:val="nil"/>
              <w:left w:val="nil"/>
              <w:bottom w:val="single" w:sz="4" w:space="0" w:color="auto"/>
              <w:right w:val="single" w:sz="4" w:space="0" w:color="auto"/>
            </w:tcBorders>
            <w:shd w:val="clear" w:color="auto" w:fill="auto"/>
            <w:noWrap/>
            <w:vAlign w:val="center"/>
            <w:hideMark/>
          </w:tcPr>
          <w:p w14:paraId="1D2127D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31.81</w:t>
            </w:r>
          </w:p>
        </w:tc>
        <w:tc>
          <w:tcPr>
            <w:tcW w:w="1323" w:type="dxa"/>
            <w:tcBorders>
              <w:top w:val="nil"/>
              <w:left w:val="nil"/>
              <w:bottom w:val="single" w:sz="4" w:space="0" w:color="auto"/>
              <w:right w:val="single" w:sz="4" w:space="0" w:color="auto"/>
            </w:tcBorders>
            <w:shd w:val="clear" w:color="auto" w:fill="auto"/>
            <w:noWrap/>
            <w:vAlign w:val="center"/>
            <w:hideMark/>
          </w:tcPr>
          <w:p w14:paraId="1C03107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318" w:type="dxa"/>
            <w:tcBorders>
              <w:top w:val="nil"/>
              <w:left w:val="nil"/>
              <w:bottom w:val="single" w:sz="4" w:space="0" w:color="auto"/>
              <w:right w:val="single" w:sz="4" w:space="0" w:color="auto"/>
            </w:tcBorders>
            <w:shd w:val="clear" w:color="auto" w:fill="auto"/>
            <w:noWrap/>
            <w:vAlign w:val="center"/>
            <w:hideMark/>
          </w:tcPr>
          <w:p w14:paraId="3C9B948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6,132</w:t>
            </w:r>
          </w:p>
        </w:tc>
      </w:tr>
      <w:tr w:rsidR="00C01B60" w:rsidRPr="00C01B60" w14:paraId="2EDA74C3"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3D3E8B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153" w:type="dxa"/>
            <w:tcBorders>
              <w:top w:val="nil"/>
              <w:left w:val="nil"/>
              <w:bottom w:val="single" w:sz="4" w:space="0" w:color="auto"/>
              <w:right w:val="single" w:sz="4" w:space="0" w:color="auto"/>
            </w:tcBorders>
            <w:shd w:val="clear" w:color="auto" w:fill="auto"/>
            <w:noWrap/>
            <w:vAlign w:val="center"/>
            <w:hideMark/>
          </w:tcPr>
          <w:p w14:paraId="439460F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2E57E5E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1,100</w:t>
            </w:r>
          </w:p>
        </w:tc>
        <w:tc>
          <w:tcPr>
            <w:tcW w:w="1624" w:type="dxa"/>
            <w:tcBorders>
              <w:top w:val="nil"/>
              <w:left w:val="nil"/>
              <w:bottom w:val="single" w:sz="4" w:space="0" w:color="auto"/>
              <w:right w:val="single" w:sz="4" w:space="0" w:color="auto"/>
            </w:tcBorders>
            <w:shd w:val="clear" w:color="auto" w:fill="auto"/>
            <w:noWrap/>
            <w:vAlign w:val="center"/>
            <w:hideMark/>
          </w:tcPr>
          <w:p w14:paraId="7D1C8FE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35.34</w:t>
            </w:r>
          </w:p>
        </w:tc>
        <w:tc>
          <w:tcPr>
            <w:tcW w:w="1323" w:type="dxa"/>
            <w:tcBorders>
              <w:top w:val="nil"/>
              <w:left w:val="nil"/>
              <w:bottom w:val="single" w:sz="4" w:space="0" w:color="auto"/>
              <w:right w:val="single" w:sz="4" w:space="0" w:color="auto"/>
            </w:tcBorders>
            <w:shd w:val="clear" w:color="auto" w:fill="auto"/>
            <w:noWrap/>
            <w:vAlign w:val="center"/>
            <w:hideMark/>
          </w:tcPr>
          <w:p w14:paraId="4BC9BD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318" w:type="dxa"/>
            <w:tcBorders>
              <w:top w:val="nil"/>
              <w:left w:val="nil"/>
              <w:bottom w:val="single" w:sz="4" w:space="0" w:color="auto"/>
              <w:right w:val="single" w:sz="4" w:space="0" w:color="auto"/>
            </w:tcBorders>
            <w:shd w:val="clear" w:color="auto" w:fill="auto"/>
            <w:noWrap/>
            <w:vAlign w:val="center"/>
            <w:hideMark/>
          </w:tcPr>
          <w:p w14:paraId="156B57F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7,254</w:t>
            </w:r>
          </w:p>
        </w:tc>
        <w:tc>
          <w:tcPr>
            <w:tcW w:w="611" w:type="dxa"/>
            <w:tcBorders>
              <w:top w:val="nil"/>
              <w:left w:val="nil"/>
              <w:bottom w:val="single" w:sz="4" w:space="0" w:color="auto"/>
              <w:right w:val="single" w:sz="4" w:space="0" w:color="auto"/>
            </w:tcBorders>
            <w:shd w:val="clear" w:color="auto" w:fill="auto"/>
            <w:noWrap/>
            <w:vAlign w:val="center"/>
            <w:hideMark/>
          </w:tcPr>
          <w:p w14:paraId="521A78C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5C98EA5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1,100</w:t>
            </w:r>
          </w:p>
        </w:tc>
        <w:tc>
          <w:tcPr>
            <w:tcW w:w="1624" w:type="dxa"/>
            <w:tcBorders>
              <w:top w:val="nil"/>
              <w:left w:val="nil"/>
              <w:bottom w:val="single" w:sz="4" w:space="0" w:color="auto"/>
              <w:right w:val="single" w:sz="4" w:space="0" w:color="auto"/>
            </w:tcBorders>
            <w:shd w:val="clear" w:color="auto" w:fill="auto"/>
            <w:noWrap/>
            <w:vAlign w:val="center"/>
            <w:hideMark/>
          </w:tcPr>
          <w:p w14:paraId="71623F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35.34</w:t>
            </w:r>
          </w:p>
        </w:tc>
        <w:tc>
          <w:tcPr>
            <w:tcW w:w="1323" w:type="dxa"/>
            <w:tcBorders>
              <w:top w:val="nil"/>
              <w:left w:val="nil"/>
              <w:bottom w:val="single" w:sz="4" w:space="0" w:color="auto"/>
              <w:right w:val="single" w:sz="4" w:space="0" w:color="auto"/>
            </w:tcBorders>
            <w:shd w:val="clear" w:color="auto" w:fill="auto"/>
            <w:noWrap/>
            <w:vAlign w:val="center"/>
            <w:hideMark/>
          </w:tcPr>
          <w:p w14:paraId="611E970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318" w:type="dxa"/>
            <w:tcBorders>
              <w:top w:val="nil"/>
              <w:left w:val="nil"/>
              <w:bottom w:val="single" w:sz="4" w:space="0" w:color="auto"/>
              <w:right w:val="single" w:sz="4" w:space="0" w:color="auto"/>
            </w:tcBorders>
            <w:shd w:val="clear" w:color="auto" w:fill="auto"/>
            <w:noWrap/>
            <w:vAlign w:val="center"/>
            <w:hideMark/>
          </w:tcPr>
          <w:p w14:paraId="6D96021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7,249</w:t>
            </w:r>
          </w:p>
        </w:tc>
      </w:tr>
      <w:tr w:rsidR="00C01B60" w:rsidRPr="00C01B60" w14:paraId="68E1BAAD"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BE190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153" w:type="dxa"/>
            <w:tcBorders>
              <w:top w:val="nil"/>
              <w:left w:val="nil"/>
              <w:bottom w:val="single" w:sz="4" w:space="0" w:color="auto"/>
              <w:right w:val="single" w:sz="4" w:space="0" w:color="auto"/>
            </w:tcBorders>
            <w:shd w:val="clear" w:color="auto" w:fill="auto"/>
            <w:noWrap/>
            <w:vAlign w:val="center"/>
            <w:hideMark/>
          </w:tcPr>
          <w:p w14:paraId="50D2361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2B7224C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1,157</w:t>
            </w:r>
          </w:p>
        </w:tc>
        <w:tc>
          <w:tcPr>
            <w:tcW w:w="1624" w:type="dxa"/>
            <w:tcBorders>
              <w:top w:val="nil"/>
              <w:left w:val="nil"/>
              <w:bottom w:val="single" w:sz="4" w:space="0" w:color="auto"/>
              <w:right w:val="single" w:sz="4" w:space="0" w:color="auto"/>
            </w:tcBorders>
            <w:shd w:val="clear" w:color="auto" w:fill="auto"/>
            <w:noWrap/>
            <w:vAlign w:val="center"/>
            <w:hideMark/>
          </w:tcPr>
          <w:p w14:paraId="54FA2CB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39.27</w:t>
            </w:r>
          </w:p>
        </w:tc>
        <w:tc>
          <w:tcPr>
            <w:tcW w:w="1323" w:type="dxa"/>
            <w:tcBorders>
              <w:top w:val="nil"/>
              <w:left w:val="nil"/>
              <w:bottom w:val="single" w:sz="4" w:space="0" w:color="auto"/>
              <w:right w:val="single" w:sz="4" w:space="0" w:color="auto"/>
            </w:tcBorders>
            <w:shd w:val="clear" w:color="auto" w:fill="auto"/>
            <w:noWrap/>
            <w:vAlign w:val="center"/>
            <w:hideMark/>
          </w:tcPr>
          <w:p w14:paraId="1C91CEA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20B0DD2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8,243</w:t>
            </w:r>
          </w:p>
        </w:tc>
        <w:tc>
          <w:tcPr>
            <w:tcW w:w="611" w:type="dxa"/>
            <w:tcBorders>
              <w:top w:val="nil"/>
              <w:left w:val="nil"/>
              <w:bottom w:val="single" w:sz="4" w:space="0" w:color="auto"/>
              <w:right w:val="single" w:sz="4" w:space="0" w:color="auto"/>
            </w:tcBorders>
            <w:shd w:val="clear" w:color="auto" w:fill="auto"/>
            <w:noWrap/>
            <w:vAlign w:val="center"/>
            <w:hideMark/>
          </w:tcPr>
          <w:p w14:paraId="3C20821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462ADE2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1,157</w:t>
            </w:r>
          </w:p>
        </w:tc>
        <w:tc>
          <w:tcPr>
            <w:tcW w:w="1624" w:type="dxa"/>
            <w:tcBorders>
              <w:top w:val="nil"/>
              <w:left w:val="nil"/>
              <w:bottom w:val="single" w:sz="4" w:space="0" w:color="auto"/>
              <w:right w:val="single" w:sz="4" w:space="0" w:color="auto"/>
            </w:tcBorders>
            <w:shd w:val="clear" w:color="auto" w:fill="auto"/>
            <w:noWrap/>
            <w:vAlign w:val="center"/>
            <w:hideMark/>
          </w:tcPr>
          <w:p w14:paraId="75987FE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39.27</w:t>
            </w:r>
          </w:p>
        </w:tc>
        <w:tc>
          <w:tcPr>
            <w:tcW w:w="1323" w:type="dxa"/>
            <w:tcBorders>
              <w:top w:val="nil"/>
              <w:left w:val="nil"/>
              <w:bottom w:val="single" w:sz="4" w:space="0" w:color="auto"/>
              <w:right w:val="single" w:sz="4" w:space="0" w:color="auto"/>
            </w:tcBorders>
            <w:shd w:val="clear" w:color="auto" w:fill="auto"/>
            <w:noWrap/>
            <w:vAlign w:val="center"/>
            <w:hideMark/>
          </w:tcPr>
          <w:p w14:paraId="76700B5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w:t>
            </w:r>
          </w:p>
        </w:tc>
        <w:tc>
          <w:tcPr>
            <w:tcW w:w="1318" w:type="dxa"/>
            <w:tcBorders>
              <w:top w:val="nil"/>
              <w:left w:val="nil"/>
              <w:bottom w:val="single" w:sz="4" w:space="0" w:color="auto"/>
              <w:right w:val="single" w:sz="4" w:space="0" w:color="auto"/>
            </w:tcBorders>
            <w:shd w:val="clear" w:color="auto" w:fill="auto"/>
            <w:noWrap/>
            <w:vAlign w:val="center"/>
            <w:hideMark/>
          </w:tcPr>
          <w:p w14:paraId="437133E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8,239</w:t>
            </w:r>
          </w:p>
        </w:tc>
      </w:tr>
      <w:tr w:rsidR="00C01B60" w:rsidRPr="00C01B60" w14:paraId="6CF20B32"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C365C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29</w:t>
            </w:r>
          </w:p>
        </w:tc>
        <w:tc>
          <w:tcPr>
            <w:tcW w:w="1153" w:type="dxa"/>
            <w:tcBorders>
              <w:top w:val="nil"/>
              <w:left w:val="nil"/>
              <w:bottom w:val="single" w:sz="4" w:space="0" w:color="auto"/>
              <w:right w:val="single" w:sz="4" w:space="0" w:color="auto"/>
            </w:tcBorders>
            <w:shd w:val="clear" w:color="auto" w:fill="auto"/>
            <w:noWrap/>
            <w:vAlign w:val="center"/>
            <w:hideMark/>
          </w:tcPr>
          <w:p w14:paraId="012532F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0B2181E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1,218</w:t>
            </w:r>
          </w:p>
        </w:tc>
        <w:tc>
          <w:tcPr>
            <w:tcW w:w="1624" w:type="dxa"/>
            <w:tcBorders>
              <w:top w:val="nil"/>
              <w:left w:val="nil"/>
              <w:bottom w:val="single" w:sz="4" w:space="0" w:color="auto"/>
              <w:right w:val="single" w:sz="4" w:space="0" w:color="auto"/>
            </w:tcBorders>
            <w:shd w:val="clear" w:color="auto" w:fill="auto"/>
            <w:noWrap/>
            <w:vAlign w:val="center"/>
            <w:hideMark/>
          </w:tcPr>
          <w:p w14:paraId="1F824A8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43.63</w:t>
            </w:r>
          </w:p>
        </w:tc>
        <w:tc>
          <w:tcPr>
            <w:tcW w:w="1323" w:type="dxa"/>
            <w:tcBorders>
              <w:top w:val="nil"/>
              <w:left w:val="nil"/>
              <w:bottom w:val="single" w:sz="4" w:space="0" w:color="auto"/>
              <w:right w:val="single" w:sz="4" w:space="0" w:color="auto"/>
            </w:tcBorders>
            <w:shd w:val="clear" w:color="auto" w:fill="auto"/>
            <w:noWrap/>
            <w:vAlign w:val="center"/>
            <w:hideMark/>
          </w:tcPr>
          <w:p w14:paraId="6471CB7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7C9748B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9,736</w:t>
            </w:r>
          </w:p>
        </w:tc>
        <w:tc>
          <w:tcPr>
            <w:tcW w:w="611" w:type="dxa"/>
            <w:tcBorders>
              <w:top w:val="nil"/>
              <w:left w:val="nil"/>
              <w:bottom w:val="single" w:sz="4" w:space="0" w:color="auto"/>
              <w:right w:val="single" w:sz="4" w:space="0" w:color="auto"/>
            </w:tcBorders>
            <w:shd w:val="clear" w:color="auto" w:fill="auto"/>
            <w:noWrap/>
            <w:vAlign w:val="center"/>
            <w:hideMark/>
          </w:tcPr>
          <w:p w14:paraId="52CD8AB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15,200</w:t>
            </w:r>
          </w:p>
        </w:tc>
        <w:tc>
          <w:tcPr>
            <w:tcW w:w="1353" w:type="dxa"/>
            <w:tcBorders>
              <w:top w:val="nil"/>
              <w:left w:val="nil"/>
              <w:bottom w:val="single" w:sz="4" w:space="0" w:color="auto"/>
              <w:right w:val="single" w:sz="4" w:space="0" w:color="auto"/>
            </w:tcBorders>
            <w:shd w:val="clear" w:color="auto" w:fill="auto"/>
            <w:noWrap/>
            <w:vAlign w:val="center"/>
            <w:hideMark/>
          </w:tcPr>
          <w:p w14:paraId="324F809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1,218</w:t>
            </w:r>
          </w:p>
        </w:tc>
        <w:tc>
          <w:tcPr>
            <w:tcW w:w="1624" w:type="dxa"/>
            <w:tcBorders>
              <w:top w:val="nil"/>
              <w:left w:val="nil"/>
              <w:bottom w:val="single" w:sz="4" w:space="0" w:color="auto"/>
              <w:right w:val="single" w:sz="4" w:space="0" w:color="auto"/>
            </w:tcBorders>
            <w:shd w:val="clear" w:color="auto" w:fill="auto"/>
            <w:noWrap/>
            <w:vAlign w:val="center"/>
            <w:hideMark/>
          </w:tcPr>
          <w:p w14:paraId="2F05399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43.63</w:t>
            </w:r>
          </w:p>
        </w:tc>
        <w:tc>
          <w:tcPr>
            <w:tcW w:w="1323" w:type="dxa"/>
            <w:tcBorders>
              <w:top w:val="nil"/>
              <w:left w:val="nil"/>
              <w:bottom w:val="single" w:sz="4" w:space="0" w:color="auto"/>
              <w:right w:val="single" w:sz="4" w:space="0" w:color="auto"/>
            </w:tcBorders>
            <w:shd w:val="clear" w:color="auto" w:fill="auto"/>
            <w:noWrap/>
            <w:vAlign w:val="center"/>
            <w:hideMark/>
          </w:tcPr>
          <w:p w14:paraId="767E03D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318" w:type="dxa"/>
            <w:tcBorders>
              <w:top w:val="nil"/>
              <w:left w:val="nil"/>
              <w:bottom w:val="single" w:sz="4" w:space="0" w:color="auto"/>
              <w:right w:val="single" w:sz="4" w:space="0" w:color="auto"/>
            </w:tcBorders>
            <w:shd w:val="clear" w:color="auto" w:fill="auto"/>
            <w:noWrap/>
            <w:vAlign w:val="center"/>
            <w:hideMark/>
          </w:tcPr>
          <w:p w14:paraId="5B65D6E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9,729</w:t>
            </w:r>
          </w:p>
        </w:tc>
      </w:tr>
      <w:tr w:rsidR="00C01B60" w:rsidRPr="00C01B60" w14:paraId="3C1FE517"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A46E9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30</w:t>
            </w:r>
          </w:p>
        </w:tc>
        <w:tc>
          <w:tcPr>
            <w:tcW w:w="1153" w:type="dxa"/>
            <w:tcBorders>
              <w:top w:val="nil"/>
              <w:left w:val="nil"/>
              <w:bottom w:val="single" w:sz="4" w:space="0" w:color="auto"/>
              <w:right w:val="single" w:sz="4" w:space="0" w:color="auto"/>
            </w:tcBorders>
            <w:shd w:val="clear" w:color="auto" w:fill="auto"/>
            <w:noWrap/>
            <w:vAlign w:val="center"/>
            <w:hideMark/>
          </w:tcPr>
          <w:p w14:paraId="6B340A7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13,680</w:t>
            </w:r>
          </w:p>
        </w:tc>
        <w:tc>
          <w:tcPr>
            <w:tcW w:w="1353" w:type="dxa"/>
            <w:tcBorders>
              <w:top w:val="nil"/>
              <w:left w:val="nil"/>
              <w:bottom w:val="single" w:sz="4" w:space="0" w:color="auto"/>
              <w:right w:val="single" w:sz="4" w:space="0" w:color="auto"/>
            </w:tcBorders>
            <w:shd w:val="clear" w:color="auto" w:fill="auto"/>
            <w:noWrap/>
            <w:vAlign w:val="center"/>
            <w:hideMark/>
          </w:tcPr>
          <w:p w14:paraId="4681A4F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1,283</w:t>
            </w:r>
          </w:p>
        </w:tc>
        <w:tc>
          <w:tcPr>
            <w:tcW w:w="1624" w:type="dxa"/>
            <w:tcBorders>
              <w:top w:val="nil"/>
              <w:left w:val="nil"/>
              <w:bottom w:val="single" w:sz="4" w:space="0" w:color="auto"/>
              <w:right w:val="single" w:sz="4" w:space="0" w:color="auto"/>
            </w:tcBorders>
            <w:shd w:val="clear" w:color="auto" w:fill="auto"/>
            <w:noWrap/>
            <w:vAlign w:val="center"/>
            <w:hideMark/>
          </w:tcPr>
          <w:p w14:paraId="76A23A6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48.48</w:t>
            </w:r>
          </w:p>
        </w:tc>
        <w:tc>
          <w:tcPr>
            <w:tcW w:w="1323" w:type="dxa"/>
            <w:tcBorders>
              <w:top w:val="nil"/>
              <w:left w:val="nil"/>
              <w:bottom w:val="single" w:sz="4" w:space="0" w:color="auto"/>
              <w:right w:val="single" w:sz="4" w:space="0" w:color="auto"/>
            </w:tcBorders>
            <w:shd w:val="clear" w:color="auto" w:fill="auto"/>
            <w:noWrap/>
            <w:vAlign w:val="center"/>
            <w:hideMark/>
          </w:tcPr>
          <w:p w14:paraId="48A81EE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74B6132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11,496</w:t>
            </w:r>
          </w:p>
        </w:tc>
        <w:tc>
          <w:tcPr>
            <w:tcW w:w="611" w:type="dxa"/>
            <w:tcBorders>
              <w:top w:val="nil"/>
              <w:left w:val="nil"/>
              <w:bottom w:val="single" w:sz="4" w:space="0" w:color="auto"/>
              <w:right w:val="single" w:sz="4" w:space="0" w:color="auto"/>
            </w:tcBorders>
            <w:shd w:val="clear" w:color="auto" w:fill="auto"/>
            <w:noWrap/>
            <w:vAlign w:val="center"/>
            <w:hideMark/>
          </w:tcPr>
          <w:p w14:paraId="0808ADF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13,680</w:t>
            </w:r>
          </w:p>
        </w:tc>
        <w:tc>
          <w:tcPr>
            <w:tcW w:w="1353" w:type="dxa"/>
            <w:tcBorders>
              <w:top w:val="nil"/>
              <w:left w:val="nil"/>
              <w:bottom w:val="single" w:sz="4" w:space="0" w:color="auto"/>
              <w:right w:val="single" w:sz="4" w:space="0" w:color="auto"/>
            </w:tcBorders>
            <w:shd w:val="clear" w:color="auto" w:fill="auto"/>
            <w:noWrap/>
            <w:vAlign w:val="center"/>
            <w:hideMark/>
          </w:tcPr>
          <w:p w14:paraId="5006693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1,283</w:t>
            </w:r>
          </w:p>
        </w:tc>
        <w:tc>
          <w:tcPr>
            <w:tcW w:w="1624" w:type="dxa"/>
            <w:tcBorders>
              <w:top w:val="nil"/>
              <w:left w:val="nil"/>
              <w:bottom w:val="single" w:sz="4" w:space="0" w:color="auto"/>
              <w:right w:val="single" w:sz="4" w:space="0" w:color="auto"/>
            </w:tcBorders>
            <w:shd w:val="clear" w:color="auto" w:fill="auto"/>
            <w:noWrap/>
            <w:vAlign w:val="center"/>
            <w:hideMark/>
          </w:tcPr>
          <w:p w14:paraId="210056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48.48</w:t>
            </w:r>
          </w:p>
        </w:tc>
        <w:tc>
          <w:tcPr>
            <w:tcW w:w="1323" w:type="dxa"/>
            <w:tcBorders>
              <w:top w:val="nil"/>
              <w:left w:val="nil"/>
              <w:bottom w:val="single" w:sz="4" w:space="0" w:color="auto"/>
              <w:right w:val="single" w:sz="4" w:space="0" w:color="auto"/>
            </w:tcBorders>
            <w:shd w:val="clear" w:color="auto" w:fill="auto"/>
            <w:noWrap/>
            <w:vAlign w:val="center"/>
            <w:hideMark/>
          </w:tcPr>
          <w:p w14:paraId="24F6D05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318" w:type="dxa"/>
            <w:tcBorders>
              <w:top w:val="nil"/>
              <w:left w:val="nil"/>
              <w:bottom w:val="single" w:sz="4" w:space="0" w:color="auto"/>
              <w:right w:val="single" w:sz="4" w:space="0" w:color="auto"/>
            </w:tcBorders>
            <w:shd w:val="clear" w:color="auto" w:fill="auto"/>
            <w:noWrap/>
            <w:vAlign w:val="center"/>
            <w:hideMark/>
          </w:tcPr>
          <w:p w14:paraId="2BA38B3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11,486</w:t>
            </w:r>
          </w:p>
        </w:tc>
      </w:tr>
      <w:tr w:rsidR="00C01B60" w:rsidRPr="00C01B60" w14:paraId="7358C8D4"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A47AB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w:t>
            </w:r>
          </w:p>
        </w:tc>
        <w:tc>
          <w:tcPr>
            <w:tcW w:w="1153" w:type="dxa"/>
            <w:tcBorders>
              <w:top w:val="nil"/>
              <w:left w:val="nil"/>
              <w:bottom w:val="single" w:sz="4" w:space="0" w:color="auto"/>
              <w:right w:val="single" w:sz="4" w:space="0" w:color="auto"/>
            </w:tcBorders>
            <w:shd w:val="clear" w:color="auto" w:fill="auto"/>
            <w:noWrap/>
            <w:vAlign w:val="center"/>
            <w:hideMark/>
          </w:tcPr>
          <w:p w14:paraId="7704DD1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12,312</w:t>
            </w:r>
          </w:p>
        </w:tc>
        <w:tc>
          <w:tcPr>
            <w:tcW w:w="1353" w:type="dxa"/>
            <w:tcBorders>
              <w:top w:val="nil"/>
              <w:left w:val="nil"/>
              <w:bottom w:val="single" w:sz="4" w:space="0" w:color="auto"/>
              <w:right w:val="single" w:sz="4" w:space="0" w:color="auto"/>
            </w:tcBorders>
            <w:shd w:val="clear" w:color="auto" w:fill="auto"/>
            <w:noWrap/>
            <w:vAlign w:val="center"/>
            <w:hideMark/>
          </w:tcPr>
          <w:p w14:paraId="10A31CB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1,283</w:t>
            </w:r>
          </w:p>
        </w:tc>
        <w:tc>
          <w:tcPr>
            <w:tcW w:w="1624" w:type="dxa"/>
            <w:tcBorders>
              <w:top w:val="nil"/>
              <w:left w:val="nil"/>
              <w:bottom w:val="single" w:sz="4" w:space="0" w:color="auto"/>
              <w:right w:val="single" w:sz="4" w:space="0" w:color="auto"/>
            </w:tcBorders>
            <w:shd w:val="clear" w:color="auto" w:fill="auto"/>
            <w:noWrap/>
            <w:vAlign w:val="center"/>
            <w:hideMark/>
          </w:tcPr>
          <w:p w14:paraId="5C9266E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48.48</w:t>
            </w:r>
          </w:p>
        </w:tc>
        <w:tc>
          <w:tcPr>
            <w:tcW w:w="1323" w:type="dxa"/>
            <w:tcBorders>
              <w:top w:val="nil"/>
              <w:left w:val="nil"/>
              <w:bottom w:val="single" w:sz="4" w:space="0" w:color="auto"/>
              <w:right w:val="single" w:sz="4" w:space="0" w:color="auto"/>
            </w:tcBorders>
            <w:shd w:val="clear" w:color="auto" w:fill="auto"/>
            <w:noWrap/>
            <w:vAlign w:val="center"/>
            <w:hideMark/>
          </w:tcPr>
          <w:p w14:paraId="7781DF5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318" w:type="dxa"/>
            <w:tcBorders>
              <w:top w:val="nil"/>
              <w:left w:val="nil"/>
              <w:bottom w:val="single" w:sz="4" w:space="0" w:color="auto"/>
              <w:right w:val="single" w:sz="4" w:space="0" w:color="auto"/>
            </w:tcBorders>
            <w:shd w:val="clear" w:color="auto" w:fill="auto"/>
            <w:noWrap/>
            <w:vAlign w:val="center"/>
            <w:hideMark/>
          </w:tcPr>
          <w:p w14:paraId="4C61F46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11,216</w:t>
            </w:r>
          </w:p>
        </w:tc>
        <w:tc>
          <w:tcPr>
            <w:tcW w:w="611" w:type="dxa"/>
            <w:tcBorders>
              <w:top w:val="nil"/>
              <w:left w:val="nil"/>
              <w:bottom w:val="single" w:sz="4" w:space="0" w:color="auto"/>
              <w:right w:val="single" w:sz="4" w:space="0" w:color="auto"/>
            </w:tcBorders>
            <w:shd w:val="clear" w:color="auto" w:fill="auto"/>
            <w:noWrap/>
            <w:vAlign w:val="center"/>
            <w:hideMark/>
          </w:tcPr>
          <w:p w14:paraId="64E91D1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12,312</w:t>
            </w:r>
          </w:p>
        </w:tc>
        <w:tc>
          <w:tcPr>
            <w:tcW w:w="1353" w:type="dxa"/>
            <w:tcBorders>
              <w:top w:val="nil"/>
              <w:left w:val="nil"/>
              <w:bottom w:val="single" w:sz="4" w:space="0" w:color="auto"/>
              <w:right w:val="single" w:sz="4" w:space="0" w:color="auto"/>
            </w:tcBorders>
            <w:shd w:val="clear" w:color="auto" w:fill="auto"/>
            <w:noWrap/>
            <w:vAlign w:val="center"/>
            <w:hideMark/>
          </w:tcPr>
          <w:p w14:paraId="5E0E75E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1,283</w:t>
            </w:r>
          </w:p>
        </w:tc>
        <w:tc>
          <w:tcPr>
            <w:tcW w:w="1624" w:type="dxa"/>
            <w:tcBorders>
              <w:top w:val="nil"/>
              <w:left w:val="nil"/>
              <w:bottom w:val="single" w:sz="4" w:space="0" w:color="auto"/>
              <w:right w:val="single" w:sz="4" w:space="0" w:color="auto"/>
            </w:tcBorders>
            <w:shd w:val="clear" w:color="auto" w:fill="auto"/>
            <w:noWrap/>
            <w:vAlign w:val="center"/>
            <w:hideMark/>
          </w:tcPr>
          <w:p w14:paraId="6BCE7B6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48.48</w:t>
            </w:r>
          </w:p>
        </w:tc>
        <w:tc>
          <w:tcPr>
            <w:tcW w:w="1323" w:type="dxa"/>
            <w:tcBorders>
              <w:top w:val="nil"/>
              <w:left w:val="nil"/>
              <w:bottom w:val="single" w:sz="4" w:space="0" w:color="auto"/>
              <w:right w:val="single" w:sz="4" w:space="0" w:color="auto"/>
            </w:tcBorders>
            <w:shd w:val="clear" w:color="auto" w:fill="auto"/>
            <w:noWrap/>
            <w:vAlign w:val="center"/>
            <w:hideMark/>
          </w:tcPr>
          <w:p w14:paraId="6B621A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w:t>
            </w:r>
          </w:p>
        </w:tc>
        <w:tc>
          <w:tcPr>
            <w:tcW w:w="1318" w:type="dxa"/>
            <w:tcBorders>
              <w:top w:val="nil"/>
              <w:left w:val="nil"/>
              <w:bottom w:val="single" w:sz="4" w:space="0" w:color="auto"/>
              <w:right w:val="single" w:sz="4" w:space="0" w:color="auto"/>
            </w:tcBorders>
            <w:shd w:val="clear" w:color="auto" w:fill="auto"/>
            <w:noWrap/>
            <w:vAlign w:val="center"/>
            <w:hideMark/>
          </w:tcPr>
          <w:p w14:paraId="2DA378A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11,206</w:t>
            </w:r>
          </w:p>
        </w:tc>
      </w:tr>
      <w:tr w:rsidR="00C01B60" w:rsidRPr="00C01B60" w14:paraId="102AD1B6"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1D5A4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32</w:t>
            </w:r>
          </w:p>
        </w:tc>
        <w:tc>
          <w:tcPr>
            <w:tcW w:w="1153" w:type="dxa"/>
            <w:tcBorders>
              <w:top w:val="nil"/>
              <w:left w:val="nil"/>
              <w:bottom w:val="single" w:sz="4" w:space="0" w:color="auto"/>
              <w:right w:val="single" w:sz="4" w:space="0" w:color="auto"/>
            </w:tcBorders>
            <w:shd w:val="clear" w:color="auto" w:fill="auto"/>
            <w:noWrap/>
            <w:vAlign w:val="center"/>
            <w:hideMark/>
          </w:tcPr>
          <w:p w14:paraId="711C8FE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11,081</w:t>
            </w:r>
          </w:p>
        </w:tc>
        <w:tc>
          <w:tcPr>
            <w:tcW w:w="1353" w:type="dxa"/>
            <w:tcBorders>
              <w:top w:val="nil"/>
              <w:left w:val="nil"/>
              <w:bottom w:val="single" w:sz="4" w:space="0" w:color="auto"/>
              <w:right w:val="single" w:sz="4" w:space="0" w:color="auto"/>
            </w:tcBorders>
            <w:shd w:val="clear" w:color="auto" w:fill="auto"/>
            <w:noWrap/>
            <w:vAlign w:val="center"/>
            <w:hideMark/>
          </w:tcPr>
          <w:p w14:paraId="6FC8BF3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1,299</w:t>
            </w:r>
          </w:p>
        </w:tc>
        <w:tc>
          <w:tcPr>
            <w:tcW w:w="1624" w:type="dxa"/>
            <w:tcBorders>
              <w:top w:val="nil"/>
              <w:left w:val="nil"/>
              <w:bottom w:val="single" w:sz="4" w:space="0" w:color="auto"/>
              <w:right w:val="single" w:sz="4" w:space="0" w:color="auto"/>
            </w:tcBorders>
            <w:shd w:val="clear" w:color="auto" w:fill="auto"/>
            <w:noWrap/>
            <w:vAlign w:val="center"/>
            <w:hideMark/>
          </w:tcPr>
          <w:p w14:paraId="035DAE5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54.38</w:t>
            </w:r>
          </w:p>
        </w:tc>
        <w:tc>
          <w:tcPr>
            <w:tcW w:w="1323" w:type="dxa"/>
            <w:tcBorders>
              <w:top w:val="nil"/>
              <w:left w:val="nil"/>
              <w:bottom w:val="single" w:sz="4" w:space="0" w:color="auto"/>
              <w:right w:val="single" w:sz="4" w:space="0" w:color="auto"/>
            </w:tcBorders>
            <w:shd w:val="clear" w:color="auto" w:fill="auto"/>
            <w:noWrap/>
            <w:vAlign w:val="center"/>
            <w:hideMark/>
          </w:tcPr>
          <w:p w14:paraId="3BF5894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318" w:type="dxa"/>
            <w:tcBorders>
              <w:top w:val="nil"/>
              <w:left w:val="nil"/>
              <w:bottom w:val="single" w:sz="4" w:space="0" w:color="auto"/>
              <w:right w:val="single" w:sz="4" w:space="0" w:color="auto"/>
            </w:tcBorders>
            <w:shd w:val="clear" w:color="auto" w:fill="auto"/>
            <w:noWrap/>
            <w:vAlign w:val="center"/>
            <w:hideMark/>
          </w:tcPr>
          <w:p w14:paraId="55A074E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12,852</w:t>
            </w:r>
          </w:p>
        </w:tc>
        <w:tc>
          <w:tcPr>
            <w:tcW w:w="611" w:type="dxa"/>
            <w:tcBorders>
              <w:top w:val="nil"/>
              <w:left w:val="nil"/>
              <w:bottom w:val="single" w:sz="4" w:space="0" w:color="auto"/>
              <w:right w:val="single" w:sz="4" w:space="0" w:color="auto"/>
            </w:tcBorders>
            <w:shd w:val="clear" w:color="auto" w:fill="auto"/>
            <w:noWrap/>
            <w:vAlign w:val="center"/>
            <w:hideMark/>
          </w:tcPr>
          <w:p w14:paraId="07B1DBC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11,081</w:t>
            </w:r>
          </w:p>
        </w:tc>
        <w:tc>
          <w:tcPr>
            <w:tcW w:w="1353" w:type="dxa"/>
            <w:tcBorders>
              <w:top w:val="nil"/>
              <w:left w:val="nil"/>
              <w:bottom w:val="single" w:sz="4" w:space="0" w:color="auto"/>
              <w:right w:val="single" w:sz="4" w:space="0" w:color="auto"/>
            </w:tcBorders>
            <w:shd w:val="clear" w:color="auto" w:fill="auto"/>
            <w:noWrap/>
            <w:vAlign w:val="center"/>
            <w:hideMark/>
          </w:tcPr>
          <w:p w14:paraId="4D4804B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1,299</w:t>
            </w:r>
          </w:p>
        </w:tc>
        <w:tc>
          <w:tcPr>
            <w:tcW w:w="1624" w:type="dxa"/>
            <w:tcBorders>
              <w:top w:val="nil"/>
              <w:left w:val="nil"/>
              <w:bottom w:val="single" w:sz="4" w:space="0" w:color="auto"/>
              <w:right w:val="single" w:sz="4" w:space="0" w:color="auto"/>
            </w:tcBorders>
            <w:shd w:val="clear" w:color="auto" w:fill="auto"/>
            <w:noWrap/>
            <w:vAlign w:val="center"/>
            <w:hideMark/>
          </w:tcPr>
          <w:p w14:paraId="5EE950D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54.38</w:t>
            </w:r>
          </w:p>
        </w:tc>
        <w:tc>
          <w:tcPr>
            <w:tcW w:w="1323" w:type="dxa"/>
            <w:tcBorders>
              <w:top w:val="nil"/>
              <w:left w:val="nil"/>
              <w:bottom w:val="single" w:sz="4" w:space="0" w:color="auto"/>
              <w:right w:val="single" w:sz="4" w:space="0" w:color="auto"/>
            </w:tcBorders>
            <w:shd w:val="clear" w:color="auto" w:fill="auto"/>
            <w:noWrap/>
            <w:vAlign w:val="center"/>
            <w:hideMark/>
          </w:tcPr>
          <w:p w14:paraId="37CE638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03CDFB3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12,839</w:t>
            </w:r>
          </w:p>
        </w:tc>
      </w:tr>
      <w:tr w:rsidR="00C01B60" w:rsidRPr="00C01B60" w14:paraId="275F4A2D"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BBE21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33</w:t>
            </w:r>
          </w:p>
        </w:tc>
        <w:tc>
          <w:tcPr>
            <w:tcW w:w="1153" w:type="dxa"/>
            <w:tcBorders>
              <w:top w:val="nil"/>
              <w:left w:val="nil"/>
              <w:bottom w:val="single" w:sz="4" w:space="0" w:color="auto"/>
              <w:right w:val="single" w:sz="4" w:space="0" w:color="auto"/>
            </w:tcBorders>
            <w:shd w:val="clear" w:color="auto" w:fill="auto"/>
            <w:noWrap/>
            <w:vAlign w:val="center"/>
            <w:hideMark/>
          </w:tcPr>
          <w:p w14:paraId="23DDAEA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9,973</w:t>
            </w:r>
          </w:p>
        </w:tc>
        <w:tc>
          <w:tcPr>
            <w:tcW w:w="1353" w:type="dxa"/>
            <w:tcBorders>
              <w:top w:val="nil"/>
              <w:left w:val="nil"/>
              <w:bottom w:val="single" w:sz="4" w:space="0" w:color="auto"/>
              <w:right w:val="single" w:sz="4" w:space="0" w:color="auto"/>
            </w:tcBorders>
            <w:shd w:val="clear" w:color="auto" w:fill="auto"/>
            <w:noWrap/>
            <w:vAlign w:val="center"/>
            <w:hideMark/>
          </w:tcPr>
          <w:p w14:paraId="0A8200C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1,316</w:t>
            </w:r>
          </w:p>
        </w:tc>
        <w:tc>
          <w:tcPr>
            <w:tcW w:w="1624" w:type="dxa"/>
            <w:tcBorders>
              <w:top w:val="nil"/>
              <w:left w:val="nil"/>
              <w:bottom w:val="single" w:sz="4" w:space="0" w:color="auto"/>
              <w:right w:val="single" w:sz="4" w:space="0" w:color="auto"/>
            </w:tcBorders>
            <w:shd w:val="clear" w:color="auto" w:fill="auto"/>
            <w:noWrap/>
            <w:vAlign w:val="center"/>
            <w:hideMark/>
          </w:tcPr>
          <w:p w14:paraId="3864B06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60.45</w:t>
            </w:r>
          </w:p>
        </w:tc>
        <w:tc>
          <w:tcPr>
            <w:tcW w:w="1323" w:type="dxa"/>
            <w:tcBorders>
              <w:top w:val="nil"/>
              <w:left w:val="nil"/>
              <w:bottom w:val="single" w:sz="4" w:space="0" w:color="auto"/>
              <w:right w:val="single" w:sz="4" w:space="0" w:color="auto"/>
            </w:tcBorders>
            <w:shd w:val="clear" w:color="auto" w:fill="auto"/>
            <w:noWrap/>
            <w:vAlign w:val="center"/>
            <w:hideMark/>
          </w:tcPr>
          <w:p w14:paraId="09D03EA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1500615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14,028</w:t>
            </w:r>
          </w:p>
        </w:tc>
        <w:tc>
          <w:tcPr>
            <w:tcW w:w="611" w:type="dxa"/>
            <w:tcBorders>
              <w:top w:val="nil"/>
              <w:left w:val="nil"/>
              <w:bottom w:val="single" w:sz="4" w:space="0" w:color="auto"/>
              <w:right w:val="single" w:sz="4" w:space="0" w:color="auto"/>
            </w:tcBorders>
            <w:shd w:val="clear" w:color="auto" w:fill="auto"/>
            <w:noWrap/>
            <w:vAlign w:val="center"/>
            <w:hideMark/>
          </w:tcPr>
          <w:p w14:paraId="4AA303D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9,973</w:t>
            </w:r>
          </w:p>
        </w:tc>
        <w:tc>
          <w:tcPr>
            <w:tcW w:w="1353" w:type="dxa"/>
            <w:tcBorders>
              <w:top w:val="nil"/>
              <w:left w:val="nil"/>
              <w:bottom w:val="single" w:sz="4" w:space="0" w:color="auto"/>
              <w:right w:val="single" w:sz="4" w:space="0" w:color="auto"/>
            </w:tcBorders>
            <w:shd w:val="clear" w:color="auto" w:fill="auto"/>
            <w:noWrap/>
            <w:vAlign w:val="center"/>
            <w:hideMark/>
          </w:tcPr>
          <w:p w14:paraId="6AD6787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1,316</w:t>
            </w:r>
          </w:p>
        </w:tc>
        <w:tc>
          <w:tcPr>
            <w:tcW w:w="1624" w:type="dxa"/>
            <w:tcBorders>
              <w:top w:val="nil"/>
              <w:left w:val="nil"/>
              <w:bottom w:val="single" w:sz="4" w:space="0" w:color="auto"/>
              <w:right w:val="single" w:sz="4" w:space="0" w:color="auto"/>
            </w:tcBorders>
            <w:shd w:val="clear" w:color="auto" w:fill="auto"/>
            <w:noWrap/>
            <w:vAlign w:val="center"/>
            <w:hideMark/>
          </w:tcPr>
          <w:p w14:paraId="40D92E2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60.45</w:t>
            </w:r>
          </w:p>
        </w:tc>
        <w:tc>
          <w:tcPr>
            <w:tcW w:w="1323" w:type="dxa"/>
            <w:tcBorders>
              <w:top w:val="nil"/>
              <w:left w:val="nil"/>
              <w:bottom w:val="single" w:sz="4" w:space="0" w:color="auto"/>
              <w:right w:val="single" w:sz="4" w:space="0" w:color="auto"/>
            </w:tcBorders>
            <w:shd w:val="clear" w:color="auto" w:fill="auto"/>
            <w:noWrap/>
            <w:vAlign w:val="center"/>
            <w:hideMark/>
          </w:tcPr>
          <w:p w14:paraId="66CC407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44D12AA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14,576</w:t>
            </w:r>
          </w:p>
        </w:tc>
      </w:tr>
      <w:tr w:rsidR="00C01B60" w:rsidRPr="00C01B60" w14:paraId="57F7A6BB"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AD689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34</w:t>
            </w:r>
          </w:p>
        </w:tc>
        <w:tc>
          <w:tcPr>
            <w:tcW w:w="1153" w:type="dxa"/>
            <w:tcBorders>
              <w:top w:val="nil"/>
              <w:left w:val="nil"/>
              <w:bottom w:val="single" w:sz="4" w:space="0" w:color="auto"/>
              <w:right w:val="single" w:sz="4" w:space="0" w:color="auto"/>
            </w:tcBorders>
            <w:shd w:val="clear" w:color="auto" w:fill="auto"/>
            <w:noWrap/>
            <w:vAlign w:val="center"/>
            <w:hideMark/>
          </w:tcPr>
          <w:p w14:paraId="5091D38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8,975</w:t>
            </w:r>
          </w:p>
        </w:tc>
        <w:tc>
          <w:tcPr>
            <w:tcW w:w="1353" w:type="dxa"/>
            <w:tcBorders>
              <w:top w:val="nil"/>
              <w:left w:val="nil"/>
              <w:bottom w:val="single" w:sz="4" w:space="0" w:color="auto"/>
              <w:right w:val="single" w:sz="4" w:space="0" w:color="auto"/>
            </w:tcBorders>
            <w:shd w:val="clear" w:color="auto" w:fill="auto"/>
            <w:noWrap/>
            <w:vAlign w:val="center"/>
            <w:hideMark/>
          </w:tcPr>
          <w:p w14:paraId="056BB84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1,333</w:t>
            </w:r>
          </w:p>
        </w:tc>
        <w:tc>
          <w:tcPr>
            <w:tcW w:w="1624" w:type="dxa"/>
            <w:tcBorders>
              <w:top w:val="nil"/>
              <w:left w:val="nil"/>
              <w:bottom w:val="single" w:sz="4" w:space="0" w:color="auto"/>
              <w:right w:val="single" w:sz="4" w:space="0" w:color="auto"/>
            </w:tcBorders>
            <w:shd w:val="clear" w:color="auto" w:fill="auto"/>
            <w:noWrap/>
            <w:vAlign w:val="center"/>
            <w:hideMark/>
          </w:tcPr>
          <w:p w14:paraId="10887EE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66.67</w:t>
            </w:r>
          </w:p>
        </w:tc>
        <w:tc>
          <w:tcPr>
            <w:tcW w:w="1323" w:type="dxa"/>
            <w:tcBorders>
              <w:top w:val="nil"/>
              <w:left w:val="nil"/>
              <w:bottom w:val="single" w:sz="4" w:space="0" w:color="auto"/>
              <w:right w:val="single" w:sz="4" w:space="0" w:color="auto"/>
            </w:tcBorders>
            <w:shd w:val="clear" w:color="auto" w:fill="auto"/>
            <w:noWrap/>
            <w:vAlign w:val="center"/>
            <w:hideMark/>
          </w:tcPr>
          <w:p w14:paraId="5F78AC2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3371E86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15,800</w:t>
            </w:r>
          </w:p>
        </w:tc>
        <w:tc>
          <w:tcPr>
            <w:tcW w:w="611" w:type="dxa"/>
            <w:tcBorders>
              <w:top w:val="nil"/>
              <w:left w:val="nil"/>
              <w:bottom w:val="single" w:sz="4" w:space="0" w:color="auto"/>
              <w:right w:val="single" w:sz="4" w:space="0" w:color="auto"/>
            </w:tcBorders>
            <w:shd w:val="clear" w:color="auto" w:fill="auto"/>
            <w:noWrap/>
            <w:vAlign w:val="center"/>
            <w:hideMark/>
          </w:tcPr>
          <w:p w14:paraId="33EE92A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8,975</w:t>
            </w:r>
          </w:p>
        </w:tc>
        <w:tc>
          <w:tcPr>
            <w:tcW w:w="1353" w:type="dxa"/>
            <w:tcBorders>
              <w:top w:val="nil"/>
              <w:left w:val="nil"/>
              <w:bottom w:val="single" w:sz="4" w:space="0" w:color="auto"/>
              <w:right w:val="single" w:sz="4" w:space="0" w:color="auto"/>
            </w:tcBorders>
            <w:shd w:val="clear" w:color="auto" w:fill="auto"/>
            <w:noWrap/>
            <w:vAlign w:val="center"/>
            <w:hideMark/>
          </w:tcPr>
          <w:p w14:paraId="627C466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1,333</w:t>
            </w:r>
          </w:p>
        </w:tc>
        <w:tc>
          <w:tcPr>
            <w:tcW w:w="1624" w:type="dxa"/>
            <w:tcBorders>
              <w:top w:val="nil"/>
              <w:left w:val="nil"/>
              <w:bottom w:val="single" w:sz="4" w:space="0" w:color="auto"/>
              <w:right w:val="single" w:sz="4" w:space="0" w:color="auto"/>
            </w:tcBorders>
            <w:shd w:val="clear" w:color="auto" w:fill="auto"/>
            <w:noWrap/>
            <w:vAlign w:val="center"/>
            <w:hideMark/>
          </w:tcPr>
          <w:p w14:paraId="54A62A1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66.67</w:t>
            </w:r>
          </w:p>
        </w:tc>
        <w:tc>
          <w:tcPr>
            <w:tcW w:w="1323" w:type="dxa"/>
            <w:tcBorders>
              <w:top w:val="nil"/>
              <w:left w:val="nil"/>
              <w:bottom w:val="single" w:sz="4" w:space="0" w:color="auto"/>
              <w:right w:val="single" w:sz="4" w:space="0" w:color="auto"/>
            </w:tcBorders>
            <w:shd w:val="clear" w:color="auto" w:fill="auto"/>
            <w:noWrap/>
            <w:vAlign w:val="center"/>
            <w:hideMark/>
          </w:tcPr>
          <w:p w14:paraId="05AACA6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0423441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15,785</w:t>
            </w:r>
          </w:p>
        </w:tc>
      </w:tr>
      <w:tr w:rsidR="00C01B60" w:rsidRPr="00C01B60" w14:paraId="3BE21A26"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C42A4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w:t>
            </w:r>
          </w:p>
        </w:tc>
        <w:tc>
          <w:tcPr>
            <w:tcW w:w="1153" w:type="dxa"/>
            <w:tcBorders>
              <w:top w:val="nil"/>
              <w:left w:val="nil"/>
              <w:bottom w:val="single" w:sz="4" w:space="0" w:color="auto"/>
              <w:right w:val="single" w:sz="4" w:space="0" w:color="auto"/>
            </w:tcBorders>
            <w:shd w:val="clear" w:color="auto" w:fill="auto"/>
            <w:noWrap/>
            <w:vAlign w:val="center"/>
            <w:hideMark/>
          </w:tcPr>
          <w:p w14:paraId="4A95BCA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8,078</w:t>
            </w:r>
          </w:p>
        </w:tc>
        <w:tc>
          <w:tcPr>
            <w:tcW w:w="1353" w:type="dxa"/>
            <w:tcBorders>
              <w:top w:val="nil"/>
              <w:left w:val="nil"/>
              <w:bottom w:val="single" w:sz="4" w:space="0" w:color="auto"/>
              <w:right w:val="single" w:sz="4" w:space="0" w:color="auto"/>
            </w:tcBorders>
            <w:shd w:val="clear" w:color="auto" w:fill="auto"/>
            <w:noWrap/>
            <w:vAlign w:val="center"/>
            <w:hideMark/>
          </w:tcPr>
          <w:p w14:paraId="6D743A7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1,351</w:t>
            </w:r>
          </w:p>
        </w:tc>
        <w:tc>
          <w:tcPr>
            <w:tcW w:w="1624" w:type="dxa"/>
            <w:tcBorders>
              <w:top w:val="nil"/>
              <w:left w:val="nil"/>
              <w:bottom w:val="single" w:sz="4" w:space="0" w:color="auto"/>
              <w:right w:val="single" w:sz="4" w:space="0" w:color="auto"/>
            </w:tcBorders>
            <w:shd w:val="clear" w:color="auto" w:fill="auto"/>
            <w:noWrap/>
            <w:vAlign w:val="center"/>
            <w:hideMark/>
          </w:tcPr>
          <w:p w14:paraId="1EF416F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73.05</w:t>
            </w:r>
          </w:p>
        </w:tc>
        <w:tc>
          <w:tcPr>
            <w:tcW w:w="1323" w:type="dxa"/>
            <w:tcBorders>
              <w:top w:val="nil"/>
              <w:left w:val="nil"/>
              <w:bottom w:val="single" w:sz="4" w:space="0" w:color="auto"/>
              <w:right w:val="single" w:sz="4" w:space="0" w:color="auto"/>
            </w:tcBorders>
            <w:shd w:val="clear" w:color="auto" w:fill="auto"/>
            <w:noWrap/>
            <w:vAlign w:val="center"/>
            <w:hideMark/>
          </w:tcPr>
          <w:p w14:paraId="1520CD1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2668549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17,679</w:t>
            </w:r>
          </w:p>
        </w:tc>
        <w:tc>
          <w:tcPr>
            <w:tcW w:w="611" w:type="dxa"/>
            <w:tcBorders>
              <w:top w:val="nil"/>
              <w:left w:val="nil"/>
              <w:bottom w:val="single" w:sz="4" w:space="0" w:color="auto"/>
              <w:right w:val="single" w:sz="4" w:space="0" w:color="auto"/>
            </w:tcBorders>
            <w:shd w:val="clear" w:color="auto" w:fill="auto"/>
            <w:noWrap/>
            <w:vAlign w:val="center"/>
            <w:hideMark/>
          </w:tcPr>
          <w:p w14:paraId="0B81833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8,078</w:t>
            </w:r>
          </w:p>
        </w:tc>
        <w:tc>
          <w:tcPr>
            <w:tcW w:w="1353" w:type="dxa"/>
            <w:tcBorders>
              <w:top w:val="nil"/>
              <w:left w:val="nil"/>
              <w:bottom w:val="single" w:sz="4" w:space="0" w:color="auto"/>
              <w:right w:val="single" w:sz="4" w:space="0" w:color="auto"/>
            </w:tcBorders>
            <w:shd w:val="clear" w:color="auto" w:fill="auto"/>
            <w:noWrap/>
            <w:vAlign w:val="center"/>
            <w:hideMark/>
          </w:tcPr>
          <w:p w14:paraId="0293997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1,351</w:t>
            </w:r>
          </w:p>
        </w:tc>
        <w:tc>
          <w:tcPr>
            <w:tcW w:w="1624" w:type="dxa"/>
            <w:tcBorders>
              <w:top w:val="nil"/>
              <w:left w:val="nil"/>
              <w:bottom w:val="single" w:sz="4" w:space="0" w:color="auto"/>
              <w:right w:val="single" w:sz="4" w:space="0" w:color="auto"/>
            </w:tcBorders>
            <w:shd w:val="clear" w:color="auto" w:fill="auto"/>
            <w:noWrap/>
            <w:vAlign w:val="center"/>
            <w:hideMark/>
          </w:tcPr>
          <w:p w14:paraId="737344D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73.05</w:t>
            </w:r>
          </w:p>
        </w:tc>
        <w:tc>
          <w:tcPr>
            <w:tcW w:w="1323" w:type="dxa"/>
            <w:tcBorders>
              <w:top w:val="nil"/>
              <w:left w:val="nil"/>
              <w:bottom w:val="single" w:sz="4" w:space="0" w:color="auto"/>
              <w:right w:val="single" w:sz="4" w:space="0" w:color="auto"/>
            </w:tcBorders>
            <w:shd w:val="clear" w:color="auto" w:fill="auto"/>
            <w:noWrap/>
            <w:vAlign w:val="center"/>
            <w:hideMark/>
          </w:tcPr>
          <w:p w14:paraId="2823F6E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06C482F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17,661</w:t>
            </w:r>
          </w:p>
        </w:tc>
      </w:tr>
      <w:tr w:rsidR="00C01B60" w:rsidRPr="00C01B60" w14:paraId="025590EC"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11EF6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36</w:t>
            </w:r>
          </w:p>
        </w:tc>
        <w:tc>
          <w:tcPr>
            <w:tcW w:w="1153" w:type="dxa"/>
            <w:tcBorders>
              <w:top w:val="nil"/>
              <w:left w:val="nil"/>
              <w:bottom w:val="single" w:sz="4" w:space="0" w:color="auto"/>
              <w:right w:val="single" w:sz="4" w:space="0" w:color="auto"/>
            </w:tcBorders>
            <w:shd w:val="clear" w:color="auto" w:fill="auto"/>
            <w:noWrap/>
            <w:vAlign w:val="center"/>
            <w:hideMark/>
          </w:tcPr>
          <w:p w14:paraId="071A4D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7,270</w:t>
            </w:r>
          </w:p>
        </w:tc>
        <w:tc>
          <w:tcPr>
            <w:tcW w:w="1353" w:type="dxa"/>
            <w:tcBorders>
              <w:top w:val="nil"/>
              <w:left w:val="nil"/>
              <w:bottom w:val="single" w:sz="4" w:space="0" w:color="auto"/>
              <w:right w:val="single" w:sz="4" w:space="0" w:color="auto"/>
            </w:tcBorders>
            <w:shd w:val="clear" w:color="auto" w:fill="auto"/>
            <w:noWrap/>
            <w:vAlign w:val="center"/>
            <w:hideMark/>
          </w:tcPr>
          <w:p w14:paraId="170FED3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1,368</w:t>
            </w:r>
          </w:p>
        </w:tc>
        <w:tc>
          <w:tcPr>
            <w:tcW w:w="1624" w:type="dxa"/>
            <w:tcBorders>
              <w:top w:val="nil"/>
              <w:left w:val="nil"/>
              <w:bottom w:val="single" w:sz="4" w:space="0" w:color="auto"/>
              <w:right w:val="single" w:sz="4" w:space="0" w:color="auto"/>
            </w:tcBorders>
            <w:shd w:val="clear" w:color="auto" w:fill="auto"/>
            <w:noWrap/>
            <w:vAlign w:val="center"/>
            <w:hideMark/>
          </w:tcPr>
          <w:p w14:paraId="590B914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79.35</w:t>
            </w:r>
          </w:p>
        </w:tc>
        <w:tc>
          <w:tcPr>
            <w:tcW w:w="1323" w:type="dxa"/>
            <w:tcBorders>
              <w:top w:val="nil"/>
              <w:left w:val="nil"/>
              <w:bottom w:val="single" w:sz="4" w:space="0" w:color="auto"/>
              <w:right w:val="single" w:sz="4" w:space="0" w:color="auto"/>
            </w:tcBorders>
            <w:shd w:val="clear" w:color="auto" w:fill="auto"/>
            <w:noWrap/>
            <w:vAlign w:val="center"/>
            <w:hideMark/>
          </w:tcPr>
          <w:p w14:paraId="2BD1ED4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2F894A8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19,611</w:t>
            </w:r>
          </w:p>
        </w:tc>
        <w:tc>
          <w:tcPr>
            <w:tcW w:w="611" w:type="dxa"/>
            <w:tcBorders>
              <w:top w:val="nil"/>
              <w:left w:val="nil"/>
              <w:bottom w:val="single" w:sz="4" w:space="0" w:color="auto"/>
              <w:right w:val="single" w:sz="4" w:space="0" w:color="auto"/>
            </w:tcBorders>
            <w:shd w:val="clear" w:color="auto" w:fill="auto"/>
            <w:noWrap/>
            <w:vAlign w:val="center"/>
            <w:hideMark/>
          </w:tcPr>
          <w:p w14:paraId="40FD400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7,270</w:t>
            </w:r>
          </w:p>
        </w:tc>
        <w:tc>
          <w:tcPr>
            <w:tcW w:w="1353" w:type="dxa"/>
            <w:tcBorders>
              <w:top w:val="nil"/>
              <w:left w:val="nil"/>
              <w:bottom w:val="single" w:sz="4" w:space="0" w:color="auto"/>
              <w:right w:val="single" w:sz="4" w:space="0" w:color="auto"/>
            </w:tcBorders>
            <w:shd w:val="clear" w:color="auto" w:fill="auto"/>
            <w:noWrap/>
            <w:vAlign w:val="center"/>
            <w:hideMark/>
          </w:tcPr>
          <w:p w14:paraId="4E8D8F8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1,368</w:t>
            </w:r>
          </w:p>
        </w:tc>
        <w:tc>
          <w:tcPr>
            <w:tcW w:w="1624" w:type="dxa"/>
            <w:tcBorders>
              <w:top w:val="nil"/>
              <w:left w:val="nil"/>
              <w:bottom w:val="single" w:sz="4" w:space="0" w:color="auto"/>
              <w:right w:val="single" w:sz="4" w:space="0" w:color="auto"/>
            </w:tcBorders>
            <w:shd w:val="clear" w:color="auto" w:fill="auto"/>
            <w:noWrap/>
            <w:vAlign w:val="center"/>
            <w:hideMark/>
          </w:tcPr>
          <w:p w14:paraId="27C8F39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79.35</w:t>
            </w:r>
          </w:p>
        </w:tc>
        <w:tc>
          <w:tcPr>
            <w:tcW w:w="1323" w:type="dxa"/>
            <w:tcBorders>
              <w:top w:val="nil"/>
              <w:left w:val="nil"/>
              <w:bottom w:val="single" w:sz="4" w:space="0" w:color="auto"/>
              <w:right w:val="single" w:sz="4" w:space="0" w:color="auto"/>
            </w:tcBorders>
            <w:shd w:val="clear" w:color="auto" w:fill="auto"/>
            <w:noWrap/>
            <w:vAlign w:val="center"/>
            <w:hideMark/>
          </w:tcPr>
          <w:p w14:paraId="633663E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w:t>
            </w:r>
          </w:p>
        </w:tc>
        <w:tc>
          <w:tcPr>
            <w:tcW w:w="1318" w:type="dxa"/>
            <w:tcBorders>
              <w:top w:val="nil"/>
              <w:left w:val="nil"/>
              <w:bottom w:val="single" w:sz="4" w:space="0" w:color="auto"/>
              <w:right w:val="single" w:sz="4" w:space="0" w:color="auto"/>
            </w:tcBorders>
            <w:shd w:val="clear" w:color="auto" w:fill="auto"/>
            <w:noWrap/>
            <w:vAlign w:val="center"/>
            <w:hideMark/>
          </w:tcPr>
          <w:p w14:paraId="38A3E35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19,591</w:t>
            </w:r>
          </w:p>
        </w:tc>
      </w:tr>
      <w:tr w:rsidR="00C01B60" w:rsidRPr="00C01B60" w14:paraId="56B3CF25"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A55B1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37</w:t>
            </w:r>
          </w:p>
        </w:tc>
        <w:tc>
          <w:tcPr>
            <w:tcW w:w="1153" w:type="dxa"/>
            <w:tcBorders>
              <w:top w:val="nil"/>
              <w:left w:val="nil"/>
              <w:bottom w:val="single" w:sz="4" w:space="0" w:color="auto"/>
              <w:right w:val="single" w:sz="4" w:space="0" w:color="auto"/>
            </w:tcBorders>
            <w:shd w:val="clear" w:color="auto" w:fill="auto"/>
            <w:noWrap/>
            <w:vAlign w:val="center"/>
            <w:hideMark/>
          </w:tcPr>
          <w:p w14:paraId="0DA370E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6,543</w:t>
            </w:r>
          </w:p>
        </w:tc>
        <w:tc>
          <w:tcPr>
            <w:tcW w:w="1353" w:type="dxa"/>
            <w:tcBorders>
              <w:top w:val="nil"/>
              <w:left w:val="nil"/>
              <w:bottom w:val="single" w:sz="4" w:space="0" w:color="auto"/>
              <w:right w:val="single" w:sz="4" w:space="0" w:color="auto"/>
            </w:tcBorders>
            <w:shd w:val="clear" w:color="auto" w:fill="auto"/>
            <w:noWrap/>
            <w:vAlign w:val="center"/>
            <w:hideMark/>
          </w:tcPr>
          <w:p w14:paraId="522EEA3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1,386</w:t>
            </w:r>
          </w:p>
        </w:tc>
        <w:tc>
          <w:tcPr>
            <w:tcW w:w="1624" w:type="dxa"/>
            <w:tcBorders>
              <w:top w:val="nil"/>
              <w:left w:val="nil"/>
              <w:bottom w:val="single" w:sz="4" w:space="0" w:color="auto"/>
              <w:right w:val="single" w:sz="4" w:space="0" w:color="auto"/>
            </w:tcBorders>
            <w:shd w:val="clear" w:color="auto" w:fill="auto"/>
            <w:noWrap/>
            <w:vAlign w:val="center"/>
            <w:hideMark/>
          </w:tcPr>
          <w:p w14:paraId="6CDD195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85.54</w:t>
            </w:r>
          </w:p>
        </w:tc>
        <w:tc>
          <w:tcPr>
            <w:tcW w:w="1323" w:type="dxa"/>
            <w:tcBorders>
              <w:top w:val="nil"/>
              <w:left w:val="nil"/>
              <w:bottom w:val="single" w:sz="4" w:space="0" w:color="auto"/>
              <w:right w:val="single" w:sz="4" w:space="0" w:color="auto"/>
            </w:tcBorders>
            <w:shd w:val="clear" w:color="auto" w:fill="auto"/>
            <w:noWrap/>
            <w:vAlign w:val="center"/>
            <w:hideMark/>
          </w:tcPr>
          <w:p w14:paraId="792165F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11515BE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21,598</w:t>
            </w:r>
          </w:p>
        </w:tc>
        <w:tc>
          <w:tcPr>
            <w:tcW w:w="611" w:type="dxa"/>
            <w:tcBorders>
              <w:top w:val="nil"/>
              <w:left w:val="nil"/>
              <w:bottom w:val="single" w:sz="4" w:space="0" w:color="auto"/>
              <w:right w:val="single" w:sz="4" w:space="0" w:color="auto"/>
            </w:tcBorders>
            <w:shd w:val="clear" w:color="auto" w:fill="auto"/>
            <w:noWrap/>
            <w:vAlign w:val="center"/>
            <w:hideMark/>
          </w:tcPr>
          <w:p w14:paraId="7940203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6,543</w:t>
            </w:r>
          </w:p>
        </w:tc>
        <w:tc>
          <w:tcPr>
            <w:tcW w:w="1353" w:type="dxa"/>
            <w:tcBorders>
              <w:top w:val="nil"/>
              <w:left w:val="nil"/>
              <w:bottom w:val="single" w:sz="4" w:space="0" w:color="auto"/>
              <w:right w:val="single" w:sz="4" w:space="0" w:color="auto"/>
            </w:tcBorders>
            <w:shd w:val="clear" w:color="auto" w:fill="auto"/>
            <w:noWrap/>
            <w:vAlign w:val="center"/>
            <w:hideMark/>
          </w:tcPr>
          <w:p w14:paraId="2C20894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1,386</w:t>
            </w:r>
          </w:p>
        </w:tc>
        <w:tc>
          <w:tcPr>
            <w:tcW w:w="1624" w:type="dxa"/>
            <w:tcBorders>
              <w:top w:val="nil"/>
              <w:left w:val="nil"/>
              <w:bottom w:val="single" w:sz="4" w:space="0" w:color="auto"/>
              <w:right w:val="single" w:sz="4" w:space="0" w:color="auto"/>
            </w:tcBorders>
            <w:shd w:val="clear" w:color="auto" w:fill="auto"/>
            <w:noWrap/>
            <w:vAlign w:val="center"/>
            <w:hideMark/>
          </w:tcPr>
          <w:p w14:paraId="773FB56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85.54</w:t>
            </w:r>
          </w:p>
        </w:tc>
        <w:tc>
          <w:tcPr>
            <w:tcW w:w="1323" w:type="dxa"/>
            <w:tcBorders>
              <w:top w:val="nil"/>
              <w:left w:val="nil"/>
              <w:bottom w:val="single" w:sz="4" w:space="0" w:color="auto"/>
              <w:right w:val="single" w:sz="4" w:space="0" w:color="auto"/>
            </w:tcBorders>
            <w:shd w:val="clear" w:color="auto" w:fill="auto"/>
            <w:noWrap/>
            <w:vAlign w:val="center"/>
            <w:hideMark/>
          </w:tcPr>
          <w:p w14:paraId="621FCC6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318" w:type="dxa"/>
            <w:tcBorders>
              <w:top w:val="nil"/>
              <w:left w:val="nil"/>
              <w:bottom w:val="single" w:sz="4" w:space="0" w:color="auto"/>
              <w:right w:val="single" w:sz="4" w:space="0" w:color="auto"/>
            </w:tcBorders>
            <w:shd w:val="clear" w:color="auto" w:fill="auto"/>
            <w:noWrap/>
            <w:vAlign w:val="center"/>
            <w:hideMark/>
          </w:tcPr>
          <w:p w14:paraId="78F128B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21,576</w:t>
            </w:r>
          </w:p>
        </w:tc>
      </w:tr>
      <w:tr w:rsidR="00C01B60" w:rsidRPr="00C01B60" w14:paraId="2535FF63"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1E90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38</w:t>
            </w:r>
          </w:p>
        </w:tc>
        <w:tc>
          <w:tcPr>
            <w:tcW w:w="1153" w:type="dxa"/>
            <w:tcBorders>
              <w:top w:val="nil"/>
              <w:left w:val="nil"/>
              <w:bottom w:val="single" w:sz="4" w:space="0" w:color="auto"/>
              <w:right w:val="single" w:sz="4" w:space="0" w:color="auto"/>
            </w:tcBorders>
            <w:shd w:val="clear" w:color="auto" w:fill="auto"/>
            <w:noWrap/>
            <w:vAlign w:val="center"/>
            <w:hideMark/>
          </w:tcPr>
          <w:p w14:paraId="6E8E61C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5,889</w:t>
            </w:r>
          </w:p>
        </w:tc>
        <w:tc>
          <w:tcPr>
            <w:tcW w:w="1353" w:type="dxa"/>
            <w:tcBorders>
              <w:top w:val="nil"/>
              <w:left w:val="nil"/>
              <w:bottom w:val="single" w:sz="4" w:space="0" w:color="auto"/>
              <w:right w:val="single" w:sz="4" w:space="0" w:color="auto"/>
            </w:tcBorders>
            <w:shd w:val="clear" w:color="auto" w:fill="auto"/>
            <w:noWrap/>
            <w:vAlign w:val="center"/>
            <w:hideMark/>
          </w:tcPr>
          <w:p w14:paraId="674A993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1,404</w:t>
            </w:r>
          </w:p>
        </w:tc>
        <w:tc>
          <w:tcPr>
            <w:tcW w:w="1624" w:type="dxa"/>
            <w:tcBorders>
              <w:top w:val="nil"/>
              <w:left w:val="nil"/>
              <w:bottom w:val="single" w:sz="4" w:space="0" w:color="auto"/>
              <w:right w:val="single" w:sz="4" w:space="0" w:color="auto"/>
            </w:tcBorders>
            <w:shd w:val="clear" w:color="auto" w:fill="auto"/>
            <w:noWrap/>
            <w:vAlign w:val="center"/>
            <w:hideMark/>
          </w:tcPr>
          <w:p w14:paraId="33E49F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91.63</w:t>
            </w:r>
          </w:p>
        </w:tc>
        <w:tc>
          <w:tcPr>
            <w:tcW w:w="1323" w:type="dxa"/>
            <w:tcBorders>
              <w:top w:val="nil"/>
              <w:left w:val="nil"/>
              <w:bottom w:val="single" w:sz="4" w:space="0" w:color="auto"/>
              <w:right w:val="single" w:sz="4" w:space="0" w:color="auto"/>
            </w:tcBorders>
            <w:shd w:val="clear" w:color="auto" w:fill="auto"/>
            <w:noWrap/>
            <w:vAlign w:val="center"/>
            <w:hideMark/>
          </w:tcPr>
          <w:p w14:paraId="64BB9D7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0C95FFA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23,640</w:t>
            </w:r>
          </w:p>
        </w:tc>
        <w:tc>
          <w:tcPr>
            <w:tcW w:w="611" w:type="dxa"/>
            <w:tcBorders>
              <w:top w:val="nil"/>
              <w:left w:val="nil"/>
              <w:bottom w:val="single" w:sz="4" w:space="0" w:color="auto"/>
              <w:right w:val="single" w:sz="4" w:space="0" w:color="auto"/>
            </w:tcBorders>
            <w:shd w:val="clear" w:color="auto" w:fill="auto"/>
            <w:noWrap/>
            <w:vAlign w:val="center"/>
            <w:hideMark/>
          </w:tcPr>
          <w:p w14:paraId="717DA6C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5,889</w:t>
            </w:r>
          </w:p>
        </w:tc>
        <w:tc>
          <w:tcPr>
            <w:tcW w:w="1353" w:type="dxa"/>
            <w:tcBorders>
              <w:top w:val="nil"/>
              <w:left w:val="nil"/>
              <w:bottom w:val="single" w:sz="4" w:space="0" w:color="auto"/>
              <w:right w:val="single" w:sz="4" w:space="0" w:color="auto"/>
            </w:tcBorders>
            <w:shd w:val="clear" w:color="auto" w:fill="auto"/>
            <w:noWrap/>
            <w:vAlign w:val="center"/>
            <w:hideMark/>
          </w:tcPr>
          <w:p w14:paraId="7C74C6F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1,404</w:t>
            </w:r>
          </w:p>
        </w:tc>
        <w:tc>
          <w:tcPr>
            <w:tcW w:w="1624" w:type="dxa"/>
            <w:tcBorders>
              <w:top w:val="nil"/>
              <w:left w:val="nil"/>
              <w:bottom w:val="single" w:sz="4" w:space="0" w:color="auto"/>
              <w:right w:val="single" w:sz="4" w:space="0" w:color="auto"/>
            </w:tcBorders>
            <w:shd w:val="clear" w:color="auto" w:fill="auto"/>
            <w:noWrap/>
            <w:vAlign w:val="center"/>
            <w:hideMark/>
          </w:tcPr>
          <w:p w14:paraId="27029A8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91.63</w:t>
            </w:r>
          </w:p>
        </w:tc>
        <w:tc>
          <w:tcPr>
            <w:tcW w:w="1323" w:type="dxa"/>
            <w:tcBorders>
              <w:top w:val="nil"/>
              <w:left w:val="nil"/>
              <w:bottom w:val="single" w:sz="4" w:space="0" w:color="auto"/>
              <w:right w:val="single" w:sz="4" w:space="0" w:color="auto"/>
            </w:tcBorders>
            <w:shd w:val="clear" w:color="auto" w:fill="auto"/>
            <w:noWrap/>
            <w:vAlign w:val="center"/>
            <w:hideMark/>
          </w:tcPr>
          <w:p w14:paraId="29EECC9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318" w:type="dxa"/>
            <w:tcBorders>
              <w:top w:val="nil"/>
              <w:left w:val="nil"/>
              <w:bottom w:val="single" w:sz="4" w:space="0" w:color="auto"/>
              <w:right w:val="single" w:sz="4" w:space="0" w:color="auto"/>
            </w:tcBorders>
            <w:shd w:val="clear" w:color="auto" w:fill="auto"/>
            <w:noWrap/>
            <w:vAlign w:val="center"/>
            <w:hideMark/>
          </w:tcPr>
          <w:p w14:paraId="492B826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23,618</w:t>
            </w:r>
          </w:p>
        </w:tc>
      </w:tr>
      <w:tr w:rsidR="00C01B60" w:rsidRPr="00C01B60" w14:paraId="268B3998" w14:textId="77777777" w:rsidTr="00C01B60">
        <w:trPr>
          <w:trHeight w:val="293"/>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93304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39</w:t>
            </w:r>
          </w:p>
        </w:tc>
        <w:tc>
          <w:tcPr>
            <w:tcW w:w="1153" w:type="dxa"/>
            <w:tcBorders>
              <w:top w:val="nil"/>
              <w:left w:val="nil"/>
              <w:bottom w:val="single" w:sz="4" w:space="0" w:color="auto"/>
              <w:right w:val="single" w:sz="4" w:space="0" w:color="auto"/>
            </w:tcBorders>
            <w:shd w:val="clear" w:color="auto" w:fill="auto"/>
            <w:noWrap/>
            <w:vAlign w:val="center"/>
            <w:hideMark/>
          </w:tcPr>
          <w:p w14:paraId="60AF562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5,300</w:t>
            </w:r>
          </w:p>
        </w:tc>
        <w:tc>
          <w:tcPr>
            <w:tcW w:w="1353" w:type="dxa"/>
            <w:tcBorders>
              <w:top w:val="nil"/>
              <w:left w:val="nil"/>
              <w:bottom w:val="single" w:sz="4" w:space="0" w:color="auto"/>
              <w:right w:val="single" w:sz="4" w:space="0" w:color="auto"/>
            </w:tcBorders>
            <w:shd w:val="clear" w:color="auto" w:fill="auto"/>
            <w:noWrap/>
            <w:vAlign w:val="center"/>
            <w:hideMark/>
          </w:tcPr>
          <w:p w14:paraId="4187F70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1,422</w:t>
            </w:r>
          </w:p>
        </w:tc>
        <w:tc>
          <w:tcPr>
            <w:tcW w:w="1624" w:type="dxa"/>
            <w:tcBorders>
              <w:top w:val="nil"/>
              <w:left w:val="nil"/>
              <w:bottom w:val="single" w:sz="4" w:space="0" w:color="auto"/>
              <w:right w:val="single" w:sz="4" w:space="0" w:color="auto"/>
            </w:tcBorders>
            <w:shd w:val="clear" w:color="auto" w:fill="auto"/>
            <w:noWrap/>
            <w:vAlign w:val="center"/>
            <w:hideMark/>
          </w:tcPr>
          <w:p w14:paraId="181C5C2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97.62</w:t>
            </w:r>
          </w:p>
        </w:tc>
        <w:tc>
          <w:tcPr>
            <w:tcW w:w="1323" w:type="dxa"/>
            <w:tcBorders>
              <w:top w:val="nil"/>
              <w:left w:val="nil"/>
              <w:bottom w:val="single" w:sz="4" w:space="0" w:color="auto"/>
              <w:right w:val="single" w:sz="4" w:space="0" w:color="auto"/>
            </w:tcBorders>
            <w:shd w:val="clear" w:color="auto" w:fill="auto"/>
            <w:noWrap/>
            <w:vAlign w:val="center"/>
            <w:hideMark/>
          </w:tcPr>
          <w:p w14:paraId="1307F5C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336C69D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24,746</w:t>
            </w:r>
          </w:p>
        </w:tc>
        <w:tc>
          <w:tcPr>
            <w:tcW w:w="611" w:type="dxa"/>
            <w:tcBorders>
              <w:top w:val="nil"/>
              <w:left w:val="nil"/>
              <w:bottom w:val="single" w:sz="4" w:space="0" w:color="auto"/>
              <w:right w:val="single" w:sz="4" w:space="0" w:color="auto"/>
            </w:tcBorders>
            <w:shd w:val="clear" w:color="auto" w:fill="auto"/>
            <w:noWrap/>
            <w:vAlign w:val="center"/>
            <w:hideMark/>
          </w:tcPr>
          <w:p w14:paraId="6125772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5,300</w:t>
            </w:r>
          </w:p>
        </w:tc>
        <w:tc>
          <w:tcPr>
            <w:tcW w:w="1353" w:type="dxa"/>
            <w:tcBorders>
              <w:top w:val="nil"/>
              <w:left w:val="nil"/>
              <w:bottom w:val="single" w:sz="4" w:space="0" w:color="auto"/>
              <w:right w:val="single" w:sz="4" w:space="0" w:color="auto"/>
            </w:tcBorders>
            <w:shd w:val="clear" w:color="auto" w:fill="auto"/>
            <w:noWrap/>
            <w:vAlign w:val="center"/>
            <w:hideMark/>
          </w:tcPr>
          <w:p w14:paraId="755924C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1,422</w:t>
            </w:r>
          </w:p>
        </w:tc>
        <w:tc>
          <w:tcPr>
            <w:tcW w:w="1624" w:type="dxa"/>
            <w:tcBorders>
              <w:top w:val="nil"/>
              <w:left w:val="nil"/>
              <w:bottom w:val="single" w:sz="4" w:space="0" w:color="auto"/>
              <w:right w:val="single" w:sz="4" w:space="0" w:color="auto"/>
            </w:tcBorders>
            <w:shd w:val="clear" w:color="auto" w:fill="auto"/>
            <w:noWrap/>
            <w:vAlign w:val="center"/>
            <w:hideMark/>
          </w:tcPr>
          <w:p w14:paraId="77E3D7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97.62</w:t>
            </w:r>
          </w:p>
        </w:tc>
        <w:tc>
          <w:tcPr>
            <w:tcW w:w="1323" w:type="dxa"/>
            <w:tcBorders>
              <w:top w:val="nil"/>
              <w:left w:val="nil"/>
              <w:bottom w:val="single" w:sz="4" w:space="0" w:color="auto"/>
              <w:right w:val="single" w:sz="4" w:space="0" w:color="auto"/>
            </w:tcBorders>
            <w:shd w:val="clear" w:color="auto" w:fill="auto"/>
            <w:noWrap/>
            <w:vAlign w:val="center"/>
            <w:hideMark/>
          </w:tcPr>
          <w:p w14:paraId="7AC2DC3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w:t>
            </w:r>
          </w:p>
        </w:tc>
        <w:tc>
          <w:tcPr>
            <w:tcW w:w="1318" w:type="dxa"/>
            <w:tcBorders>
              <w:top w:val="nil"/>
              <w:left w:val="nil"/>
              <w:bottom w:val="single" w:sz="4" w:space="0" w:color="auto"/>
              <w:right w:val="single" w:sz="4" w:space="0" w:color="auto"/>
            </w:tcBorders>
            <w:shd w:val="clear" w:color="auto" w:fill="auto"/>
            <w:noWrap/>
            <w:vAlign w:val="center"/>
            <w:hideMark/>
          </w:tcPr>
          <w:p w14:paraId="2088435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24,724</w:t>
            </w:r>
          </w:p>
        </w:tc>
      </w:tr>
      <w:tr w:rsidR="00C01B60" w:rsidRPr="00C01B60" w14:paraId="6F42ACE1"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62D346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40</w:t>
            </w:r>
          </w:p>
        </w:tc>
        <w:tc>
          <w:tcPr>
            <w:tcW w:w="1153" w:type="dxa"/>
            <w:tcBorders>
              <w:top w:val="nil"/>
              <w:left w:val="nil"/>
              <w:bottom w:val="single" w:sz="4" w:space="0" w:color="auto"/>
              <w:right w:val="single" w:sz="4" w:space="0" w:color="auto"/>
            </w:tcBorders>
            <w:shd w:val="clear" w:color="auto" w:fill="auto"/>
            <w:noWrap/>
            <w:vAlign w:val="center"/>
            <w:hideMark/>
          </w:tcPr>
          <w:p w14:paraId="4F40A9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4,770</w:t>
            </w:r>
          </w:p>
        </w:tc>
        <w:tc>
          <w:tcPr>
            <w:tcW w:w="1353" w:type="dxa"/>
            <w:tcBorders>
              <w:top w:val="nil"/>
              <w:left w:val="nil"/>
              <w:bottom w:val="single" w:sz="4" w:space="0" w:color="auto"/>
              <w:right w:val="single" w:sz="4" w:space="0" w:color="auto"/>
            </w:tcBorders>
            <w:shd w:val="clear" w:color="auto" w:fill="auto"/>
            <w:noWrap/>
            <w:vAlign w:val="center"/>
            <w:hideMark/>
          </w:tcPr>
          <w:p w14:paraId="7EA778B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1,441</w:t>
            </w:r>
          </w:p>
        </w:tc>
        <w:tc>
          <w:tcPr>
            <w:tcW w:w="1624" w:type="dxa"/>
            <w:tcBorders>
              <w:top w:val="nil"/>
              <w:left w:val="nil"/>
              <w:bottom w:val="single" w:sz="4" w:space="0" w:color="auto"/>
              <w:right w:val="single" w:sz="4" w:space="0" w:color="auto"/>
            </w:tcBorders>
            <w:shd w:val="clear" w:color="auto" w:fill="auto"/>
            <w:noWrap/>
            <w:vAlign w:val="center"/>
            <w:hideMark/>
          </w:tcPr>
          <w:p w14:paraId="79CFF6D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103.51</w:t>
            </w:r>
          </w:p>
        </w:tc>
        <w:tc>
          <w:tcPr>
            <w:tcW w:w="1323" w:type="dxa"/>
            <w:tcBorders>
              <w:top w:val="nil"/>
              <w:left w:val="nil"/>
              <w:bottom w:val="single" w:sz="4" w:space="0" w:color="auto"/>
              <w:right w:val="single" w:sz="4" w:space="0" w:color="auto"/>
            </w:tcBorders>
            <w:shd w:val="clear" w:color="auto" w:fill="auto"/>
            <w:noWrap/>
            <w:vAlign w:val="center"/>
            <w:hideMark/>
          </w:tcPr>
          <w:p w14:paraId="3A3DDD5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72612BD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26,816</w:t>
            </w:r>
          </w:p>
        </w:tc>
        <w:tc>
          <w:tcPr>
            <w:tcW w:w="611" w:type="dxa"/>
            <w:tcBorders>
              <w:top w:val="nil"/>
              <w:left w:val="nil"/>
              <w:bottom w:val="single" w:sz="4" w:space="0" w:color="auto"/>
              <w:right w:val="single" w:sz="4" w:space="0" w:color="auto"/>
            </w:tcBorders>
            <w:shd w:val="clear" w:color="auto" w:fill="auto"/>
            <w:noWrap/>
            <w:vAlign w:val="center"/>
            <w:hideMark/>
          </w:tcPr>
          <w:p w14:paraId="14DBE42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4,770</w:t>
            </w:r>
          </w:p>
        </w:tc>
        <w:tc>
          <w:tcPr>
            <w:tcW w:w="1353" w:type="dxa"/>
            <w:tcBorders>
              <w:top w:val="nil"/>
              <w:left w:val="nil"/>
              <w:bottom w:val="single" w:sz="4" w:space="0" w:color="auto"/>
              <w:right w:val="single" w:sz="4" w:space="0" w:color="auto"/>
            </w:tcBorders>
            <w:shd w:val="clear" w:color="auto" w:fill="auto"/>
            <w:noWrap/>
            <w:vAlign w:val="center"/>
            <w:hideMark/>
          </w:tcPr>
          <w:p w14:paraId="52CB4D6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1,441</w:t>
            </w:r>
          </w:p>
        </w:tc>
        <w:tc>
          <w:tcPr>
            <w:tcW w:w="1624" w:type="dxa"/>
            <w:tcBorders>
              <w:top w:val="nil"/>
              <w:left w:val="nil"/>
              <w:bottom w:val="single" w:sz="4" w:space="0" w:color="auto"/>
              <w:right w:val="single" w:sz="4" w:space="0" w:color="auto"/>
            </w:tcBorders>
            <w:shd w:val="clear" w:color="auto" w:fill="auto"/>
            <w:noWrap/>
            <w:vAlign w:val="center"/>
            <w:hideMark/>
          </w:tcPr>
          <w:p w14:paraId="5C6567F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103.51</w:t>
            </w:r>
          </w:p>
        </w:tc>
        <w:tc>
          <w:tcPr>
            <w:tcW w:w="1323" w:type="dxa"/>
            <w:tcBorders>
              <w:top w:val="nil"/>
              <w:left w:val="nil"/>
              <w:bottom w:val="single" w:sz="4" w:space="0" w:color="auto"/>
              <w:right w:val="single" w:sz="4" w:space="0" w:color="auto"/>
            </w:tcBorders>
            <w:shd w:val="clear" w:color="auto" w:fill="auto"/>
            <w:noWrap/>
            <w:vAlign w:val="center"/>
            <w:hideMark/>
          </w:tcPr>
          <w:p w14:paraId="39518E9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08D85BB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26,794</w:t>
            </w:r>
          </w:p>
        </w:tc>
      </w:tr>
      <w:tr w:rsidR="00C01B60" w:rsidRPr="00C01B60" w14:paraId="3F30665F" w14:textId="77777777" w:rsidTr="00C01B60">
        <w:trPr>
          <w:trHeight w:val="293"/>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EF1F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lastRenderedPageBreak/>
              <w:t>41</w:t>
            </w:r>
          </w:p>
        </w:tc>
        <w:tc>
          <w:tcPr>
            <w:tcW w:w="1153" w:type="dxa"/>
            <w:tcBorders>
              <w:top w:val="nil"/>
              <w:left w:val="nil"/>
              <w:bottom w:val="single" w:sz="4" w:space="0" w:color="auto"/>
              <w:right w:val="single" w:sz="4" w:space="0" w:color="auto"/>
            </w:tcBorders>
            <w:shd w:val="clear" w:color="auto" w:fill="auto"/>
            <w:noWrap/>
            <w:vAlign w:val="center"/>
            <w:hideMark/>
          </w:tcPr>
          <w:p w14:paraId="4F8C3A3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4,293</w:t>
            </w:r>
          </w:p>
        </w:tc>
        <w:tc>
          <w:tcPr>
            <w:tcW w:w="1353" w:type="dxa"/>
            <w:tcBorders>
              <w:top w:val="nil"/>
              <w:left w:val="nil"/>
              <w:bottom w:val="single" w:sz="4" w:space="0" w:color="auto"/>
              <w:right w:val="single" w:sz="4" w:space="0" w:color="auto"/>
            </w:tcBorders>
            <w:shd w:val="clear" w:color="auto" w:fill="auto"/>
            <w:noWrap/>
            <w:vAlign w:val="center"/>
            <w:hideMark/>
          </w:tcPr>
          <w:p w14:paraId="51A16E3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1,459</w:t>
            </w:r>
          </w:p>
        </w:tc>
        <w:tc>
          <w:tcPr>
            <w:tcW w:w="1624" w:type="dxa"/>
            <w:tcBorders>
              <w:top w:val="nil"/>
              <w:left w:val="nil"/>
              <w:bottom w:val="single" w:sz="4" w:space="0" w:color="auto"/>
              <w:right w:val="single" w:sz="4" w:space="0" w:color="auto"/>
            </w:tcBorders>
            <w:shd w:val="clear" w:color="auto" w:fill="auto"/>
            <w:noWrap/>
            <w:vAlign w:val="center"/>
            <w:hideMark/>
          </w:tcPr>
          <w:p w14:paraId="390D72C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109.30</w:t>
            </w:r>
          </w:p>
        </w:tc>
        <w:tc>
          <w:tcPr>
            <w:tcW w:w="1323" w:type="dxa"/>
            <w:tcBorders>
              <w:top w:val="nil"/>
              <w:left w:val="nil"/>
              <w:bottom w:val="single" w:sz="4" w:space="0" w:color="auto"/>
              <w:right w:val="single" w:sz="4" w:space="0" w:color="auto"/>
            </w:tcBorders>
            <w:shd w:val="clear" w:color="auto" w:fill="auto"/>
            <w:noWrap/>
            <w:vAlign w:val="center"/>
            <w:hideMark/>
          </w:tcPr>
          <w:p w14:paraId="53F9AE8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2CA9A0F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28,944</w:t>
            </w:r>
          </w:p>
        </w:tc>
        <w:tc>
          <w:tcPr>
            <w:tcW w:w="611" w:type="dxa"/>
            <w:tcBorders>
              <w:top w:val="nil"/>
              <w:left w:val="nil"/>
              <w:bottom w:val="single" w:sz="4" w:space="0" w:color="auto"/>
              <w:right w:val="single" w:sz="4" w:space="0" w:color="auto"/>
            </w:tcBorders>
            <w:shd w:val="clear" w:color="auto" w:fill="auto"/>
            <w:noWrap/>
            <w:vAlign w:val="center"/>
            <w:hideMark/>
          </w:tcPr>
          <w:p w14:paraId="02915D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4,293</w:t>
            </w:r>
          </w:p>
        </w:tc>
        <w:tc>
          <w:tcPr>
            <w:tcW w:w="1353" w:type="dxa"/>
            <w:tcBorders>
              <w:top w:val="nil"/>
              <w:left w:val="nil"/>
              <w:bottom w:val="single" w:sz="4" w:space="0" w:color="auto"/>
              <w:right w:val="single" w:sz="4" w:space="0" w:color="auto"/>
            </w:tcBorders>
            <w:shd w:val="clear" w:color="auto" w:fill="auto"/>
            <w:noWrap/>
            <w:vAlign w:val="center"/>
            <w:hideMark/>
          </w:tcPr>
          <w:p w14:paraId="1DB076B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1,459</w:t>
            </w:r>
          </w:p>
        </w:tc>
        <w:tc>
          <w:tcPr>
            <w:tcW w:w="1624" w:type="dxa"/>
            <w:tcBorders>
              <w:top w:val="nil"/>
              <w:left w:val="nil"/>
              <w:bottom w:val="single" w:sz="4" w:space="0" w:color="auto"/>
              <w:right w:val="single" w:sz="4" w:space="0" w:color="auto"/>
            </w:tcBorders>
            <w:shd w:val="clear" w:color="auto" w:fill="auto"/>
            <w:noWrap/>
            <w:vAlign w:val="center"/>
            <w:hideMark/>
          </w:tcPr>
          <w:p w14:paraId="15C63B0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109.30</w:t>
            </w:r>
          </w:p>
        </w:tc>
        <w:tc>
          <w:tcPr>
            <w:tcW w:w="1323" w:type="dxa"/>
            <w:tcBorders>
              <w:top w:val="nil"/>
              <w:left w:val="nil"/>
              <w:bottom w:val="single" w:sz="4" w:space="0" w:color="auto"/>
              <w:right w:val="single" w:sz="4" w:space="0" w:color="auto"/>
            </w:tcBorders>
            <w:shd w:val="clear" w:color="auto" w:fill="auto"/>
            <w:noWrap/>
            <w:vAlign w:val="center"/>
            <w:hideMark/>
          </w:tcPr>
          <w:p w14:paraId="70D219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471D040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28,923</w:t>
            </w:r>
          </w:p>
        </w:tc>
      </w:tr>
      <w:tr w:rsidR="00C01B60" w:rsidRPr="00C01B60" w14:paraId="415186CE"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ED41E9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42</w:t>
            </w:r>
          </w:p>
        </w:tc>
        <w:tc>
          <w:tcPr>
            <w:tcW w:w="1153" w:type="dxa"/>
            <w:tcBorders>
              <w:top w:val="nil"/>
              <w:left w:val="nil"/>
              <w:bottom w:val="single" w:sz="4" w:space="0" w:color="auto"/>
              <w:right w:val="single" w:sz="4" w:space="0" w:color="auto"/>
            </w:tcBorders>
            <w:shd w:val="clear" w:color="auto" w:fill="auto"/>
            <w:noWrap/>
            <w:vAlign w:val="center"/>
            <w:hideMark/>
          </w:tcPr>
          <w:p w14:paraId="6AA60C5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3,864</w:t>
            </w:r>
          </w:p>
        </w:tc>
        <w:tc>
          <w:tcPr>
            <w:tcW w:w="1353" w:type="dxa"/>
            <w:tcBorders>
              <w:top w:val="nil"/>
              <w:left w:val="nil"/>
              <w:bottom w:val="single" w:sz="4" w:space="0" w:color="auto"/>
              <w:right w:val="single" w:sz="4" w:space="0" w:color="auto"/>
            </w:tcBorders>
            <w:shd w:val="clear" w:color="auto" w:fill="auto"/>
            <w:noWrap/>
            <w:vAlign w:val="center"/>
            <w:hideMark/>
          </w:tcPr>
          <w:p w14:paraId="7F33AFF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1,478</w:t>
            </w:r>
          </w:p>
        </w:tc>
        <w:tc>
          <w:tcPr>
            <w:tcW w:w="1624" w:type="dxa"/>
            <w:tcBorders>
              <w:top w:val="nil"/>
              <w:left w:val="nil"/>
              <w:bottom w:val="single" w:sz="4" w:space="0" w:color="auto"/>
              <w:right w:val="single" w:sz="4" w:space="0" w:color="auto"/>
            </w:tcBorders>
            <w:shd w:val="clear" w:color="auto" w:fill="auto"/>
            <w:noWrap/>
            <w:vAlign w:val="center"/>
            <w:hideMark/>
          </w:tcPr>
          <w:p w14:paraId="7CF221B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114.98</w:t>
            </w:r>
          </w:p>
        </w:tc>
        <w:tc>
          <w:tcPr>
            <w:tcW w:w="1323" w:type="dxa"/>
            <w:tcBorders>
              <w:top w:val="nil"/>
              <w:left w:val="nil"/>
              <w:bottom w:val="single" w:sz="4" w:space="0" w:color="auto"/>
              <w:right w:val="single" w:sz="4" w:space="0" w:color="auto"/>
            </w:tcBorders>
            <w:shd w:val="clear" w:color="auto" w:fill="auto"/>
            <w:noWrap/>
            <w:vAlign w:val="center"/>
            <w:hideMark/>
          </w:tcPr>
          <w:p w14:paraId="70056AD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1AE0747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31,131</w:t>
            </w:r>
          </w:p>
        </w:tc>
        <w:tc>
          <w:tcPr>
            <w:tcW w:w="611" w:type="dxa"/>
            <w:tcBorders>
              <w:top w:val="nil"/>
              <w:left w:val="nil"/>
              <w:bottom w:val="single" w:sz="4" w:space="0" w:color="auto"/>
              <w:right w:val="single" w:sz="4" w:space="0" w:color="auto"/>
            </w:tcBorders>
            <w:shd w:val="clear" w:color="auto" w:fill="auto"/>
            <w:noWrap/>
            <w:vAlign w:val="center"/>
            <w:hideMark/>
          </w:tcPr>
          <w:p w14:paraId="2FE132F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3,864</w:t>
            </w:r>
          </w:p>
        </w:tc>
        <w:tc>
          <w:tcPr>
            <w:tcW w:w="1353" w:type="dxa"/>
            <w:tcBorders>
              <w:top w:val="nil"/>
              <w:left w:val="nil"/>
              <w:bottom w:val="single" w:sz="4" w:space="0" w:color="auto"/>
              <w:right w:val="single" w:sz="4" w:space="0" w:color="auto"/>
            </w:tcBorders>
            <w:shd w:val="clear" w:color="auto" w:fill="auto"/>
            <w:noWrap/>
            <w:vAlign w:val="center"/>
            <w:hideMark/>
          </w:tcPr>
          <w:p w14:paraId="6D6D85A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1,478</w:t>
            </w:r>
          </w:p>
        </w:tc>
        <w:tc>
          <w:tcPr>
            <w:tcW w:w="1624" w:type="dxa"/>
            <w:tcBorders>
              <w:top w:val="nil"/>
              <w:left w:val="nil"/>
              <w:bottom w:val="single" w:sz="4" w:space="0" w:color="auto"/>
              <w:right w:val="single" w:sz="4" w:space="0" w:color="auto"/>
            </w:tcBorders>
            <w:shd w:val="clear" w:color="auto" w:fill="auto"/>
            <w:noWrap/>
            <w:vAlign w:val="center"/>
            <w:hideMark/>
          </w:tcPr>
          <w:p w14:paraId="1DAE040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114.98</w:t>
            </w:r>
          </w:p>
        </w:tc>
        <w:tc>
          <w:tcPr>
            <w:tcW w:w="1323" w:type="dxa"/>
            <w:tcBorders>
              <w:top w:val="nil"/>
              <w:left w:val="nil"/>
              <w:bottom w:val="single" w:sz="4" w:space="0" w:color="auto"/>
              <w:right w:val="single" w:sz="4" w:space="0" w:color="auto"/>
            </w:tcBorders>
            <w:shd w:val="clear" w:color="auto" w:fill="auto"/>
            <w:noWrap/>
            <w:vAlign w:val="center"/>
            <w:hideMark/>
          </w:tcPr>
          <w:p w14:paraId="37DE6E9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6B44969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29,913</w:t>
            </w:r>
          </w:p>
        </w:tc>
      </w:tr>
      <w:tr w:rsidR="00C01B60" w:rsidRPr="00C01B60" w14:paraId="2EBBBCD0"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AD5AF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43</w:t>
            </w:r>
          </w:p>
        </w:tc>
        <w:tc>
          <w:tcPr>
            <w:tcW w:w="1153" w:type="dxa"/>
            <w:tcBorders>
              <w:top w:val="nil"/>
              <w:left w:val="nil"/>
              <w:bottom w:val="single" w:sz="4" w:space="0" w:color="auto"/>
              <w:right w:val="single" w:sz="4" w:space="0" w:color="auto"/>
            </w:tcBorders>
            <w:shd w:val="clear" w:color="auto" w:fill="auto"/>
            <w:noWrap/>
            <w:vAlign w:val="center"/>
            <w:hideMark/>
          </w:tcPr>
          <w:p w14:paraId="688860B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3,477</w:t>
            </w:r>
          </w:p>
        </w:tc>
        <w:tc>
          <w:tcPr>
            <w:tcW w:w="1353" w:type="dxa"/>
            <w:tcBorders>
              <w:top w:val="nil"/>
              <w:left w:val="nil"/>
              <w:bottom w:val="single" w:sz="4" w:space="0" w:color="auto"/>
              <w:right w:val="single" w:sz="4" w:space="0" w:color="auto"/>
            </w:tcBorders>
            <w:shd w:val="clear" w:color="auto" w:fill="auto"/>
            <w:noWrap/>
            <w:vAlign w:val="center"/>
            <w:hideMark/>
          </w:tcPr>
          <w:p w14:paraId="52F25CE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1,498</w:t>
            </w:r>
          </w:p>
        </w:tc>
        <w:tc>
          <w:tcPr>
            <w:tcW w:w="1624" w:type="dxa"/>
            <w:tcBorders>
              <w:top w:val="nil"/>
              <w:left w:val="nil"/>
              <w:bottom w:val="single" w:sz="4" w:space="0" w:color="auto"/>
              <w:right w:val="single" w:sz="4" w:space="0" w:color="auto"/>
            </w:tcBorders>
            <w:shd w:val="clear" w:color="auto" w:fill="auto"/>
            <w:noWrap/>
            <w:vAlign w:val="center"/>
            <w:hideMark/>
          </w:tcPr>
          <w:p w14:paraId="36E3451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120.56</w:t>
            </w:r>
          </w:p>
        </w:tc>
        <w:tc>
          <w:tcPr>
            <w:tcW w:w="1323" w:type="dxa"/>
            <w:tcBorders>
              <w:top w:val="nil"/>
              <w:left w:val="nil"/>
              <w:bottom w:val="single" w:sz="4" w:space="0" w:color="auto"/>
              <w:right w:val="single" w:sz="4" w:space="0" w:color="auto"/>
            </w:tcBorders>
            <w:shd w:val="clear" w:color="auto" w:fill="auto"/>
            <w:noWrap/>
            <w:vAlign w:val="center"/>
            <w:hideMark/>
          </w:tcPr>
          <w:p w14:paraId="47DE532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318" w:type="dxa"/>
            <w:tcBorders>
              <w:top w:val="nil"/>
              <w:left w:val="nil"/>
              <w:bottom w:val="single" w:sz="4" w:space="0" w:color="auto"/>
              <w:right w:val="single" w:sz="4" w:space="0" w:color="auto"/>
            </w:tcBorders>
            <w:shd w:val="clear" w:color="auto" w:fill="auto"/>
            <w:noWrap/>
            <w:vAlign w:val="center"/>
            <w:hideMark/>
          </w:tcPr>
          <w:p w14:paraId="3728EA2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32,088</w:t>
            </w:r>
          </w:p>
        </w:tc>
        <w:tc>
          <w:tcPr>
            <w:tcW w:w="611" w:type="dxa"/>
            <w:tcBorders>
              <w:top w:val="nil"/>
              <w:left w:val="nil"/>
              <w:bottom w:val="single" w:sz="4" w:space="0" w:color="auto"/>
              <w:right w:val="single" w:sz="4" w:space="0" w:color="auto"/>
            </w:tcBorders>
            <w:shd w:val="clear" w:color="auto" w:fill="auto"/>
            <w:noWrap/>
            <w:vAlign w:val="center"/>
            <w:hideMark/>
          </w:tcPr>
          <w:p w14:paraId="37AC35C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3,477</w:t>
            </w:r>
          </w:p>
        </w:tc>
        <w:tc>
          <w:tcPr>
            <w:tcW w:w="1353" w:type="dxa"/>
            <w:tcBorders>
              <w:top w:val="nil"/>
              <w:left w:val="nil"/>
              <w:bottom w:val="single" w:sz="4" w:space="0" w:color="auto"/>
              <w:right w:val="single" w:sz="4" w:space="0" w:color="auto"/>
            </w:tcBorders>
            <w:shd w:val="clear" w:color="auto" w:fill="auto"/>
            <w:noWrap/>
            <w:vAlign w:val="center"/>
            <w:hideMark/>
          </w:tcPr>
          <w:p w14:paraId="6498226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1,498</w:t>
            </w:r>
          </w:p>
        </w:tc>
        <w:tc>
          <w:tcPr>
            <w:tcW w:w="1624" w:type="dxa"/>
            <w:tcBorders>
              <w:top w:val="nil"/>
              <w:left w:val="nil"/>
              <w:bottom w:val="single" w:sz="4" w:space="0" w:color="auto"/>
              <w:right w:val="single" w:sz="4" w:space="0" w:color="auto"/>
            </w:tcBorders>
            <w:shd w:val="clear" w:color="auto" w:fill="auto"/>
            <w:noWrap/>
            <w:vAlign w:val="center"/>
            <w:hideMark/>
          </w:tcPr>
          <w:p w14:paraId="3B6CC71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120.56</w:t>
            </w:r>
          </w:p>
        </w:tc>
        <w:tc>
          <w:tcPr>
            <w:tcW w:w="1323" w:type="dxa"/>
            <w:tcBorders>
              <w:top w:val="nil"/>
              <w:left w:val="nil"/>
              <w:bottom w:val="single" w:sz="4" w:space="0" w:color="auto"/>
              <w:right w:val="single" w:sz="4" w:space="0" w:color="auto"/>
            </w:tcBorders>
            <w:shd w:val="clear" w:color="auto" w:fill="auto"/>
            <w:noWrap/>
            <w:vAlign w:val="center"/>
            <w:hideMark/>
          </w:tcPr>
          <w:p w14:paraId="571DEED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32602D6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32,068</w:t>
            </w:r>
          </w:p>
        </w:tc>
      </w:tr>
      <w:tr w:rsidR="00C01B60" w:rsidRPr="00C01B60" w14:paraId="03735FDA"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4747F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44</w:t>
            </w:r>
          </w:p>
        </w:tc>
        <w:tc>
          <w:tcPr>
            <w:tcW w:w="1153" w:type="dxa"/>
            <w:tcBorders>
              <w:top w:val="nil"/>
              <w:left w:val="nil"/>
              <w:bottom w:val="single" w:sz="4" w:space="0" w:color="auto"/>
              <w:right w:val="single" w:sz="4" w:space="0" w:color="auto"/>
            </w:tcBorders>
            <w:shd w:val="clear" w:color="auto" w:fill="auto"/>
            <w:noWrap/>
            <w:vAlign w:val="center"/>
            <w:hideMark/>
          </w:tcPr>
          <w:p w14:paraId="10A07E6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3,130</w:t>
            </w:r>
          </w:p>
        </w:tc>
        <w:tc>
          <w:tcPr>
            <w:tcW w:w="1353" w:type="dxa"/>
            <w:tcBorders>
              <w:top w:val="nil"/>
              <w:left w:val="nil"/>
              <w:bottom w:val="single" w:sz="4" w:space="0" w:color="auto"/>
              <w:right w:val="single" w:sz="4" w:space="0" w:color="auto"/>
            </w:tcBorders>
            <w:shd w:val="clear" w:color="auto" w:fill="auto"/>
            <w:noWrap/>
            <w:vAlign w:val="center"/>
            <w:hideMark/>
          </w:tcPr>
          <w:p w14:paraId="781D638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1,517</w:t>
            </w:r>
          </w:p>
        </w:tc>
        <w:tc>
          <w:tcPr>
            <w:tcW w:w="1624" w:type="dxa"/>
            <w:tcBorders>
              <w:top w:val="nil"/>
              <w:left w:val="nil"/>
              <w:bottom w:val="single" w:sz="4" w:space="0" w:color="auto"/>
              <w:right w:val="single" w:sz="4" w:space="0" w:color="auto"/>
            </w:tcBorders>
            <w:shd w:val="clear" w:color="auto" w:fill="auto"/>
            <w:noWrap/>
            <w:vAlign w:val="center"/>
            <w:hideMark/>
          </w:tcPr>
          <w:p w14:paraId="1A7FD11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126.02</w:t>
            </w:r>
          </w:p>
        </w:tc>
        <w:tc>
          <w:tcPr>
            <w:tcW w:w="1323" w:type="dxa"/>
            <w:tcBorders>
              <w:top w:val="nil"/>
              <w:left w:val="nil"/>
              <w:bottom w:val="single" w:sz="4" w:space="0" w:color="auto"/>
              <w:right w:val="single" w:sz="4" w:space="0" w:color="auto"/>
            </w:tcBorders>
            <w:shd w:val="clear" w:color="auto" w:fill="auto"/>
            <w:noWrap/>
            <w:vAlign w:val="center"/>
            <w:hideMark/>
          </w:tcPr>
          <w:p w14:paraId="3484347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318" w:type="dxa"/>
            <w:tcBorders>
              <w:top w:val="nil"/>
              <w:left w:val="nil"/>
              <w:bottom w:val="single" w:sz="4" w:space="0" w:color="auto"/>
              <w:right w:val="single" w:sz="4" w:space="0" w:color="auto"/>
            </w:tcBorders>
            <w:shd w:val="clear" w:color="auto" w:fill="auto"/>
            <w:noWrap/>
            <w:vAlign w:val="center"/>
            <w:hideMark/>
          </w:tcPr>
          <w:p w14:paraId="4EDCC6E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34,298</w:t>
            </w:r>
          </w:p>
        </w:tc>
        <w:tc>
          <w:tcPr>
            <w:tcW w:w="611" w:type="dxa"/>
            <w:tcBorders>
              <w:top w:val="nil"/>
              <w:left w:val="nil"/>
              <w:bottom w:val="single" w:sz="4" w:space="0" w:color="auto"/>
              <w:right w:val="single" w:sz="4" w:space="0" w:color="auto"/>
            </w:tcBorders>
            <w:shd w:val="clear" w:color="auto" w:fill="auto"/>
            <w:noWrap/>
            <w:vAlign w:val="center"/>
            <w:hideMark/>
          </w:tcPr>
          <w:p w14:paraId="06C6EBA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3,130</w:t>
            </w:r>
          </w:p>
        </w:tc>
        <w:tc>
          <w:tcPr>
            <w:tcW w:w="1353" w:type="dxa"/>
            <w:tcBorders>
              <w:top w:val="nil"/>
              <w:left w:val="nil"/>
              <w:bottom w:val="single" w:sz="4" w:space="0" w:color="auto"/>
              <w:right w:val="single" w:sz="4" w:space="0" w:color="auto"/>
            </w:tcBorders>
            <w:shd w:val="clear" w:color="auto" w:fill="auto"/>
            <w:noWrap/>
            <w:vAlign w:val="center"/>
            <w:hideMark/>
          </w:tcPr>
          <w:p w14:paraId="184A27F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1,517</w:t>
            </w:r>
          </w:p>
        </w:tc>
        <w:tc>
          <w:tcPr>
            <w:tcW w:w="1624" w:type="dxa"/>
            <w:tcBorders>
              <w:top w:val="nil"/>
              <w:left w:val="nil"/>
              <w:bottom w:val="single" w:sz="4" w:space="0" w:color="auto"/>
              <w:right w:val="single" w:sz="4" w:space="0" w:color="auto"/>
            </w:tcBorders>
            <w:shd w:val="clear" w:color="auto" w:fill="auto"/>
            <w:noWrap/>
            <w:vAlign w:val="center"/>
            <w:hideMark/>
          </w:tcPr>
          <w:p w14:paraId="6FEB726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126.02</w:t>
            </w:r>
          </w:p>
        </w:tc>
        <w:tc>
          <w:tcPr>
            <w:tcW w:w="1323" w:type="dxa"/>
            <w:tcBorders>
              <w:top w:val="nil"/>
              <w:left w:val="nil"/>
              <w:bottom w:val="single" w:sz="4" w:space="0" w:color="auto"/>
              <w:right w:val="single" w:sz="4" w:space="0" w:color="auto"/>
            </w:tcBorders>
            <w:shd w:val="clear" w:color="auto" w:fill="auto"/>
            <w:noWrap/>
            <w:vAlign w:val="center"/>
            <w:hideMark/>
          </w:tcPr>
          <w:p w14:paraId="36911DE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783424C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34,281</w:t>
            </w:r>
          </w:p>
        </w:tc>
      </w:tr>
      <w:tr w:rsidR="00C01B60" w:rsidRPr="00C01B60" w14:paraId="70831603"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30F05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45</w:t>
            </w:r>
          </w:p>
        </w:tc>
        <w:tc>
          <w:tcPr>
            <w:tcW w:w="1153" w:type="dxa"/>
            <w:tcBorders>
              <w:top w:val="nil"/>
              <w:left w:val="nil"/>
              <w:bottom w:val="single" w:sz="4" w:space="0" w:color="auto"/>
              <w:right w:val="single" w:sz="4" w:space="0" w:color="auto"/>
            </w:tcBorders>
            <w:shd w:val="clear" w:color="auto" w:fill="auto"/>
            <w:noWrap/>
            <w:vAlign w:val="center"/>
            <w:hideMark/>
          </w:tcPr>
          <w:p w14:paraId="7C81BBC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2,817</w:t>
            </w:r>
          </w:p>
        </w:tc>
        <w:tc>
          <w:tcPr>
            <w:tcW w:w="1353" w:type="dxa"/>
            <w:tcBorders>
              <w:top w:val="nil"/>
              <w:left w:val="nil"/>
              <w:bottom w:val="single" w:sz="4" w:space="0" w:color="auto"/>
              <w:right w:val="single" w:sz="4" w:space="0" w:color="auto"/>
            </w:tcBorders>
            <w:shd w:val="clear" w:color="auto" w:fill="auto"/>
            <w:noWrap/>
            <w:vAlign w:val="center"/>
            <w:hideMark/>
          </w:tcPr>
          <w:p w14:paraId="180ECBA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1,537</w:t>
            </w:r>
          </w:p>
        </w:tc>
        <w:tc>
          <w:tcPr>
            <w:tcW w:w="1624" w:type="dxa"/>
            <w:tcBorders>
              <w:top w:val="nil"/>
              <w:left w:val="nil"/>
              <w:bottom w:val="single" w:sz="4" w:space="0" w:color="auto"/>
              <w:right w:val="single" w:sz="4" w:space="0" w:color="auto"/>
            </w:tcBorders>
            <w:shd w:val="clear" w:color="auto" w:fill="auto"/>
            <w:noWrap/>
            <w:vAlign w:val="center"/>
            <w:hideMark/>
          </w:tcPr>
          <w:p w14:paraId="0AA72B8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131.33</w:t>
            </w:r>
          </w:p>
        </w:tc>
        <w:tc>
          <w:tcPr>
            <w:tcW w:w="1323" w:type="dxa"/>
            <w:tcBorders>
              <w:top w:val="nil"/>
              <w:left w:val="nil"/>
              <w:bottom w:val="single" w:sz="4" w:space="0" w:color="auto"/>
              <w:right w:val="single" w:sz="4" w:space="0" w:color="auto"/>
            </w:tcBorders>
            <w:shd w:val="clear" w:color="auto" w:fill="auto"/>
            <w:noWrap/>
            <w:vAlign w:val="center"/>
            <w:hideMark/>
          </w:tcPr>
          <w:p w14:paraId="4A3D581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318" w:type="dxa"/>
            <w:tcBorders>
              <w:top w:val="nil"/>
              <w:left w:val="nil"/>
              <w:bottom w:val="single" w:sz="4" w:space="0" w:color="auto"/>
              <w:right w:val="single" w:sz="4" w:space="0" w:color="auto"/>
            </w:tcBorders>
            <w:shd w:val="clear" w:color="auto" w:fill="auto"/>
            <w:noWrap/>
            <w:vAlign w:val="center"/>
            <w:hideMark/>
          </w:tcPr>
          <w:p w14:paraId="2E69753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36,559</w:t>
            </w:r>
          </w:p>
        </w:tc>
        <w:tc>
          <w:tcPr>
            <w:tcW w:w="611" w:type="dxa"/>
            <w:tcBorders>
              <w:top w:val="nil"/>
              <w:left w:val="nil"/>
              <w:bottom w:val="single" w:sz="4" w:space="0" w:color="auto"/>
              <w:right w:val="single" w:sz="4" w:space="0" w:color="auto"/>
            </w:tcBorders>
            <w:shd w:val="clear" w:color="auto" w:fill="auto"/>
            <w:noWrap/>
            <w:vAlign w:val="center"/>
            <w:hideMark/>
          </w:tcPr>
          <w:p w14:paraId="1EC1EF4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2,817</w:t>
            </w:r>
          </w:p>
        </w:tc>
        <w:tc>
          <w:tcPr>
            <w:tcW w:w="1353" w:type="dxa"/>
            <w:tcBorders>
              <w:top w:val="nil"/>
              <w:left w:val="nil"/>
              <w:bottom w:val="single" w:sz="4" w:space="0" w:color="auto"/>
              <w:right w:val="single" w:sz="4" w:space="0" w:color="auto"/>
            </w:tcBorders>
            <w:shd w:val="clear" w:color="auto" w:fill="auto"/>
            <w:noWrap/>
            <w:vAlign w:val="center"/>
            <w:hideMark/>
          </w:tcPr>
          <w:p w14:paraId="110486A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1,537</w:t>
            </w:r>
          </w:p>
        </w:tc>
        <w:tc>
          <w:tcPr>
            <w:tcW w:w="1624" w:type="dxa"/>
            <w:tcBorders>
              <w:top w:val="nil"/>
              <w:left w:val="nil"/>
              <w:bottom w:val="single" w:sz="4" w:space="0" w:color="auto"/>
              <w:right w:val="single" w:sz="4" w:space="0" w:color="auto"/>
            </w:tcBorders>
            <w:shd w:val="clear" w:color="auto" w:fill="auto"/>
            <w:noWrap/>
            <w:vAlign w:val="center"/>
            <w:hideMark/>
          </w:tcPr>
          <w:p w14:paraId="75AD85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131.33</w:t>
            </w:r>
          </w:p>
        </w:tc>
        <w:tc>
          <w:tcPr>
            <w:tcW w:w="1323" w:type="dxa"/>
            <w:tcBorders>
              <w:top w:val="nil"/>
              <w:left w:val="nil"/>
              <w:bottom w:val="single" w:sz="4" w:space="0" w:color="auto"/>
              <w:right w:val="single" w:sz="4" w:space="0" w:color="auto"/>
            </w:tcBorders>
            <w:shd w:val="clear" w:color="auto" w:fill="auto"/>
            <w:noWrap/>
            <w:vAlign w:val="center"/>
            <w:hideMark/>
          </w:tcPr>
          <w:p w14:paraId="1CDB4CD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241FBC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35,139</w:t>
            </w:r>
          </w:p>
        </w:tc>
      </w:tr>
      <w:tr w:rsidR="00C01B60" w:rsidRPr="00C01B60" w14:paraId="55174454"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F0611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46</w:t>
            </w:r>
          </w:p>
        </w:tc>
        <w:tc>
          <w:tcPr>
            <w:tcW w:w="1153" w:type="dxa"/>
            <w:tcBorders>
              <w:top w:val="nil"/>
              <w:left w:val="nil"/>
              <w:bottom w:val="single" w:sz="4" w:space="0" w:color="auto"/>
              <w:right w:val="single" w:sz="4" w:space="0" w:color="auto"/>
            </w:tcBorders>
            <w:shd w:val="clear" w:color="auto" w:fill="auto"/>
            <w:noWrap/>
            <w:vAlign w:val="center"/>
            <w:hideMark/>
          </w:tcPr>
          <w:p w14:paraId="73CA37E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2,535</w:t>
            </w:r>
          </w:p>
        </w:tc>
        <w:tc>
          <w:tcPr>
            <w:tcW w:w="1353" w:type="dxa"/>
            <w:tcBorders>
              <w:top w:val="nil"/>
              <w:left w:val="nil"/>
              <w:bottom w:val="single" w:sz="4" w:space="0" w:color="auto"/>
              <w:right w:val="single" w:sz="4" w:space="0" w:color="auto"/>
            </w:tcBorders>
            <w:shd w:val="clear" w:color="auto" w:fill="auto"/>
            <w:noWrap/>
            <w:vAlign w:val="center"/>
            <w:hideMark/>
          </w:tcPr>
          <w:p w14:paraId="2FD0675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1,557</w:t>
            </w:r>
          </w:p>
        </w:tc>
        <w:tc>
          <w:tcPr>
            <w:tcW w:w="1624" w:type="dxa"/>
            <w:tcBorders>
              <w:top w:val="nil"/>
              <w:left w:val="nil"/>
              <w:bottom w:val="single" w:sz="4" w:space="0" w:color="auto"/>
              <w:right w:val="single" w:sz="4" w:space="0" w:color="auto"/>
            </w:tcBorders>
            <w:shd w:val="clear" w:color="auto" w:fill="auto"/>
            <w:noWrap/>
            <w:vAlign w:val="center"/>
            <w:hideMark/>
          </w:tcPr>
          <w:p w14:paraId="6918A81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136.49</w:t>
            </w:r>
          </w:p>
        </w:tc>
        <w:tc>
          <w:tcPr>
            <w:tcW w:w="1323" w:type="dxa"/>
            <w:tcBorders>
              <w:top w:val="nil"/>
              <w:left w:val="nil"/>
              <w:bottom w:val="single" w:sz="4" w:space="0" w:color="auto"/>
              <w:right w:val="single" w:sz="4" w:space="0" w:color="auto"/>
            </w:tcBorders>
            <w:shd w:val="clear" w:color="auto" w:fill="auto"/>
            <w:noWrap/>
            <w:vAlign w:val="center"/>
            <w:hideMark/>
          </w:tcPr>
          <w:p w14:paraId="71F5DC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000D091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37,371</w:t>
            </w:r>
          </w:p>
        </w:tc>
        <w:tc>
          <w:tcPr>
            <w:tcW w:w="611" w:type="dxa"/>
            <w:tcBorders>
              <w:top w:val="nil"/>
              <w:left w:val="nil"/>
              <w:bottom w:val="single" w:sz="4" w:space="0" w:color="auto"/>
              <w:right w:val="single" w:sz="4" w:space="0" w:color="auto"/>
            </w:tcBorders>
            <w:shd w:val="clear" w:color="auto" w:fill="auto"/>
            <w:noWrap/>
            <w:vAlign w:val="center"/>
            <w:hideMark/>
          </w:tcPr>
          <w:p w14:paraId="0F2351C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2,535</w:t>
            </w:r>
          </w:p>
        </w:tc>
        <w:tc>
          <w:tcPr>
            <w:tcW w:w="1353" w:type="dxa"/>
            <w:tcBorders>
              <w:top w:val="nil"/>
              <w:left w:val="nil"/>
              <w:bottom w:val="single" w:sz="4" w:space="0" w:color="auto"/>
              <w:right w:val="single" w:sz="4" w:space="0" w:color="auto"/>
            </w:tcBorders>
            <w:shd w:val="clear" w:color="auto" w:fill="auto"/>
            <w:noWrap/>
            <w:vAlign w:val="center"/>
            <w:hideMark/>
          </w:tcPr>
          <w:p w14:paraId="5904707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1,557</w:t>
            </w:r>
          </w:p>
        </w:tc>
        <w:tc>
          <w:tcPr>
            <w:tcW w:w="1624" w:type="dxa"/>
            <w:tcBorders>
              <w:top w:val="nil"/>
              <w:left w:val="nil"/>
              <w:bottom w:val="single" w:sz="4" w:space="0" w:color="auto"/>
              <w:right w:val="single" w:sz="4" w:space="0" w:color="auto"/>
            </w:tcBorders>
            <w:shd w:val="clear" w:color="auto" w:fill="auto"/>
            <w:noWrap/>
            <w:vAlign w:val="center"/>
            <w:hideMark/>
          </w:tcPr>
          <w:p w14:paraId="1A5B8FC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136.49</w:t>
            </w:r>
          </w:p>
        </w:tc>
        <w:tc>
          <w:tcPr>
            <w:tcW w:w="1323" w:type="dxa"/>
            <w:tcBorders>
              <w:top w:val="nil"/>
              <w:left w:val="nil"/>
              <w:bottom w:val="single" w:sz="4" w:space="0" w:color="auto"/>
              <w:right w:val="single" w:sz="4" w:space="0" w:color="auto"/>
            </w:tcBorders>
            <w:shd w:val="clear" w:color="auto" w:fill="auto"/>
            <w:noWrap/>
            <w:vAlign w:val="center"/>
            <w:hideMark/>
          </w:tcPr>
          <w:p w14:paraId="45A82B1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5F8A3B7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37,358</w:t>
            </w:r>
          </w:p>
        </w:tc>
      </w:tr>
      <w:tr w:rsidR="00C01B60" w:rsidRPr="00C01B60" w14:paraId="2DD681D9"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8A5220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47</w:t>
            </w:r>
          </w:p>
        </w:tc>
        <w:tc>
          <w:tcPr>
            <w:tcW w:w="1153" w:type="dxa"/>
            <w:tcBorders>
              <w:top w:val="nil"/>
              <w:left w:val="nil"/>
              <w:bottom w:val="single" w:sz="4" w:space="0" w:color="auto"/>
              <w:right w:val="single" w:sz="4" w:space="0" w:color="auto"/>
            </w:tcBorders>
            <w:shd w:val="clear" w:color="auto" w:fill="auto"/>
            <w:noWrap/>
            <w:vAlign w:val="center"/>
            <w:hideMark/>
          </w:tcPr>
          <w:p w14:paraId="72176CB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2,281</w:t>
            </w:r>
          </w:p>
        </w:tc>
        <w:tc>
          <w:tcPr>
            <w:tcW w:w="1353" w:type="dxa"/>
            <w:tcBorders>
              <w:top w:val="nil"/>
              <w:left w:val="nil"/>
              <w:bottom w:val="single" w:sz="4" w:space="0" w:color="auto"/>
              <w:right w:val="single" w:sz="4" w:space="0" w:color="auto"/>
            </w:tcBorders>
            <w:shd w:val="clear" w:color="auto" w:fill="auto"/>
            <w:noWrap/>
            <w:vAlign w:val="center"/>
            <w:hideMark/>
          </w:tcPr>
          <w:p w14:paraId="07B374C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1,577</w:t>
            </w:r>
          </w:p>
        </w:tc>
        <w:tc>
          <w:tcPr>
            <w:tcW w:w="1624" w:type="dxa"/>
            <w:tcBorders>
              <w:top w:val="nil"/>
              <w:left w:val="nil"/>
              <w:bottom w:val="single" w:sz="4" w:space="0" w:color="auto"/>
              <w:right w:val="single" w:sz="4" w:space="0" w:color="auto"/>
            </w:tcBorders>
            <w:shd w:val="clear" w:color="auto" w:fill="auto"/>
            <w:noWrap/>
            <w:vAlign w:val="center"/>
            <w:hideMark/>
          </w:tcPr>
          <w:p w14:paraId="0A94330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143.33</w:t>
            </w:r>
          </w:p>
        </w:tc>
        <w:tc>
          <w:tcPr>
            <w:tcW w:w="1323" w:type="dxa"/>
            <w:tcBorders>
              <w:top w:val="nil"/>
              <w:left w:val="nil"/>
              <w:bottom w:val="single" w:sz="4" w:space="0" w:color="auto"/>
              <w:right w:val="single" w:sz="4" w:space="0" w:color="auto"/>
            </w:tcBorders>
            <w:shd w:val="clear" w:color="auto" w:fill="auto"/>
            <w:noWrap/>
            <w:vAlign w:val="center"/>
            <w:hideMark/>
          </w:tcPr>
          <w:p w14:paraId="7276CF4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52FC113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40,081</w:t>
            </w:r>
          </w:p>
        </w:tc>
        <w:tc>
          <w:tcPr>
            <w:tcW w:w="611" w:type="dxa"/>
            <w:tcBorders>
              <w:top w:val="nil"/>
              <w:left w:val="nil"/>
              <w:bottom w:val="single" w:sz="4" w:space="0" w:color="auto"/>
              <w:right w:val="single" w:sz="4" w:space="0" w:color="auto"/>
            </w:tcBorders>
            <w:shd w:val="clear" w:color="auto" w:fill="auto"/>
            <w:noWrap/>
            <w:vAlign w:val="center"/>
            <w:hideMark/>
          </w:tcPr>
          <w:p w14:paraId="2B2E67F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2,281</w:t>
            </w:r>
          </w:p>
        </w:tc>
        <w:tc>
          <w:tcPr>
            <w:tcW w:w="1353" w:type="dxa"/>
            <w:tcBorders>
              <w:top w:val="nil"/>
              <w:left w:val="nil"/>
              <w:bottom w:val="single" w:sz="4" w:space="0" w:color="auto"/>
              <w:right w:val="single" w:sz="4" w:space="0" w:color="auto"/>
            </w:tcBorders>
            <w:shd w:val="clear" w:color="auto" w:fill="auto"/>
            <w:noWrap/>
            <w:vAlign w:val="center"/>
            <w:hideMark/>
          </w:tcPr>
          <w:p w14:paraId="2E58476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1,577</w:t>
            </w:r>
          </w:p>
        </w:tc>
        <w:tc>
          <w:tcPr>
            <w:tcW w:w="1624" w:type="dxa"/>
            <w:tcBorders>
              <w:top w:val="nil"/>
              <w:left w:val="nil"/>
              <w:bottom w:val="single" w:sz="4" w:space="0" w:color="auto"/>
              <w:right w:val="single" w:sz="4" w:space="0" w:color="auto"/>
            </w:tcBorders>
            <w:shd w:val="clear" w:color="auto" w:fill="auto"/>
            <w:noWrap/>
            <w:vAlign w:val="center"/>
            <w:hideMark/>
          </w:tcPr>
          <w:p w14:paraId="0BB802E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143.33</w:t>
            </w:r>
          </w:p>
        </w:tc>
        <w:tc>
          <w:tcPr>
            <w:tcW w:w="1323" w:type="dxa"/>
            <w:tcBorders>
              <w:top w:val="nil"/>
              <w:left w:val="nil"/>
              <w:bottom w:val="single" w:sz="4" w:space="0" w:color="auto"/>
              <w:right w:val="single" w:sz="4" w:space="0" w:color="auto"/>
            </w:tcBorders>
            <w:shd w:val="clear" w:color="auto" w:fill="auto"/>
            <w:noWrap/>
            <w:vAlign w:val="center"/>
            <w:hideMark/>
          </w:tcPr>
          <w:p w14:paraId="2D5317A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67BF380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40,072</w:t>
            </w:r>
          </w:p>
        </w:tc>
      </w:tr>
      <w:tr w:rsidR="00C01B60" w:rsidRPr="00C01B60" w14:paraId="6386DF28"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4038F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w:t>
            </w:r>
          </w:p>
        </w:tc>
        <w:tc>
          <w:tcPr>
            <w:tcW w:w="1153" w:type="dxa"/>
            <w:tcBorders>
              <w:top w:val="nil"/>
              <w:left w:val="nil"/>
              <w:bottom w:val="single" w:sz="4" w:space="0" w:color="auto"/>
              <w:right w:val="single" w:sz="4" w:space="0" w:color="auto"/>
            </w:tcBorders>
            <w:shd w:val="clear" w:color="auto" w:fill="auto"/>
            <w:noWrap/>
            <w:vAlign w:val="center"/>
            <w:hideMark/>
          </w:tcPr>
          <w:p w14:paraId="4FD68BD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2,053</w:t>
            </w:r>
          </w:p>
        </w:tc>
        <w:tc>
          <w:tcPr>
            <w:tcW w:w="1353" w:type="dxa"/>
            <w:tcBorders>
              <w:top w:val="nil"/>
              <w:left w:val="nil"/>
              <w:bottom w:val="single" w:sz="4" w:space="0" w:color="auto"/>
              <w:right w:val="single" w:sz="4" w:space="0" w:color="auto"/>
            </w:tcBorders>
            <w:shd w:val="clear" w:color="auto" w:fill="auto"/>
            <w:noWrap/>
            <w:vAlign w:val="center"/>
            <w:hideMark/>
          </w:tcPr>
          <w:p w14:paraId="74BE7ED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1,597</w:t>
            </w:r>
          </w:p>
        </w:tc>
        <w:tc>
          <w:tcPr>
            <w:tcW w:w="1624" w:type="dxa"/>
            <w:tcBorders>
              <w:top w:val="nil"/>
              <w:left w:val="nil"/>
              <w:bottom w:val="single" w:sz="4" w:space="0" w:color="auto"/>
              <w:right w:val="single" w:sz="4" w:space="0" w:color="auto"/>
            </w:tcBorders>
            <w:shd w:val="clear" w:color="auto" w:fill="auto"/>
            <w:noWrap/>
            <w:vAlign w:val="center"/>
            <w:hideMark/>
          </w:tcPr>
          <w:p w14:paraId="4B157EA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150.17</w:t>
            </w:r>
          </w:p>
        </w:tc>
        <w:tc>
          <w:tcPr>
            <w:tcW w:w="1323" w:type="dxa"/>
            <w:tcBorders>
              <w:top w:val="nil"/>
              <w:left w:val="nil"/>
              <w:bottom w:val="single" w:sz="4" w:space="0" w:color="auto"/>
              <w:right w:val="single" w:sz="4" w:space="0" w:color="auto"/>
            </w:tcBorders>
            <w:shd w:val="clear" w:color="auto" w:fill="auto"/>
            <w:noWrap/>
            <w:vAlign w:val="center"/>
            <w:hideMark/>
          </w:tcPr>
          <w:p w14:paraId="12A8F0D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762C1A9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42,892</w:t>
            </w:r>
          </w:p>
        </w:tc>
        <w:tc>
          <w:tcPr>
            <w:tcW w:w="611" w:type="dxa"/>
            <w:tcBorders>
              <w:top w:val="nil"/>
              <w:left w:val="nil"/>
              <w:bottom w:val="single" w:sz="4" w:space="0" w:color="auto"/>
              <w:right w:val="single" w:sz="4" w:space="0" w:color="auto"/>
            </w:tcBorders>
            <w:shd w:val="clear" w:color="auto" w:fill="auto"/>
            <w:noWrap/>
            <w:vAlign w:val="center"/>
            <w:hideMark/>
          </w:tcPr>
          <w:p w14:paraId="1505967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2,053</w:t>
            </w:r>
          </w:p>
        </w:tc>
        <w:tc>
          <w:tcPr>
            <w:tcW w:w="1353" w:type="dxa"/>
            <w:tcBorders>
              <w:top w:val="nil"/>
              <w:left w:val="nil"/>
              <w:bottom w:val="single" w:sz="4" w:space="0" w:color="auto"/>
              <w:right w:val="single" w:sz="4" w:space="0" w:color="auto"/>
            </w:tcBorders>
            <w:shd w:val="clear" w:color="auto" w:fill="auto"/>
            <w:noWrap/>
            <w:vAlign w:val="center"/>
            <w:hideMark/>
          </w:tcPr>
          <w:p w14:paraId="126AD55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1,597</w:t>
            </w:r>
          </w:p>
        </w:tc>
        <w:tc>
          <w:tcPr>
            <w:tcW w:w="1624" w:type="dxa"/>
            <w:tcBorders>
              <w:top w:val="nil"/>
              <w:left w:val="nil"/>
              <w:bottom w:val="single" w:sz="4" w:space="0" w:color="auto"/>
              <w:right w:val="single" w:sz="4" w:space="0" w:color="auto"/>
            </w:tcBorders>
            <w:shd w:val="clear" w:color="auto" w:fill="auto"/>
            <w:noWrap/>
            <w:vAlign w:val="center"/>
            <w:hideMark/>
          </w:tcPr>
          <w:p w14:paraId="2787FAB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150.17</w:t>
            </w:r>
          </w:p>
        </w:tc>
        <w:tc>
          <w:tcPr>
            <w:tcW w:w="1323" w:type="dxa"/>
            <w:tcBorders>
              <w:top w:val="nil"/>
              <w:left w:val="nil"/>
              <w:bottom w:val="single" w:sz="4" w:space="0" w:color="auto"/>
              <w:right w:val="single" w:sz="4" w:space="0" w:color="auto"/>
            </w:tcBorders>
            <w:shd w:val="clear" w:color="auto" w:fill="auto"/>
            <w:noWrap/>
            <w:vAlign w:val="center"/>
            <w:hideMark/>
          </w:tcPr>
          <w:p w14:paraId="26AB407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12D3D45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42,887</w:t>
            </w:r>
          </w:p>
        </w:tc>
      </w:tr>
      <w:tr w:rsidR="00C01B60" w:rsidRPr="00C01B60" w14:paraId="60673981"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2BE68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49</w:t>
            </w:r>
          </w:p>
        </w:tc>
        <w:tc>
          <w:tcPr>
            <w:tcW w:w="1153" w:type="dxa"/>
            <w:tcBorders>
              <w:top w:val="nil"/>
              <w:left w:val="nil"/>
              <w:bottom w:val="single" w:sz="4" w:space="0" w:color="auto"/>
              <w:right w:val="single" w:sz="4" w:space="0" w:color="auto"/>
            </w:tcBorders>
            <w:shd w:val="clear" w:color="auto" w:fill="auto"/>
            <w:noWrap/>
            <w:vAlign w:val="center"/>
            <w:hideMark/>
          </w:tcPr>
          <w:p w14:paraId="5737E9E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1,848</w:t>
            </w:r>
          </w:p>
        </w:tc>
        <w:tc>
          <w:tcPr>
            <w:tcW w:w="1353" w:type="dxa"/>
            <w:tcBorders>
              <w:top w:val="nil"/>
              <w:left w:val="nil"/>
              <w:bottom w:val="single" w:sz="4" w:space="0" w:color="auto"/>
              <w:right w:val="single" w:sz="4" w:space="0" w:color="auto"/>
            </w:tcBorders>
            <w:shd w:val="clear" w:color="auto" w:fill="auto"/>
            <w:noWrap/>
            <w:vAlign w:val="center"/>
            <w:hideMark/>
          </w:tcPr>
          <w:p w14:paraId="17158F2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1,618</w:t>
            </w:r>
          </w:p>
        </w:tc>
        <w:tc>
          <w:tcPr>
            <w:tcW w:w="1624" w:type="dxa"/>
            <w:tcBorders>
              <w:top w:val="nil"/>
              <w:left w:val="nil"/>
              <w:bottom w:val="single" w:sz="4" w:space="0" w:color="auto"/>
              <w:right w:val="single" w:sz="4" w:space="0" w:color="auto"/>
            </w:tcBorders>
            <w:shd w:val="clear" w:color="auto" w:fill="auto"/>
            <w:noWrap/>
            <w:vAlign w:val="center"/>
            <w:hideMark/>
          </w:tcPr>
          <w:p w14:paraId="31226AA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157.02</w:t>
            </w:r>
          </w:p>
        </w:tc>
        <w:tc>
          <w:tcPr>
            <w:tcW w:w="1323" w:type="dxa"/>
            <w:tcBorders>
              <w:top w:val="nil"/>
              <w:left w:val="nil"/>
              <w:bottom w:val="single" w:sz="4" w:space="0" w:color="auto"/>
              <w:right w:val="single" w:sz="4" w:space="0" w:color="auto"/>
            </w:tcBorders>
            <w:shd w:val="clear" w:color="auto" w:fill="auto"/>
            <w:noWrap/>
            <w:vAlign w:val="center"/>
            <w:hideMark/>
          </w:tcPr>
          <w:p w14:paraId="1062FA3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4026C10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45,806</w:t>
            </w:r>
          </w:p>
        </w:tc>
        <w:tc>
          <w:tcPr>
            <w:tcW w:w="611" w:type="dxa"/>
            <w:tcBorders>
              <w:top w:val="nil"/>
              <w:left w:val="nil"/>
              <w:bottom w:val="single" w:sz="4" w:space="0" w:color="auto"/>
              <w:right w:val="single" w:sz="4" w:space="0" w:color="auto"/>
            </w:tcBorders>
            <w:shd w:val="clear" w:color="auto" w:fill="auto"/>
            <w:noWrap/>
            <w:vAlign w:val="center"/>
            <w:hideMark/>
          </w:tcPr>
          <w:p w14:paraId="29C77B8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1,848</w:t>
            </w:r>
          </w:p>
        </w:tc>
        <w:tc>
          <w:tcPr>
            <w:tcW w:w="1353" w:type="dxa"/>
            <w:tcBorders>
              <w:top w:val="nil"/>
              <w:left w:val="nil"/>
              <w:bottom w:val="single" w:sz="4" w:space="0" w:color="auto"/>
              <w:right w:val="single" w:sz="4" w:space="0" w:color="auto"/>
            </w:tcBorders>
            <w:shd w:val="clear" w:color="auto" w:fill="auto"/>
            <w:noWrap/>
            <w:vAlign w:val="center"/>
            <w:hideMark/>
          </w:tcPr>
          <w:p w14:paraId="64DB22B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1,618</w:t>
            </w:r>
          </w:p>
        </w:tc>
        <w:tc>
          <w:tcPr>
            <w:tcW w:w="1624" w:type="dxa"/>
            <w:tcBorders>
              <w:top w:val="nil"/>
              <w:left w:val="nil"/>
              <w:bottom w:val="single" w:sz="4" w:space="0" w:color="auto"/>
              <w:right w:val="single" w:sz="4" w:space="0" w:color="auto"/>
            </w:tcBorders>
            <w:shd w:val="clear" w:color="auto" w:fill="auto"/>
            <w:noWrap/>
            <w:vAlign w:val="center"/>
            <w:hideMark/>
          </w:tcPr>
          <w:p w14:paraId="45D0A30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157.02</w:t>
            </w:r>
          </w:p>
        </w:tc>
        <w:tc>
          <w:tcPr>
            <w:tcW w:w="1323" w:type="dxa"/>
            <w:tcBorders>
              <w:top w:val="nil"/>
              <w:left w:val="nil"/>
              <w:bottom w:val="single" w:sz="4" w:space="0" w:color="auto"/>
              <w:right w:val="single" w:sz="4" w:space="0" w:color="auto"/>
            </w:tcBorders>
            <w:shd w:val="clear" w:color="auto" w:fill="auto"/>
            <w:noWrap/>
            <w:vAlign w:val="center"/>
            <w:hideMark/>
          </w:tcPr>
          <w:p w14:paraId="700BDCE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12263FB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45,807</w:t>
            </w:r>
          </w:p>
        </w:tc>
      </w:tr>
      <w:tr w:rsidR="00C01B60" w:rsidRPr="00C01B60" w14:paraId="0AEDA37D"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15E48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50</w:t>
            </w:r>
          </w:p>
        </w:tc>
        <w:tc>
          <w:tcPr>
            <w:tcW w:w="1153" w:type="dxa"/>
            <w:tcBorders>
              <w:top w:val="nil"/>
              <w:left w:val="nil"/>
              <w:bottom w:val="single" w:sz="4" w:space="0" w:color="auto"/>
              <w:right w:val="single" w:sz="4" w:space="0" w:color="auto"/>
            </w:tcBorders>
            <w:shd w:val="clear" w:color="auto" w:fill="auto"/>
            <w:noWrap/>
            <w:vAlign w:val="center"/>
            <w:hideMark/>
          </w:tcPr>
          <w:p w14:paraId="29ECE0A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1,663</w:t>
            </w:r>
          </w:p>
        </w:tc>
        <w:tc>
          <w:tcPr>
            <w:tcW w:w="1353" w:type="dxa"/>
            <w:tcBorders>
              <w:top w:val="nil"/>
              <w:left w:val="nil"/>
              <w:bottom w:val="single" w:sz="4" w:space="0" w:color="auto"/>
              <w:right w:val="single" w:sz="4" w:space="0" w:color="auto"/>
            </w:tcBorders>
            <w:shd w:val="clear" w:color="auto" w:fill="auto"/>
            <w:noWrap/>
            <w:vAlign w:val="center"/>
            <w:hideMark/>
          </w:tcPr>
          <w:p w14:paraId="7F72C61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1,639</w:t>
            </w:r>
          </w:p>
        </w:tc>
        <w:tc>
          <w:tcPr>
            <w:tcW w:w="1624" w:type="dxa"/>
            <w:tcBorders>
              <w:top w:val="nil"/>
              <w:left w:val="nil"/>
              <w:bottom w:val="single" w:sz="4" w:space="0" w:color="auto"/>
              <w:right w:val="single" w:sz="4" w:space="0" w:color="auto"/>
            </w:tcBorders>
            <w:shd w:val="clear" w:color="auto" w:fill="auto"/>
            <w:noWrap/>
            <w:vAlign w:val="center"/>
            <w:hideMark/>
          </w:tcPr>
          <w:p w14:paraId="7125A03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164.21</w:t>
            </w:r>
          </w:p>
        </w:tc>
        <w:tc>
          <w:tcPr>
            <w:tcW w:w="1323" w:type="dxa"/>
            <w:tcBorders>
              <w:top w:val="nil"/>
              <w:left w:val="nil"/>
              <w:bottom w:val="single" w:sz="4" w:space="0" w:color="auto"/>
              <w:right w:val="single" w:sz="4" w:space="0" w:color="auto"/>
            </w:tcBorders>
            <w:shd w:val="clear" w:color="auto" w:fill="auto"/>
            <w:noWrap/>
            <w:vAlign w:val="center"/>
            <w:hideMark/>
          </w:tcPr>
          <w:p w14:paraId="4B804B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13E122E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48,914</w:t>
            </w:r>
          </w:p>
        </w:tc>
        <w:tc>
          <w:tcPr>
            <w:tcW w:w="611" w:type="dxa"/>
            <w:tcBorders>
              <w:top w:val="nil"/>
              <w:left w:val="nil"/>
              <w:bottom w:val="single" w:sz="4" w:space="0" w:color="auto"/>
              <w:right w:val="single" w:sz="4" w:space="0" w:color="auto"/>
            </w:tcBorders>
            <w:shd w:val="clear" w:color="auto" w:fill="auto"/>
            <w:noWrap/>
            <w:vAlign w:val="center"/>
            <w:hideMark/>
          </w:tcPr>
          <w:p w14:paraId="3F047DC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1,663</w:t>
            </w:r>
          </w:p>
        </w:tc>
        <w:tc>
          <w:tcPr>
            <w:tcW w:w="1353" w:type="dxa"/>
            <w:tcBorders>
              <w:top w:val="nil"/>
              <w:left w:val="nil"/>
              <w:bottom w:val="single" w:sz="4" w:space="0" w:color="auto"/>
              <w:right w:val="single" w:sz="4" w:space="0" w:color="auto"/>
            </w:tcBorders>
            <w:shd w:val="clear" w:color="auto" w:fill="auto"/>
            <w:noWrap/>
            <w:vAlign w:val="center"/>
            <w:hideMark/>
          </w:tcPr>
          <w:p w14:paraId="2A59822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1,639</w:t>
            </w:r>
          </w:p>
        </w:tc>
        <w:tc>
          <w:tcPr>
            <w:tcW w:w="1624" w:type="dxa"/>
            <w:tcBorders>
              <w:top w:val="nil"/>
              <w:left w:val="nil"/>
              <w:bottom w:val="single" w:sz="4" w:space="0" w:color="auto"/>
              <w:right w:val="single" w:sz="4" w:space="0" w:color="auto"/>
            </w:tcBorders>
            <w:shd w:val="clear" w:color="auto" w:fill="auto"/>
            <w:noWrap/>
            <w:vAlign w:val="center"/>
            <w:hideMark/>
          </w:tcPr>
          <w:p w14:paraId="46E1C8C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164.21</w:t>
            </w:r>
          </w:p>
        </w:tc>
        <w:tc>
          <w:tcPr>
            <w:tcW w:w="1323" w:type="dxa"/>
            <w:tcBorders>
              <w:top w:val="nil"/>
              <w:left w:val="nil"/>
              <w:bottom w:val="single" w:sz="4" w:space="0" w:color="auto"/>
              <w:right w:val="single" w:sz="4" w:space="0" w:color="auto"/>
            </w:tcBorders>
            <w:shd w:val="clear" w:color="auto" w:fill="auto"/>
            <w:noWrap/>
            <w:vAlign w:val="center"/>
            <w:hideMark/>
          </w:tcPr>
          <w:p w14:paraId="5EDFB11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4699877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48,922</w:t>
            </w:r>
          </w:p>
        </w:tc>
      </w:tr>
      <w:tr w:rsidR="00C01B60" w:rsidRPr="00C01B60" w14:paraId="416673F7"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9A5B70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51</w:t>
            </w:r>
          </w:p>
        </w:tc>
        <w:tc>
          <w:tcPr>
            <w:tcW w:w="1153" w:type="dxa"/>
            <w:tcBorders>
              <w:top w:val="nil"/>
              <w:left w:val="nil"/>
              <w:bottom w:val="single" w:sz="4" w:space="0" w:color="auto"/>
              <w:right w:val="single" w:sz="4" w:space="0" w:color="auto"/>
            </w:tcBorders>
            <w:shd w:val="clear" w:color="auto" w:fill="auto"/>
            <w:noWrap/>
            <w:vAlign w:val="center"/>
            <w:hideMark/>
          </w:tcPr>
          <w:p w14:paraId="456C098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1,497</w:t>
            </w:r>
          </w:p>
        </w:tc>
        <w:tc>
          <w:tcPr>
            <w:tcW w:w="1353" w:type="dxa"/>
            <w:tcBorders>
              <w:top w:val="nil"/>
              <w:left w:val="nil"/>
              <w:bottom w:val="single" w:sz="4" w:space="0" w:color="auto"/>
              <w:right w:val="single" w:sz="4" w:space="0" w:color="auto"/>
            </w:tcBorders>
            <w:shd w:val="clear" w:color="auto" w:fill="auto"/>
            <w:noWrap/>
            <w:vAlign w:val="center"/>
            <w:hideMark/>
          </w:tcPr>
          <w:p w14:paraId="5CB61C1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1,661</w:t>
            </w:r>
          </w:p>
        </w:tc>
        <w:tc>
          <w:tcPr>
            <w:tcW w:w="1624" w:type="dxa"/>
            <w:tcBorders>
              <w:top w:val="nil"/>
              <w:left w:val="nil"/>
              <w:bottom w:val="single" w:sz="4" w:space="0" w:color="auto"/>
              <w:right w:val="single" w:sz="4" w:space="0" w:color="auto"/>
            </w:tcBorders>
            <w:shd w:val="clear" w:color="auto" w:fill="auto"/>
            <w:noWrap/>
            <w:vAlign w:val="center"/>
            <w:hideMark/>
          </w:tcPr>
          <w:p w14:paraId="515F8F7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172.11</w:t>
            </w:r>
          </w:p>
        </w:tc>
        <w:tc>
          <w:tcPr>
            <w:tcW w:w="1323" w:type="dxa"/>
            <w:tcBorders>
              <w:top w:val="nil"/>
              <w:left w:val="nil"/>
              <w:bottom w:val="single" w:sz="4" w:space="0" w:color="auto"/>
              <w:right w:val="single" w:sz="4" w:space="0" w:color="auto"/>
            </w:tcBorders>
            <w:shd w:val="clear" w:color="auto" w:fill="auto"/>
            <w:noWrap/>
            <w:vAlign w:val="center"/>
            <w:hideMark/>
          </w:tcPr>
          <w:p w14:paraId="5A0FB98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284D15B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52,315</w:t>
            </w:r>
          </w:p>
        </w:tc>
        <w:tc>
          <w:tcPr>
            <w:tcW w:w="611" w:type="dxa"/>
            <w:tcBorders>
              <w:top w:val="nil"/>
              <w:left w:val="nil"/>
              <w:bottom w:val="single" w:sz="4" w:space="0" w:color="auto"/>
              <w:right w:val="single" w:sz="4" w:space="0" w:color="auto"/>
            </w:tcBorders>
            <w:shd w:val="clear" w:color="auto" w:fill="auto"/>
            <w:noWrap/>
            <w:vAlign w:val="center"/>
            <w:hideMark/>
          </w:tcPr>
          <w:p w14:paraId="30478EC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1,497</w:t>
            </w:r>
          </w:p>
        </w:tc>
        <w:tc>
          <w:tcPr>
            <w:tcW w:w="1353" w:type="dxa"/>
            <w:tcBorders>
              <w:top w:val="nil"/>
              <w:left w:val="nil"/>
              <w:bottom w:val="single" w:sz="4" w:space="0" w:color="auto"/>
              <w:right w:val="single" w:sz="4" w:space="0" w:color="auto"/>
            </w:tcBorders>
            <w:shd w:val="clear" w:color="auto" w:fill="auto"/>
            <w:noWrap/>
            <w:vAlign w:val="center"/>
            <w:hideMark/>
          </w:tcPr>
          <w:p w14:paraId="443D856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1,661</w:t>
            </w:r>
          </w:p>
        </w:tc>
        <w:tc>
          <w:tcPr>
            <w:tcW w:w="1624" w:type="dxa"/>
            <w:tcBorders>
              <w:top w:val="nil"/>
              <w:left w:val="nil"/>
              <w:bottom w:val="single" w:sz="4" w:space="0" w:color="auto"/>
              <w:right w:val="single" w:sz="4" w:space="0" w:color="auto"/>
            </w:tcBorders>
            <w:shd w:val="clear" w:color="auto" w:fill="auto"/>
            <w:noWrap/>
            <w:vAlign w:val="center"/>
            <w:hideMark/>
          </w:tcPr>
          <w:p w14:paraId="07342FE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172.11</w:t>
            </w:r>
          </w:p>
        </w:tc>
        <w:tc>
          <w:tcPr>
            <w:tcW w:w="1323" w:type="dxa"/>
            <w:tcBorders>
              <w:top w:val="nil"/>
              <w:left w:val="nil"/>
              <w:bottom w:val="single" w:sz="4" w:space="0" w:color="auto"/>
              <w:right w:val="single" w:sz="4" w:space="0" w:color="auto"/>
            </w:tcBorders>
            <w:shd w:val="clear" w:color="auto" w:fill="auto"/>
            <w:noWrap/>
            <w:vAlign w:val="center"/>
            <w:hideMark/>
          </w:tcPr>
          <w:p w14:paraId="781E056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25</w:t>
            </w:r>
          </w:p>
        </w:tc>
        <w:tc>
          <w:tcPr>
            <w:tcW w:w="1318" w:type="dxa"/>
            <w:tcBorders>
              <w:top w:val="nil"/>
              <w:left w:val="nil"/>
              <w:bottom w:val="single" w:sz="4" w:space="0" w:color="auto"/>
              <w:right w:val="single" w:sz="4" w:space="0" w:color="auto"/>
            </w:tcBorders>
            <w:shd w:val="clear" w:color="auto" w:fill="auto"/>
            <w:noWrap/>
            <w:vAlign w:val="center"/>
            <w:hideMark/>
          </w:tcPr>
          <w:p w14:paraId="32C16C5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52,329</w:t>
            </w:r>
          </w:p>
        </w:tc>
      </w:tr>
      <w:tr w:rsidR="00C01B60" w:rsidRPr="00C01B60" w14:paraId="6048F94E"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27B983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52</w:t>
            </w:r>
          </w:p>
        </w:tc>
        <w:tc>
          <w:tcPr>
            <w:tcW w:w="1153" w:type="dxa"/>
            <w:tcBorders>
              <w:top w:val="nil"/>
              <w:left w:val="nil"/>
              <w:bottom w:val="single" w:sz="4" w:space="0" w:color="auto"/>
              <w:right w:val="single" w:sz="4" w:space="0" w:color="auto"/>
            </w:tcBorders>
            <w:shd w:val="clear" w:color="auto" w:fill="auto"/>
            <w:noWrap/>
            <w:vAlign w:val="center"/>
            <w:hideMark/>
          </w:tcPr>
          <w:p w14:paraId="2A8AFC0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1,347</w:t>
            </w:r>
          </w:p>
        </w:tc>
        <w:tc>
          <w:tcPr>
            <w:tcW w:w="1353" w:type="dxa"/>
            <w:tcBorders>
              <w:top w:val="nil"/>
              <w:left w:val="nil"/>
              <w:bottom w:val="single" w:sz="4" w:space="0" w:color="auto"/>
              <w:right w:val="single" w:sz="4" w:space="0" w:color="auto"/>
            </w:tcBorders>
            <w:shd w:val="clear" w:color="auto" w:fill="auto"/>
            <w:noWrap/>
            <w:vAlign w:val="center"/>
            <w:hideMark/>
          </w:tcPr>
          <w:p w14:paraId="30F44D8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1,682</w:t>
            </w:r>
          </w:p>
        </w:tc>
        <w:tc>
          <w:tcPr>
            <w:tcW w:w="1624" w:type="dxa"/>
            <w:tcBorders>
              <w:top w:val="nil"/>
              <w:left w:val="nil"/>
              <w:bottom w:val="single" w:sz="4" w:space="0" w:color="auto"/>
              <w:right w:val="single" w:sz="4" w:space="0" w:color="auto"/>
            </w:tcBorders>
            <w:shd w:val="clear" w:color="auto" w:fill="auto"/>
            <w:noWrap/>
            <w:vAlign w:val="center"/>
            <w:hideMark/>
          </w:tcPr>
          <w:p w14:paraId="274FD0F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182.44</w:t>
            </w:r>
          </w:p>
        </w:tc>
        <w:tc>
          <w:tcPr>
            <w:tcW w:w="1323" w:type="dxa"/>
            <w:tcBorders>
              <w:top w:val="nil"/>
              <w:left w:val="nil"/>
              <w:bottom w:val="single" w:sz="4" w:space="0" w:color="auto"/>
              <w:right w:val="single" w:sz="4" w:space="0" w:color="auto"/>
            </w:tcBorders>
            <w:shd w:val="clear" w:color="auto" w:fill="auto"/>
            <w:noWrap/>
            <w:vAlign w:val="center"/>
            <w:hideMark/>
          </w:tcPr>
          <w:p w14:paraId="3C11980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0A01689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56,469</w:t>
            </w:r>
          </w:p>
        </w:tc>
        <w:tc>
          <w:tcPr>
            <w:tcW w:w="611" w:type="dxa"/>
            <w:tcBorders>
              <w:top w:val="nil"/>
              <w:left w:val="nil"/>
              <w:bottom w:val="single" w:sz="4" w:space="0" w:color="auto"/>
              <w:right w:val="single" w:sz="4" w:space="0" w:color="auto"/>
            </w:tcBorders>
            <w:shd w:val="clear" w:color="auto" w:fill="auto"/>
            <w:noWrap/>
            <w:vAlign w:val="center"/>
            <w:hideMark/>
          </w:tcPr>
          <w:p w14:paraId="7316E10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1,347</w:t>
            </w:r>
          </w:p>
        </w:tc>
        <w:tc>
          <w:tcPr>
            <w:tcW w:w="1353" w:type="dxa"/>
            <w:tcBorders>
              <w:top w:val="nil"/>
              <w:left w:val="nil"/>
              <w:bottom w:val="single" w:sz="4" w:space="0" w:color="auto"/>
              <w:right w:val="single" w:sz="4" w:space="0" w:color="auto"/>
            </w:tcBorders>
            <w:shd w:val="clear" w:color="auto" w:fill="auto"/>
            <w:noWrap/>
            <w:vAlign w:val="center"/>
            <w:hideMark/>
          </w:tcPr>
          <w:p w14:paraId="4FC3471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1,682</w:t>
            </w:r>
          </w:p>
        </w:tc>
        <w:tc>
          <w:tcPr>
            <w:tcW w:w="1624" w:type="dxa"/>
            <w:tcBorders>
              <w:top w:val="nil"/>
              <w:left w:val="nil"/>
              <w:bottom w:val="single" w:sz="4" w:space="0" w:color="auto"/>
              <w:right w:val="single" w:sz="4" w:space="0" w:color="auto"/>
            </w:tcBorders>
            <w:shd w:val="clear" w:color="auto" w:fill="auto"/>
            <w:noWrap/>
            <w:vAlign w:val="center"/>
            <w:hideMark/>
          </w:tcPr>
          <w:p w14:paraId="118A57A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182.44</w:t>
            </w:r>
          </w:p>
        </w:tc>
        <w:tc>
          <w:tcPr>
            <w:tcW w:w="1323" w:type="dxa"/>
            <w:tcBorders>
              <w:top w:val="nil"/>
              <w:left w:val="nil"/>
              <w:bottom w:val="single" w:sz="4" w:space="0" w:color="auto"/>
              <w:right w:val="single" w:sz="4" w:space="0" w:color="auto"/>
            </w:tcBorders>
            <w:shd w:val="clear" w:color="auto" w:fill="auto"/>
            <w:noWrap/>
            <w:vAlign w:val="center"/>
            <w:hideMark/>
          </w:tcPr>
          <w:p w14:paraId="0352756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0D6E6C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56,491</w:t>
            </w:r>
          </w:p>
        </w:tc>
      </w:tr>
      <w:tr w:rsidR="00C01B60" w:rsidRPr="00C01B60" w14:paraId="2821B368"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91205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53</w:t>
            </w:r>
          </w:p>
        </w:tc>
        <w:tc>
          <w:tcPr>
            <w:tcW w:w="1153" w:type="dxa"/>
            <w:tcBorders>
              <w:top w:val="nil"/>
              <w:left w:val="nil"/>
              <w:bottom w:val="single" w:sz="4" w:space="0" w:color="auto"/>
              <w:right w:val="single" w:sz="4" w:space="0" w:color="auto"/>
            </w:tcBorders>
            <w:shd w:val="clear" w:color="auto" w:fill="auto"/>
            <w:noWrap/>
            <w:vAlign w:val="center"/>
            <w:hideMark/>
          </w:tcPr>
          <w:p w14:paraId="5C9399B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1,212</w:t>
            </w:r>
          </w:p>
        </w:tc>
        <w:tc>
          <w:tcPr>
            <w:tcW w:w="1353" w:type="dxa"/>
            <w:tcBorders>
              <w:top w:val="nil"/>
              <w:left w:val="nil"/>
              <w:bottom w:val="single" w:sz="4" w:space="0" w:color="auto"/>
              <w:right w:val="single" w:sz="4" w:space="0" w:color="auto"/>
            </w:tcBorders>
            <w:shd w:val="clear" w:color="auto" w:fill="auto"/>
            <w:noWrap/>
            <w:vAlign w:val="center"/>
            <w:hideMark/>
          </w:tcPr>
          <w:p w14:paraId="257D5DC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1,704</w:t>
            </w:r>
          </w:p>
        </w:tc>
        <w:tc>
          <w:tcPr>
            <w:tcW w:w="1624" w:type="dxa"/>
            <w:tcBorders>
              <w:top w:val="nil"/>
              <w:left w:val="nil"/>
              <w:bottom w:val="single" w:sz="4" w:space="0" w:color="auto"/>
              <w:right w:val="single" w:sz="4" w:space="0" w:color="auto"/>
            </w:tcBorders>
            <w:shd w:val="clear" w:color="auto" w:fill="auto"/>
            <w:noWrap/>
            <w:vAlign w:val="center"/>
            <w:hideMark/>
          </w:tcPr>
          <w:p w14:paraId="5583294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192.84</w:t>
            </w:r>
          </w:p>
        </w:tc>
        <w:tc>
          <w:tcPr>
            <w:tcW w:w="1323" w:type="dxa"/>
            <w:tcBorders>
              <w:top w:val="nil"/>
              <w:left w:val="nil"/>
              <w:bottom w:val="single" w:sz="4" w:space="0" w:color="auto"/>
              <w:right w:val="single" w:sz="4" w:space="0" w:color="auto"/>
            </w:tcBorders>
            <w:shd w:val="clear" w:color="auto" w:fill="auto"/>
            <w:noWrap/>
            <w:vAlign w:val="center"/>
            <w:hideMark/>
          </w:tcPr>
          <w:p w14:paraId="23D46DE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318" w:type="dxa"/>
            <w:tcBorders>
              <w:top w:val="nil"/>
              <w:left w:val="nil"/>
              <w:bottom w:val="single" w:sz="4" w:space="0" w:color="auto"/>
              <w:right w:val="single" w:sz="4" w:space="0" w:color="auto"/>
            </w:tcBorders>
            <w:shd w:val="clear" w:color="auto" w:fill="auto"/>
            <w:noWrap/>
            <w:vAlign w:val="center"/>
            <w:hideMark/>
          </w:tcPr>
          <w:p w14:paraId="2789053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63,200</w:t>
            </w:r>
          </w:p>
        </w:tc>
        <w:tc>
          <w:tcPr>
            <w:tcW w:w="611" w:type="dxa"/>
            <w:tcBorders>
              <w:top w:val="nil"/>
              <w:left w:val="nil"/>
              <w:bottom w:val="single" w:sz="4" w:space="0" w:color="auto"/>
              <w:right w:val="single" w:sz="4" w:space="0" w:color="auto"/>
            </w:tcBorders>
            <w:shd w:val="clear" w:color="auto" w:fill="auto"/>
            <w:noWrap/>
            <w:vAlign w:val="center"/>
            <w:hideMark/>
          </w:tcPr>
          <w:p w14:paraId="4E9A081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1,212</w:t>
            </w:r>
          </w:p>
        </w:tc>
        <w:tc>
          <w:tcPr>
            <w:tcW w:w="1353" w:type="dxa"/>
            <w:tcBorders>
              <w:top w:val="nil"/>
              <w:left w:val="nil"/>
              <w:bottom w:val="single" w:sz="4" w:space="0" w:color="auto"/>
              <w:right w:val="single" w:sz="4" w:space="0" w:color="auto"/>
            </w:tcBorders>
            <w:shd w:val="clear" w:color="auto" w:fill="auto"/>
            <w:noWrap/>
            <w:vAlign w:val="center"/>
            <w:hideMark/>
          </w:tcPr>
          <w:p w14:paraId="06343C0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1,704</w:t>
            </w:r>
          </w:p>
        </w:tc>
        <w:tc>
          <w:tcPr>
            <w:tcW w:w="1624" w:type="dxa"/>
            <w:tcBorders>
              <w:top w:val="nil"/>
              <w:left w:val="nil"/>
              <w:bottom w:val="single" w:sz="4" w:space="0" w:color="auto"/>
              <w:right w:val="single" w:sz="4" w:space="0" w:color="auto"/>
            </w:tcBorders>
            <w:shd w:val="clear" w:color="auto" w:fill="auto"/>
            <w:noWrap/>
            <w:vAlign w:val="center"/>
            <w:hideMark/>
          </w:tcPr>
          <w:p w14:paraId="1CEFE02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192.84</w:t>
            </w:r>
          </w:p>
        </w:tc>
        <w:tc>
          <w:tcPr>
            <w:tcW w:w="1323" w:type="dxa"/>
            <w:tcBorders>
              <w:top w:val="nil"/>
              <w:left w:val="nil"/>
              <w:bottom w:val="single" w:sz="4" w:space="0" w:color="auto"/>
              <w:right w:val="single" w:sz="4" w:space="0" w:color="auto"/>
            </w:tcBorders>
            <w:shd w:val="clear" w:color="auto" w:fill="auto"/>
            <w:noWrap/>
            <w:vAlign w:val="center"/>
            <w:hideMark/>
          </w:tcPr>
          <w:p w14:paraId="39777C4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26</w:t>
            </w:r>
          </w:p>
        </w:tc>
        <w:tc>
          <w:tcPr>
            <w:tcW w:w="1318" w:type="dxa"/>
            <w:tcBorders>
              <w:top w:val="nil"/>
              <w:left w:val="nil"/>
              <w:bottom w:val="single" w:sz="4" w:space="0" w:color="auto"/>
              <w:right w:val="single" w:sz="4" w:space="0" w:color="auto"/>
            </w:tcBorders>
            <w:shd w:val="clear" w:color="auto" w:fill="auto"/>
            <w:noWrap/>
            <w:vAlign w:val="center"/>
            <w:hideMark/>
          </w:tcPr>
          <w:p w14:paraId="37E6B10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63,238</w:t>
            </w:r>
          </w:p>
        </w:tc>
      </w:tr>
      <w:tr w:rsidR="00C01B60" w:rsidRPr="00C01B60" w14:paraId="00F09269"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EC652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54</w:t>
            </w:r>
          </w:p>
        </w:tc>
        <w:tc>
          <w:tcPr>
            <w:tcW w:w="1153" w:type="dxa"/>
            <w:tcBorders>
              <w:top w:val="nil"/>
              <w:left w:val="nil"/>
              <w:bottom w:val="single" w:sz="4" w:space="0" w:color="auto"/>
              <w:right w:val="single" w:sz="4" w:space="0" w:color="auto"/>
            </w:tcBorders>
            <w:shd w:val="clear" w:color="auto" w:fill="auto"/>
            <w:noWrap/>
            <w:vAlign w:val="center"/>
            <w:hideMark/>
          </w:tcPr>
          <w:p w14:paraId="1AF1C19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1,091</w:t>
            </w:r>
          </w:p>
        </w:tc>
        <w:tc>
          <w:tcPr>
            <w:tcW w:w="1353" w:type="dxa"/>
            <w:tcBorders>
              <w:top w:val="nil"/>
              <w:left w:val="nil"/>
              <w:bottom w:val="single" w:sz="4" w:space="0" w:color="auto"/>
              <w:right w:val="single" w:sz="4" w:space="0" w:color="auto"/>
            </w:tcBorders>
            <w:shd w:val="clear" w:color="auto" w:fill="auto"/>
            <w:noWrap/>
            <w:vAlign w:val="center"/>
            <w:hideMark/>
          </w:tcPr>
          <w:p w14:paraId="479BB2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1,726</w:t>
            </w:r>
          </w:p>
        </w:tc>
        <w:tc>
          <w:tcPr>
            <w:tcW w:w="1624" w:type="dxa"/>
            <w:tcBorders>
              <w:top w:val="nil"/>
              <w:left w:val="nil"/>
              <w:bottom w:val="single" w:sz="4" w:space="0" w:color="auto"/>
              <w:right w:val="single" w:sz="4" w:space="0" w:color="auto"/>
            </w:tcBorders>
            <w:shd w:val="clear" w:color="auto" w:fill="auto"/>
            <w:noWrap/>
            <w:vAlign w:val="center"/>
            <w:hideMark/>
          </w:tcPr>
          <w:p w14:paraId="3B0FC57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197.79</w:t>
            </w:r>
          </w:p>
        </w:tc>
        <w:tc>
          <w:tcPr>
            <w:tcW w:w="1323" w:type="dxa"/>
            <w:tcBorders>
              <w:top w:val="nil"/>
              <w:left w:val="nil"/>
              <w:bottom w:val="single" w:sz="4" w:space="0" w:color="auto"/>
              <w:right w:val="single" w:sz="4" w:space="0" w:color="auto"/>
            </w:tcBorders>
            <w:shd w:val="clear" w:color="auto" w:fill="auto"/>
            <w:noWrap/>
            <w:vAlign w:val="center"/>
            <w:hideMark/>
          </w:tcPr>
          <w:p w14:paraId="67171A8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27</w:t>
            </w:r>
          </w:p>
        </w:tc>
        <w:tc>
          <w:tcPr>
            <w:tcW w:w="1318" w:type="dxa"/>
            <w:tcBorders>
              <w:top w:val="nil"/>
              <w:left w:val="nil"/>
              <w:bottom w:val="single" w:sz="4" w:space="0" w:color="auto"/>
              <w:right w:val="single" w:sz="4" w:space="0" w:color="auto"/>
            </w:tcBorders>
            <w:shd w:val="clear" w:color="auto" w:fill="auto"/>
            <w:noWrap/>
            <w:vAlign w:val="center"/>
            <w:hideMark/>
          </w:tcPr>
          <w:p w14:paraId="7C61A50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66,330</w:t>
            </w:r>
          </w:p>
        </w:tc>
        <w:tc>
          <w:tcPr>
            <w:tcW w:w="611" w:type="dxa"/>
            <w:tcBorders>
              <w:top w:val="nil"/>
              <w:left w:val="nil"/>
              <w:bottom w:val="single" w:sz="4" w:space="0" w:color="auto"/>
              <w:right w:val="single" w:sz="4" w:space="0" w:color="auto"/>
            </w:tcBorders>
            <w:shd w:val="clear" w:color="auto" w:fill="auto"/>
            <w:noWrap/>
            <w:vAlign w:val="center"/>
            <w:hideMark/>
          </w:tcPr>
          <w:p w14:paraId="4903E9C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1,091</w:t>
            </w:r>
          </w:p>
        </w:tc>
        <w:tc>
          <w:tcPr>
            <w:tcW w:w="1353" w:type="dxa"/>
            <w:tcBorders>
              <w:top w:val="nil"/>
              <w:left w:val="nil"/>
              <w:bottom w:val="single" w:sz="4" w:space="0" w:color="auto"/>
              <w:right w:val="single" w:sz="4" w:space="0" w:color="auto"/>
            </w:tcBorders>
            <w:shd w:val="clear" w:color="auto" w:fill="auto"/>
            <w:noWrap/>
            <w:vAlign w:val="center"/>
            <w:hideMark/>
          </w:tcPr>
          <w:p w14:paraId="362C965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1,726</w:t>
            </w:r>
          </w:p>
        </w:tc>
        <w:tc>
          <w:tcPr>
            <w:tcW w:w="1624" w:type="dxa"/>
            <w:tcBorders>
              <w:top w:val="nil"/>
              <w:left w:val="nil"/>
              <w:bottom w:val="single" w:sz="4" w:space="0" w:color="auto"/>
              <w:right w:val="single" w:sz="4" w:space="0" w:color="auto"/>
            </w:tcBorders>
            <w:shd w:val="clear" w:color="auto" w:fill="auto"/>
            <w:noWrap/>
            <w:vAlign w:val="center"/>
            <w:hideMark/>
          </w:tcPr>
          <w:p w14:paraId="67915F8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197.79</w:t>
            </w:r>
          </w:p>
        </w:tc>
        <w:tc>
          <w:tcPr>
            <w:tcW w:w="1323" w:type="dxa"/>
            <w:tcBorders>
              <w:top w:val="nil"/>
              <w:left w:val="nil"/>
              <w:bottom w:val="single" w:sz="4" w:space="0" w:color="auto"/>
              <w:right w:val="single" w:sz="4" w:space="0" w:color="auto"/>
            </w:tcBorders>
            <w:shd w:val="clear" w:color="auto" w:fill="auto"/>
            <w:noWrap/>
            <w:vAlign w:val="center"/>
            <w:hideMark/>
          </w:tcPr>
          <w:p w14:paraId="4F0A8D8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55</w:t>
            </w:r>
          </w:p>
        </w:tc>
        <w:tc>
          <w:tcPr>
            <w:tcW w:w="1318" w:type="dxa"/>
            <w:tcBorders>
              <w:top w:val="nil"/>
              <w:left w:val="nil"/>
              <w:bottom w:val="single" w:sz="4" w:space="0" w:color="auto"/>
              <w:right w:val="single" w:sz="4" w:space="0" w:color="auto"/>
            </w:tcBorders>
            <w:shd w:val="clear" w:color="auto" w:fill="auto"/>
            <w:noWrap/>
            <w:vAlign w:val="center"/>
            <w:hideMark/>
          </w:tcPr>
          <w:p w14:paraId="62E4DC9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63,818</w:t>
            </w:r>
          </w:p>
        </w:tc>
      </w:tr>
      <w:tr w:rsidR="00C01B60" w:rsidRPr="00C01B60" w14:paraId="7C6E6DFE"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2D870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55</w:t>
            </w:r>
          </w:p>
        </w:tc>
        <w:tc>
          <w:tcPr>
            <w:tcW w:w="1153" w:type="dxa"/>
            <w:tcBorders>
              <w:top w:val="nil"/>
              <w:left w:val="nil"/>
              <w:bottom w:val="single" w:sz="4" w:space="0" w:color="auto"/>
              <w:right w:val="single" w:sz="4" w:space="0" w:color="auto"/>
            </w:tcBorders>
            <w:shd w:val="clear" w:color="auto" w:fill="auto"/>
            <w:noWrap/>
            <w:vAlign w:val="center"/>
            <w:hideMark/>
          </w:tcPr>
          <w:p w14:paraId="75A2234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982.0844472</w:t>
            </w:r>
          </w:p>
        </w:tc>
        <w:tc>
          <w:tcPr>
            <w:tcW w:w="1353" w:type="dxa"/>
            <w:tcBorders>
              <w:top w:val="nil"/>
              <w:left w:val="nil"/>
              <w:bottom w:val="single" w:sz="4" w:space="0" w:color="auto"/>
              <w:right w:val="single" w:sz="4" w:space="0" w:color="auto"/>
            </w:tcBorders>
            <w:shd w:val="clear" w:color="auto" w:fill="auto"/>
            <w:noWrap/>
            <w:vAlign w:val="center"/>
            <w:hideMark/>
          </w:tcPr>
          <w:p w14:paraId="683083A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1,749</w:t>
            </w:r>
          </w:p>
        </w:tc>
        <w:tc>
          <w:tcPr>
            <w:tcW w:w="1624" w:type="dxa"/>
            <w:tcBorders>
              <w:top w:val="nil"/>
              <w:left w:val="nil"/>
              <w:bottom w:val="single" w:sz="4" w:space="0" w:color="auto"/>
              <w:right w:val="single" w:sz="4" w:space="0" w:color="auto"/>
            </w:tcBorders>
            <w:shd w:val="clear" w:color="auto" w:fill="auto"/>
            <w:noWrap/>
            <w:vAlign w:val="center"/>
            <w:hideMark/>
          </w:tcPr>
          <w:p w14:paraId="28372430"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202.54</w:t>
            </w:r>
          </w:p>
        </w:tc>
        <w:tc>
          <w:tcPr>
            <w:tcW w:w="1323" w:type="dxa"/>
            <w:tcBorders>
              <w:top w:val="nil"/>
              <w:left w:val="nil"/>
              <w:bottom w:val="single" w:sz="4" w:space="0" w:color="auto"/>
              <w:right w:val="single" w:sz="4" w:space="0" w:color="auto"/>
            </w:tcBorders>
            <w:shd w:val="clear" w:color="auto" w:fill="auto"/>
            <w:noWrap/>
            <w:vAlign w:val="center"/>
            <w:hideMark/>
          </w:tcPr>
          <w:p w14:paraId="667417B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0EBE6588"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66,835</w:t>
            </w:r>
          </w:p>
        </w:tc>
        <w:tc>
          <w:tcPr>
            <w:tcW w:w="611" w:type="dxa"/>
            <w:tcBorders>
              <w:top w:val="nil"/>
              <w:left w:val="nil"/>
              <w:bottom w:val="single" w:sz="4" w:space="0" w:color="auto"/>
              <w:right w:val="single" w:sz="4" w:space="0" w:color="auto"/>
            </w:tcBorders>
            <w:shd w:val="clear" w:color="auto" w:fill="auto"/>
            <w:noWrap/>
            <w:vAlign w:val="center"/>
            <w:hideMark/>
          </w:tcPr>
          <w:p w14:paraId="3949BFA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95</w:t>
            </w:r>
          </w:p>
        </w:tc>
        <w:tc>
          <w:tcPr>
            <w:tcW w:w="1353" w:type="dxa"/>
            <w:tcBorders>
              <w:top w:val="nil"/>
              <w:left w:val="nil"/>
              <w:bottom w:val="single" w:sz="4" w:space="0" w:color="auto"/>
              <w:right w:val="single" w:sz="4" w:space="0" w:color="auto"/>
            </w:tcBorders>
            <w:shd w:val="clear" w:color="auto" w:fill="auto"/>
            <w:noWrap/>
            <w:vAlign w:val="center"/>
            <w:hideMark/>
          </w:tcPr>
          <w:p w14:paraId="5D4AAB8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1,749</w:t>
            </w:r>
          </w:p>
        </w:tc>
        <w:tc>
          <w:tcPr>
            <w:tcW w:w="1624" w:type="dxa"/>
            <w:tcBorders>
              <w:top w:val="nil"/>
              <w:left w:val="nil"/>
              <w:bottom w:val="single" w:sz="4" w:space="0" w:color="auto"/>
              <w:right w:val="single" w:sz="4" w:space="0" w:color="auto"/>
            </w:tcBorders>
            <w:shd w:val="clear" w:color="auto" w:fill="auto"/>
            <w:noWrap/>
            <w:vAlign w:val="center"/>
            <w:hideMark/>
          </w:tcPr>
          <w:p w14:paraId="14A2706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202.54</w:t>
            </w:r>
          </w:p>
        </w:tc>
        <w:tc>
          <w:tcPr>
            <w:tcW w:w="1323" w:type="dxa"/>
            <w:tcBorders>
              <w:top w:val="nil"/>
              <w:left w:val="nil"/>
              <w:bottom w:val="single" w:sz="4" w:space="0" w:color="auto"/>
              <w:right w:val="single" w:sz="4" w:space="0" w:color="auto"/>
            </w:tcBorders>
            <w:shd w:val="clear" w:color="auto" w:fill="auto"/>
            <w:noWrap/>
            <w:vAlign w:val="center"/>
            <w:hideMark/>
          </w:tcPr>
          <w:p w14:paraId="36BEA82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56</w:t>
            </w:r>
          </w:p>
        </w:tc>
        <w:tc>
          <w:tcPr>
            <w:tcW w:w="1318" w:type="dxa"/>
            <w:tcBorders>
              <w:top w:val="nil"/>
              <w:left w:val="nil"/>
              <w:bottom w:val="single" w:sz="4" w:space="0" w:color="auto"/>
              <w:right w:val="single" w:sz="4" w:space="0" w:color="auto"/>
            </w:tcBorders>
            <w:shd w:val="clear" w:color="auto" w:fill="auto"/>
            <w:noWrap/>
            <w:vAlign w:val="center"/>
            <w:hideMark/>
          </w:tcPr>
          <w:p w14:paraId="4B46F69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66,881</w:t>
            </w:r>
          </w:p>
        </w:tc>
      </w:tr>
      <w:tr w:rsidR="00C01B60" w:rsidRPr="00C01B60" w14:paraId="1EAEBB44" w14:textId="77777777" w:rsidTr="00C01B60">
        <w:trPr>
          <w:trHeight w:val="293"/>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7EAE7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56</w:t>
            </w:r>
          </w:p>
        </w:tc>
        <w:tc>
          <w:tcPr>
            <w:tcW w:w="1153" w:type="dxa"/>
            <w:tcBorders>
              <w:top w:val="nil"/>
              <w:left w:val="nil"/>
              <w:bottom w:val="single" w:sz="4" w:space="0" w:color="auto"/>
              <w:right w:val="single" w:sz="4" w:space="0" w:color="auto"/>
            </w:tcBorders>
            <w:shd w:val="clear" w:color="auto" w:fill="auto"/>
            <w:noWrap/>
            <w:vAlign w:val="center"/>
            <w:hideMark/>
          </w:tcPr>
          <w:p w14:paraId="1DF9167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883.8760024</w:t>
            </w:r>
          </w:p>
        </w:tc>
        <w:tc>
          <w:tcPr>
            <w:tcW w:w="1353" w:type="dxa"/>
            <w:tcBorders>
              <w:top w:val="nil"/>
              <w:left w:val="nil"/>
              <w:bottom w:val="single" w:sz="4" w:space="0" w:color="auto"/>
              <w:right w:val="single" w:sz="4" w:space="0" w:color="auto"/>
            </w:tcBorders>
            <w:shd w:val="clear" w:color="auto" w:fill="auto"/>
            <w:noWrap/>
            <w:vAlign w:val="center"/>
            <w:hideMark/>
          </w:tcPr>
          <w:p w14:paraId="77E0261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1,771</w:t>
            </w:r>
          </w:p>
        </w:tc>
        <w:tc>
          <w:tcPr>
            <w:tcW w:w="1624" w:type="dxa"/>
            <w:tcBorders>
              <w:top w:val="nil"/>
              <w:left w:val="nil"/>
              <w:bottom w:val="single" w:sz="4" w:space="0" w:color="auto"/>
              <w:right w:val="single" w:sz="4" w:space="0" w:color="auto"/>
            </w:tcBorders>
            <w:shd w:val="clear" w:color="auto" w:fill="auto"/>
            <w:noWrap/>
            <w:vAlign w:val="center"/>
            <w:hideMark/>
          </w:tcPr>
          <w:p w14:paraId="6D21AC5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207.14</w:t>
            </w:r>
          </w:p>
        </w:tc>
        <w:tc>
          <w:tcPr>
            <w:tcW w:w="1323" w:type="dxa"/>
            <w:tcBorders>
              <w:top w:val="nil"/>
              <w:left w:val="nil"/>
              <w:bottom w:val="single" w:sz="4" w:space="0" w:color="auto"/>
              <w:right w:val="single" w:sz="4" w:space="0" w:color="auto"/>
            </w:tcBorders>
            <w:shd w:val="clear" w:color="auto" w:fill="auto"/>
            <w:noWrap/>
            <w:vAlign w:val="center"/>
            <w:hideMark/>
          </w:tcPr>
          <w:p w14:paraId="3FDDBF8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3908845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69,961</w:t>
            </w:r>
          </w:p>
        </w:tc>
        <w:tc>
          <w:tcPr>
            <w:tcW w:w="611" w:type="dxa"/>
            <w:tcBorders>
              <w:top w:val="nil"/>
              <w:left w:val="nil"/>
              <w:bottom w:val="single" w:sz="4" w:space="0" w:color="auto"/>
              <w:right w:val="single" w:sz="4" w:space="0" w:color="auto"/>
            </w:tcBorders>
            <w:shd w:val="clear" w:color="auto" w:fill="auto"/>
            <w:noWrap/>
            <w:vAlign w:val="center"/>
            <w:hideMark/>
          </w:tcPr>
          <w:p w14:paraId="16CACF1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53" w:type="dxa"/>
            <w:tcBorders>
              <w:top w:val="nil"/>
              <w:left w:val="nil"/>
              <w:bottom w:val="single" w:sz="4" w:space="0" w:color="auto"/>
              <w:right w:val="single" w:sz="4" w:space="0" w:color="auto"/>
            </w:tcBorders>
            <w:shd w:val="clear" w:color="auto" w:fill="auto"/>
            <w:noWrap/>
            <w:vAlign w:val="center"/>
            <w:hideMark/>
          </w:tcPr>
          <w:p w14:paraId="7D7736A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624" w:type="dxa"/>
            <w:tcBorders>
              <w:top w:val="nil"/>
              <w:left w:val="nil"/>
              <w:bottom w:val="single" w:sz="4" w:space="0" w:color="auto"/>
              <w:right w:val="single" w:sz="4" w:space="0" w:color="auto"/>
            </w:tcBorders>
            <w:shd w:val="clear" w:color="auto" w:fill="auto"/>
            <w:noWrap/>
            <w:vAlign w:val="center"/>
            <w:hideMark/>
          </w:tcPr>
          <w:p w14:paraId="6178F00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23" w:type="dxa"/>
            <w:tcBorders>
              <w:top w:val="nil"/>
              <w:left w:val="nil"/>
              <w:bottom w:val="single" w:sz="4" w:space="0" w:color="auto"/>
              <w:right w:val="single" w:sz="4" w:space="0" w:color="auto"/>
            </w:tcBorders>
            <w:shd w:val="clear" w:color="auto" w:fill="auto"/>
            <w:noWrap/>
            <w:vAlign w:val="center"/>
            <w:hideMark/>
          </w:tcPr>
          <w:p w14:paraId="779CEF1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18" w:type="dxa"/>
            <w:tcBorders>
              <w:top w:val="nil"/>
              <w:left w:val="nil"/>
              <w:bottom w:val="single" w:sz="4" w:space="0" w:color="auto"/>
              <w:right w:val="single" w:sz="4" w:space="0" w:color="auto"/>
            </w:tcBorders>
            <w:shd w:val="clear" w:color="auto" w:fill="auto"/>
            <w:noWrap/>
            <w:vAlign w:val="center"/>
            <w:hideMark/>
          </w:tcPr>
          <w:p w14:paraId="5A8E430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r>
      <w:tr w:rsidR="00C01B60" w:rsidRPr="00C01B60" w14:paraId="67D68712"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52D10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57</w:t>
            </w:r>
          </w:p>
        </w:tc>
        <w:tc>
          <w:tcPr>
            <w:tcW w:w="1153" w:type="dxa"/>
            <w:tcBorders>
              <w:top w:val="nil"/>
              <w:left w:val="nil"/>
              <w:bottom w:val="single" w:sz="4" w:space="0" w:color="auto"/>
              <w:right w:val="single" w:sz="4" w:space="0" w:color="auto"/>
            </w:tcBorders>
            <w:shd w:val="clear" w:color="auto" w:fill="auto"/>
            <w:noWrap/>
            <w:vAlign w:val="center"/>
            <w:hideMark/>
          </w:tcPr>
          <w:p w14:paraId="7429012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795.4884022</w:t>
            </w:r>
          </w:p>
        </w:tc>
        <w:tc>
          <w:tcPr>
            <w:tcW w:w="1353" w:type="dxa"/>
            <w:tcBorders>
              <w:top w:val="nil"/>
              <w:left w:val="nil"/>
              <w:bottom w:val="single" w:sz="4" w:space="0" w:color="auto"/>
              <w:right w:val="single" w:sz="4" w:space="0" w:color="auto"/>
            </w:tcBorders>
            <w:shd w:val="clear" w:color="auto" w:fill="auto"/>
            <w:noWrap/>
            <w:vAlign w:val="center"/>
            <w:hideMark/>
          </w:tcPr>
          <w:p w14:paraId="641D532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1,794</w:t>
            </w:r>
          </w:p>
        </w:tc>
        <w:tc>
          <w:tcPr>
            <w:tcW w:w="1624" w:type="dxa"/>
            <w:tcBorders>
              <w:top w:val="nil"/>
              <w:left w:val="nil"/>
              <w:bottom w:val="single" w:sz="4" w:space="0" w:color="auto"/>
              <w:right w:val="single" w:sz="4" w:space="0" w:color="auto"/>
            </w:tcBorders>
            <w:shd w:val="clear" w:color="auto" w:fill="auto"/>
            <w:noWrap/>
            <w:vAlign w:val="center"/>
            <w:hideMark/>
          </w:tcPr>
          <w:p w14:paraId="540C359E"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211.60</w:t>
            </w:r>
          </w:p>
        </w:tc>
        <w:tc>
          <w:tcPr>
            <w:tcW w:w="1323" w:type="dxa"/>
            <w:tcBorders>
              <w:top w:val="nil"/>
              <w:left w:val="nil"/>
              <w:bottom w:val="single" w:sz="4" w:space="0" w:color="auto"/>
              <w:right w:val="single" w:sz="4" w:space="0" w:color="auto"/>
            </w:tcBorders>
            <w:shd w:val="clear" w:color="auto" w:fill="auto"/>
            <w:noWrap/>
            <w:vAlign w:val="center"/>
            <w:hideMark/>
          </w:tcPr>
          <w:p w14:paraId="7371D38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28</w:t>
            </w:r>
          </w:p>
        </w:tc>
        <w:tc>
          <w:tcPr>
            <w:tcW w:w="1318" w:type="dxa"/>
            <w:tcBorders>
              <w:top w:val="nil"/>
              <w:left w:val="nil"/>
              <w:bottom w:val="single" w:sz="4" w:space="0" w:color="auto"/>
              <w:right w:val="single" w:sz="4" w:space="0" w:color="auto"/>
            </w:tcBorders>
            <w:shd w:val="clear" w:color="auto" w:fill="auto"/>
            <w:noWrap/>
            <w:vAlign w:val="center"/>
            <w:hideMark/>
          </w:tcPr>
          <w:p w14:paraId="70CDAA4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73,159</w:t>
            </w:r>
          </w:p>
        </w:tc>
        <w:tc>
          <w:tcPr>
            <w:tcW w:w="611" w:type="dxa"/>
            <w:tcBorders>
              <w:top w:val="nil"/>
              <w:left w:val="nil"/>
              <w:bottom w:val="single" w:sz="4" w:space="0" w:color="auto"/>
              <w:right w:val="single" w:sz="4" w:space="0" w:color="auto"/>
            </w:tcBorders>
            <w:shd w:val="clear" w:color="auto" w:fill="auto"/>
            <w:noWrap/>
            <w:vAlign w:val="center"/>
            <w:hideMark/>
          </w:tcPr>
          <w:p w14:paraId="1D0B435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53" w:type="dxa"/>
            <w:tcBorders>
              <w:top w:val="nil"/>
              <w:left w:val="nil"/>
              <w:bottom w:val="single" w:sz="4" w:space="0" w:color="auto"/>
              <w:right w:val="single" w:sz="4" w:space="0" w:color="auto"/>
            </w:tcBorders>
            <w:shd w:val="clear" w:color="auto" w:fill="auto"/>
            <w:noWrap/>
            <w:vAlign w:val="center"/>
            <w:hideMark/>
          </w:tcPr>
          <w:p w14:paraId="5422FB5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624" w:type="dxa"/>
            <w:tcBorders>
              <w:top w:val="nil"/>
              <w:left w:val="nil"/>
              <w:bottom w:val="single" w:sz="4" w:space="0" w:color="auto"/>
              <w:right w:val="single" w:sz="4" w:space="0" w:color="auto"/>
            </w:tcBorders>
            <w:shd w:val="clear" w:color="auto" w:fill="auto"/>
            <w:noWrap/>
            <w:vAlign w:val="center"/>
            <w:hideMark/>
          </w:tcPr>
          <w:p w14:paraId="5D11A5F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23" w:type="dxa"/>
            <w:tcBorders>
              <w:top w:val="nil"/>
              <w:left w:val="nil"/>
              <w:bottom w:val="single" w:sz="4" w:space="0" w:color="auto"/>
              <w:right w:val="single" w:sz="4" w:space="0" w:color="auto"/>
            </w:tcBorders>
            <w:shd w:val="clear" w:color="auto" w:fill="auto"/>
            <w:noWrap/>
            <w:vAlign w:val="center"/>
            <w:hideMark/>
          </w:tcPr>
          <w:p w14:paraId="0919527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18" w:type="dxa"/>
            <w:tcBorders>
              <w:top w:val="nil"/>
              <w:left w:val="nil"/>
              <w:bottom w:val="single" w:sz="4" w:space="0" w:color="auto"/>
              <w:right w:val="single" w:sz="4" w:space="0" w:color="auto"/>
            </w:tcBorders>
            <w:shd w:val="clear" w:color="auto" w:fill="auto"/>
            <w:noWrap/>
            <w:vAlign w:val="center"/>
            <w:hideMark/>
          </w:tcPr>
          <w:p w14:paraId="2B7CA51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r>
      <w:tr w:rsidR="00C01B60" w:rsidRPr="00C01B60" w14:paraId="7A693EFF"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C08B95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58</w:t>
            </w:r>
          </w:p>
        </w:tc>
        <w:tc>
          <w:tcPr>
            <w:tcW w:w="1153" w:type="dxa"/>
            <w:tcBorders>
              <w:top w:val="nil"/>
              <w:left w:val="nil"/>
              <w:bottom w:val="single" w:sz="4" w:space="0" w:color="auto"/>
              <w:right w:val="single" w:sz="4" w:space="0" w:color="auto"/>
            </w:tcBorders>
            <w:shd w:val="clear" w:color="auto" w:fill="auto"/>
            <w:noWrap/>
            <w:vAlign w:val="center"/>
            <w:hideMark/>
          </w:tcPr>
          <w:p w14:paraId="65BA5B5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715.939562</w:t>
            </w:r>
          </w:p>
        </w:tc>
        <w:tc>
          <w:tcPr>
            <w:tcW w:w="1353" w:type="dxa"/>
            <w:tcBorders>
              <w:top w:val="nil"/>
              <w:left w:val="nil"/>
              <w:bottom w:val="single" w:sz="4" w:space="0" w:color="auto"/>
              <w:right w:val="single" w:sz="4" w:space="0" w:color="auto"/>
            </w:tcBorders>
            <w:shd w:val="clear" w:color="auto" w:fill="auto"/>
            <w:noWrap/>
            <w:vAlign w:val="center"/>
            <w:hideMark/>
          </w:tcPr>
          <w:p w14:paraId="394E6581"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1,818</w:t>
            </w:r>
          </w:p>
        </w:tc>
        <w:tc>
          <w:tcPr>
            <w:tcW w:w="1624" w:type="dxa"/>
            <w:tcBorders>
              <w:top w:val="nil"/>
              <w:left w:val="nil"/>
              <w:bottom w:val="single" w:sz="4" w:space="0" w:color="auto"/>
              <w:right w:val="single" w:sz="4" w:space="0" w:color="auto"/>
            </w:tcBorders>
            <w:shd w:val="clear" w:color="auto" w:fill="auto"/>
            <w:noWrap/>
            <w:vAlign w:val="center"/>
            <w:hideMark/>
          </w:tcPr>
          <w:p w14:paraId="0F98E45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215.89</w:t>
            </w:r>
          </w:p>
        </w:tc>
        <w:tc>
          <w:tcPr>
            <w:tcW w:w="1323" w:type="dxa"/>
            <w:tcBorders>
              <w:top w:val="nil"/>
              <w:left w:val="nil"/>
              <w:bottom w:val="single" w:sz="4" w:space="0" w:color="auto"/>
              <w:right w:val="single" w:sz="4" w:space="0" w:color="auto"/>
            </w:tcBorders>
            <w:shd w:val="clear" w:color="auto" w:fill="auto"/>
            <w:noWrap/>
            <w:vAlign w:val="center"/>
            <w:hideMark/>
          </w:tcPr>
          <w:p w14:paraId="777D060B"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29</w:t>
            </w:r>
          </w:p>
        </w:tc>
        <w:tc>
          <w:tcPr>
            <w:tcW w:w="1318" w:type="dxa"/>
            <w:tcBorders>
              <w:top w:val="nil"/>
              <w:left w:val="nil"/>
              <w:bottom w:val="single" w:sz="4" w:space="0" w:color="auto"/>
              <w:right w:val="single" w:sz="4" w:space="0" w:color="auto"/>
            </w:tcBorders>
            <w:shd w:val="clear" w:color="auto" w:fill="auto"/>
            <w:noWrap/>
            <w:vAlign w:val="center"/>
            <w:hideMark/>
          </w:tcPr>
          <w:p w14:paraId="125DBA6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73,478</w:t>
            </w:r>
          </w:p>
        </w:tc>
        <w:tc>
          <w:tcPr>
            <w:tcW w:w="611" w:type="dxa"/>
            <w:tcBorders>
              <w:top w:val="nil"/>
              <w:left w:val="nil"/>
              <w:bottom w:val="single" w:sz="4" w:space="0" w:color="auto"/>
              <w:right w:val="single" w:sz="4" w:space="0" w:color="auto"/>
            </w:tcBorders>
            <w:shd w:val="clear" w:color="auto" w:fill="auto"/>
            <w:noWrap/>
            <w:vAlign w:val="center"/>
            <w:hideMark/>
          </w:tcPr>
          <w:p w14:paraId="30C5A6C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53" w:type="dxa"/>
            <w:tcBorders>
              <w:top w:val="nil"/>
              <w:left w:val="nil"/>
              <w:bottom w:val="single" w:sz="4" w:space="0" w:color="auto"/>
              <w:right w:val="single" w:sz="4" w:space="0" w:color="auto"/>
            </w:tcBorders>
            <w:shd w:val="clear" w:color="auto" w:fill="auto"/>
            <w:noWrap/>
            <w:vAlign w:val="center"/>
            <w:hideMark/>
          </w:tcPr>
          <w:p w14:paraId="299B656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624" w:type="dxa"/>
            <w:tcBorders>
              <w:top w:val="nil"/>
              <w:left w:val="nil"/>
              <w:bottom w:val="single" w:sz="4" w:space="0" w:color="auto"/>
              <w:right w:val="single" w:sz="4" w:space="0" w:color="auto"/>
            </w:tcBorders>
            <w:shd w:val="clear" w:color="auto" w:fill="auto"/>
            <w:noWrap/>
            <w:vAlign w:val="center"/>
            <w:hideMark/>
          </w:tcPr>
          <w:p w14:paraId="498DDCB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23" w:type="dxa"/>
            <w:tcBorders>
              <w:top w:val="nil"/>
              <w:left w:val="nil"/>
              <w:bottom w:val="single" w:sz="4" w:space="0" w:color="auto"/>
              <w:right w:val="single" w:sz="4" w:space="0" w:color="auto"/>
            </w:tcBorders>
            <w:shd w:val="clear" w:color="auto" w:fill="auto"/>
            <w:noWrap/>
            <w:vAlign w:val="center"/>
            <w:hideMark/>
          </w:tcPr>
          <w:p w14:paraId="6259FA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18" w:type="dxa"/>
            <w:tcBorders>
              <w:top w:val="nil"/>
              <w:left w:val="nil"/>
              <w:bottom w:val="single" w:sz="4" w:space="0" w:color="auto"/>
              <w:right w:val="single" w:sz="4" w:space="0" w:color="auto"/>
            </w:tcBorders>
            <w:shd w:val="clear" w:color="auto" w:fill="auto"/>
            <w:noWrap/>
            <w:vAlign w:val="center"/>
            <w:hideMark/>
          </w:tcPr>
          <w:p w14:paraId="30EFCBC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r>
      <w:tr w:rsidR="00C01B60" w:rsidRPr="00C01B60" w14:paraId="2006590E"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A2B53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59</w:t>
            </w:r>
          </w:p>
        </w:tc>
        <w:tc>
          <w:tcPr>
            <w:tcW w:w="1153" w:type="dxa"/>
            <w:tcBorders>
              <w:top w:val="nil"/>
              <w:left w:val="nil"/>
              <w:bottom w:val="single" w:sz="4" w:space="0" w:color="auto"/>
              <w:right w:val="single" w:sz="4" w:space="0" w:color="auto"/>
            </w:tcBorders>
            <w:shd w:val="clear" w:color="auto" w:fill="auto"/>
            <w:noWrap/>
            <w:vAlign w:val="center"/>
            <w:hideMark/>
          </w:tcPr>
          <w:p w14:paraId="270E230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644.3456058</w:t>
            </w:r>
          </w:p>
        </w:tc>
        <w:tc>
          <w:tcPr>
            <w:tcW w:w="1353" w:type="dxa"/>
            <w:tcBorders>
              <w:top w:val="nil"/>
              <w:left w:val="nil"/>
              <w:bottom w:val="single" w:sz="4" w:space="0" w:color="auto"/>
              <w:right w:val="single" w:sz="4" w:space="0" w:color="auto"/>
            </w:tcBorders>
            <w:shd w:val="clear" w:color="auto" w:fill="auto"/>
            <w:noWrap/>
            <w:vAlign w:val="center"/>
            <w:hideMark/>
          </w:tcPr>
          <w:p w14:paraId="64633BB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1,841</w:t>
            </w:r>
          </w:p>
        </w:tc>
        <w:tc>
          <w:tcPr>
            <w:tcW w:w="1624" w:type="dxa"/>
            <w:tcBorders>
              <w:top w:val="nil"/>
              <w:left w:val="nil"/>
              <w:bottom w:val="single" w:sz="4" w:space="0" w:color="auto"/>
              <w:right w:val="single" w:sz="4" w:space="0" w:color="auto"/>
            </w:tcBorders>
            <w:shd w:val="clear" w:color="auto" w:fill="auto"/>
            <w:noWrap/>
            <w:vAlign w:val="center"/>
            <w:hideMark/>
          </w:tcPr>
          <w:p w14:paraId="4DF65902"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220.04</w:t>
            </w:r>
          </w:p>
        </w:tc>
        <w:tc>
          <w:tcPr>
            <w:tcW w:w="1323" w:type="dxa"/>
            <w:tcBorders>
              <w:top w:val="nil"/>
              <w:left w:val="nil"/>
              <w:bottom w:val="single" w:sz="4" w:space="0" w:color="auto"/>
              <w:right w:val="single" w:sz="4" w:space="0" w:color="auto"/>
            </w:tcBorders>
            <w:shd w:val="clear" w:color="auto" w:fill="auto"/>
            <w:noWrap/>
            <w:vAlign w:val="center"/>
            <w:hideMark/>
          </w:tcPr>
          <w:p w14:paraId="7EC17BC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29</w:t>
            </w:r>
          </w:p>
        </w:tc>
        <w:tc>
          <w:tcPr>
            <w:tcW w:w="1318" w:type="dxa"/>
            <w:tcBorders>
              <w:top w:val="nil"/>
              <w:left w:val="nil"/>
              <w:bottom w:val="single" w:sz="4" w:space="0" w:color="auto"/>
              <w:right w:val="single" w:sz="4" w:space="0" w:color="auto"/>
            </w:tcBorders>
            <w:shd w:val="clear" w:color="auto" w:fill="auto"/>
            <w:noWrap/>
            <w:vAlign w:val="center"/>
            <w:hideMark/>
          </w:tcPr>
          <w:p w14:paraId="5FB6DAF5"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76,683</w:t>
            </w:r>
          </w:p>
        </w:tc>
        <w:tc>
          <w:tcPr>
            <w:tcW w:w="611" w:type="dxa"/>
            <w:tcBorders>
              <w:top w:val="nil"/>
              <w:left w:val="nil"/>
              <w:bottom w:val="single" w:sz="4" w:space="0" w:color="auto"/>
              <w:right w:val="single" w:sz="4" w:space="0" w:color="auto"/>
            </w:tcBorders>
            <w:shd w:val="clear" w:color="auto" w:fill="auto"/>
            <w:noWrap/>
            <w:vAlign w:val="center"/>
            <w:hideMark/>
          </w:tcPr>
          <w:p w14:paraId="04FADC7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53" w:type="dxa"/>
            <w:tcBorders>
              <w:top w:val="nil"/>
              <w:left w:val="nil"/>
              <w:bottom w:val="single" w:sz="4" w:space="0" w:color="auto"/>
              <w:right w:val="single" w:sz="4" w:space="0" w:color="auto"/>
            </w:tcBorders>
            <w:shd w:val="clear" w:color="auto" w:fill="auto"/>
            <w:noWrap/>
            <w:vAlign w:val="center"/>
            <w:hideMark/>
          </w:tcPr>
          <w:p w14:paraId="26E8BDE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624" w:type="dxa"/>
            <w:tcBorders>
              <w:top w:val="nil"/>
              <w:left w:val="nil"/>
              <w:bottom w:val="single" w:sz="4" w:space="0" w:color="auto"/>
              <w:right w:val="single" w:sz="4" w:space="0" w:color="auto"/>
            </w:tcBorders>
            <w:shd w:val="clear" w:color="auto" w:fill="auto"/>
            <w:noWrap/>
            <w:vAlign w:val="center"/>
            <w:hideMark/>
          </w:tcPr>
          <w:p w14:paraId="49CA7713"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23" w:type="dxa"/>
            <w:tcBorders>
              <w:top w:val="nil"/>
              <w:left w:val="nil"/>
              <w:bottom w:val="single" w:sz="4" w:space="0" w:color="auto"/>
              <w:right w:val="single" w:sz="4" w:space="0" w:color="auto"/>
            </w:tcBorders>
            <w:shd w:val="clear" w:color="auto" w:fill="auto"/>
            <w:noWrap/>
            <w:vAlign w:val="center"/>
            <w:hideMark/>
          </w:tcPr>
          <w:p w14:paraId="7746EF2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18" w:type="dxa"/>
            <w:tcBorders>
              <w:top w:val="nil"/>
              <w:left w:val="nil"/>
              <w:bottom w:val="single" w:sz="4" w:space="0" w:color="auto"/>
              <w:right w:val="single" w:sz="4" w:space="0" w:color="auto"/>
            </w:tcBorders>
            <w:shd w:val="clear" w:color="auto" w:fill="auto"/>
            <w:noWrap/>
            <w:vAlign w:val="center"/>
            <w:hideMark/>
          </w:tcPr>
          <w:p w14:paraId="7752013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r>
      <w:tr w:rsidR="00C01B60" w:rsidRPr="00C01B60" w14:paraId="7FB0A9F2" w14:textId="77777777" w:rsidTr="00C01B6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93241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60</w:t>
            </w:r>
          </w:p>
        </w:tc>
        <w:tc>
          <w:tcPr>
            <w:tcW w:w="1153" w:type="dxa"/>
            <w:tcBorders>
              <w:top w:val="nil"/>
              <w:left w:val="nil"/>
              <w:bottom w:val="single" w:sz="4" w:space="0" w:color="auto"/>
              <w:right w:val="single" w:sz="4" w:space="0" w:color="auto"/>
            </w:tcBorders>
            <w:shd w:val="clear" w:color="auto" w:fill="auto"/>
            <w:noWrap/>
            <w:vAlign w:val="center"/>
            <w:hideMark/>
          </w:tcPr>
          <w:p w14:paraId="5DDD1E96"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579.9110452</w:t>
            </w:r>
          </w:p>
        </w:tc>
        <w:tc>
          <w:tcPr>
            <w:tcW w:w="1353" w:type="dxa"/>
            <w:tcBorders>
              <w:top w:val="nil"/>
              <w:left w:val="nil"/>
              <w:bottom w:val="single" w:sz="4" w:space="0" w:color="auto"/>
              <w:right w:val="single" w:sz="4" w:space="0" w:color="auto"/>
            </w:tcBorders>
            <w:shd w:val="clear" w:color="auto" w:fill="auto"/>
            <w:noWrap/>
            <w:vAlign w:val="center"/>
            <w:hideMark/>
          </w:tcPr>
          <w:p w14:paraId="06EB4739"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1,865</w:t>
            </w:r>
          </w:p>
        </w:tc>
        <w:tc>
          <w:tcPr>
            <w:tcW w:w="1624" w:type="dxa"/>
            <w:tcBorders>
              <w:top w:val="nil"/>
              <w:left w:val="nil"/>
              <w:bottom w:val="single" w:sz="4" w:space="0" w:color="auto"/>
              <w:right w:val="single" w:sz="4" w:space="0" w:color="auto"/>
            </w:tcBorders>
            <w:shd w:val="clear" w:color="auto" w:fill="auto"/>
            <w:noWrap/>
            <w:vAlign w:val="center"/>
            <w:hideMark/>
          </w:tcPr>
          <w:p w14:paraId="0B180A4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224.19</w:t>
            </w:r>
          </w:p>
        </w:tc>
        <w:tc>
          <w:tcPr>
            <w:tcW w:w="1323" w:type="dxa"/>
            <w:tcBorders>
              <w:top w:val="nil"/>
              <w:left w:val="nil"/>
              <w:bottom w:val="single" w:sz="4" w:space="0" w:color="auto"/>
              <w:right w:val="single" w:sz="4" w:space="0" w:color="auto"/>
            </w:tcBorders>
            <w:shd w:val="clear" w:color="auto" w:fill="auto"/>
            <w:noWrap/>
            <w:vAlign w:val="center"/>
            <w:hideMark/>
          </w:tcPr>
          <w:p w14:paraId="34503FC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30</w:t>
            </w:r>
          </w:p>
        </w:tc>
        <w:tc>
          <w:tcPr>
            <w:tcW w:w="1318" w:type="dxa"/>
            <w:tcBorders>
              <w:top w:val="nil"/>
              <w:left w:val="nil"/>
              <w:bottom w:val="single" w:sz="4" w:space="0" w:color="auto"/>
              <w:right w:val="single" w:sz="4" w:space="0" w:color="auto"/>
            </w:tcBorders>
            <w:shd w:val="clear" w:color="auto" w:fill="auto"/>
            <w:noWrap/>
            <w:vAlign w:val="center"/>
            <w:hideMark/>
          </w:tcPr>
          <w:p w14:paraId="05ACAA24"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76,923</w:t>
            </w:r>
          </w:p>
        </w:tc>
        <w:tc>
          <w:tcPr>
            <w:tcW w:w="611" w:type="dxa"/>
            <w:tcBorders>
              <w:top w:val="nil"/>
              <w:left w:val="nil"/>
              <w:bottom w:val="single" w:sz="4" w:space="0" w:color="auto"/>
              <w:right w:val="single" w:sz="4" w:space="0" w:color="auto"/>
            </w:tcBorders>
            <w:shd w:val="clear" w:color="auto" w:fill="auto"/>
            <w:noWrap/>
            <w:vAlign w:val="center"/>
            <w:hideMark/>
          </w:tcPr>
          <w:p w14:paraId="4C07D48F"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53" w:type="dxa"/>
            <w:tcBorders>
              <w:top w:val="nil"/>
              <w:left w:val="nil"/>
              <w:bottom w:val="single" w:sz="4" w:space="0" w:color="auto"/>
              <w:right w:val="single" w:sz="4" w:space="0" w:color="auto"/>
            </w:tcBorders>
            <w:shd w:val="clear" w:color="auto" w:fill="auto"/>
            <w:noWrap/>
            <w:vAlign w:val="center"/>
            <w:hideMark/>
          </w:tcPr>
          <w:p w14:paraId="6372559A"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624" w:type="dxa"/>
            <w:tcBorders>
              <w:top w:val="nil"/>
              <w:left w:val="nil"/>
              <w:bottom w:val="single" w:sz="4" w:space="0" w:color="auto"/>
              <w:right w:val="single" w:sz="4" w:space="0" w:color="auto"/>
            </w:tcBorders>
            <w:shd w:val="clear" w:color="auto" w:fill="auto"/>
            <w:noWrap/>
            <w:vAlign w:val="center"/>
            <w:hideMark/>
          </w:tcPr>
          <w:p w14:paraId="344AE51D"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23" w:type="dxa"/>
            <w:tcBorders>
              <w:top w:val="nil"/>
              <w:left w:val="nil"/>
              <w:bottom w:val="single" w:sz="4" w:space="0" w:color="auto"/>
              <w:right w:val="single" w:sz="4" w:space="0" w:color="auto"/>
            </w:tcBorders>
            <w:shd w:val="clear" w:color="auto" w:fill="auto"/>
            <w:noWrap/>
            <w:vAlign w:val="center"/>
            <w:hideMark/>
          </w:tcPr>
          <w:p w14:paraId="38446027"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c>
          <w:tcPr>
            <w:tcW w:w="1318" w:type="dxa"/>
            <w:tcBorders>
              <w:top w:val="nil"/>
              <w:left w:val="nil"/>
              <w:bottom w:val="single" w:sz="4" w:space="0" w:color="auto"/>
              <w:right w:val="single" w:sz="4" w:space="0" w:color="auto"/>
            </w:tcBorders>
            <w:shd w:val="clear" w:color="auto" w:fill="auto"/>
            <w:noWrap/>
            <w:vAlign w:val="center"/>
            <w:hideMark/>
          </w:tcPr>
          <w:p w14:paraId="3229911C" w14:textId="77777777" w:rsidR="00C01B60" w:rsidRPr="00C01B60" w:rsidRDefault="00C01B60" w:rsidP="00C01B60">
            <w:pPr>
              <w:spacing w:after="0" w:line="240" w:lineRule="auto"/>
              <w:jc w:val="center"/>
              <w:rPr>
                <w:rFonts w:eastAsia="Times New Roman" w:cs="Times New Roman"/>
                <w:color w:val="000000"/>
                <w:kern w:val="0"/>
                <w:sz w:val="16"/>
                <w:szCs w:val="16"/>
                <w:lang w:val="es-419" w:eastAsia="en-GB"/>
                <w14:ligatures w14:val="none"/>
              </w:rPr>
            </w:pPr>
            <w:r w:rsidRPr="00C01B60">
              <w:rPr>
                <w:rFonts w:eastAsia="Times New Roman" w:cs="Times New Roman"/>
                <w:color w:val="000000"/>
                <w:kern w:val="0"/>
                <w:sz w:val="16"/>
                <w:szCs w:val="16"/>
                <w:lang w:val="es-419" w:eastAsia="en-GB"/>
                <w14:ligatures w14:val="none"/>
              </w:rPr>
              <w:t> </w:t>
            </w:r>
          </w:p>
        </w:tc>
      </w:tr>
    </w:tbl>
    <w:p w14:paraId="7F38A3F9" w14:textId="1D6923EB" w:rsidR="00662ED9" w:rsidRPr="00C56EC9" w:rsidRDefault="007A1AA8" w:rsidP="00C56EC9">
      <w:pPr>
        <w:spacing w:line="259" w:lineRule="auto"/>
        <w:jc w:val="left"/>
        <w:rPr>
          <w:lang w:val="es-419"/>
        </w:rPr>
        <w:sectPr w:rsidR="00662ED9" w:rsidRPr="00C56EC9" w:rsidSect="00710F49">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56EC9">
        <w:rPr>
          <w:lang w:val="es-419"/>
        </w:rPr>
        <w:br w:type="page"/>
      </w:r>
    </w:p>
    <w:p w14:paraId="201EF878" w14:textId="7BCC85F4" w:rsidR="00392E20" w:rsidRDefault="00392E20" w:rsidP="00392E20">
      <w:pPr>
        <w:rPr>
          <w:lang w:val="es-419"/>
        </w:rPr>
      </w:pPr>
      <w:r w:rsidRPr="00C56EC9">
        <w:rPr>
          <w:lang w:val="es-419"/>
        </w:rPr>
        <w:lastRenderedPageBreak/>
        <w:t>La proyección de la población se basa en estimaciones demográficas realizadas según las normas de Naciones Unidas, las cuales permiten estimar la composición y evolución de la población con una alta precisión, considerando variables como edad, género y comportamientos históricos.</w:t>
      </w:r>
    </w:p>
    <w:p w14:paraId="65966A48" w14:textId="4EB3A680" w:rsidR="00F1773F" w:rsidRPr="00F1773F" w:rsidRDefault="00F1773F" w:rsidP="00F1773F">
      <w:pPr>
        <w:rPr>
          <w:lang w:val="es-419"/>
        </w:rPr>
      </w:pPr>
      <w:r w:rsidRPr="00F1773F">
        <w:rPr>
          <w:lang w:val="es-419"/>
        </w:rPr>
        <w:t xml:space="preserve">Las tablas proporcionan una visión detallada de los afiliados a la CSS en Panamá al 1 de </w:t>
      </w:r>
      <w:r w:rsidR="009D75AE">
        <w:rPr>
          <w:lang w:val="es-419"/>
        </w:rPr>
        <w:t>enero</w:t>
      </w:r>
      <w:r w:rsidRPr="00F1773F">
        <w:rPr>
          <w:lang w:val="es-419"/>
        </w:rPr>
        <w:t xml:space="preserve"> de 2023, segmentados entre los SEBD </w:t>
      </w:r>
      <w:r>
        <w:rPr>
          <w:lang w:val="es-419"/>
        </w:rPr>
        <w:t xml:space="preserve">y el </w:t>
      </w:r>
      <w:r w:rsidRPr="00F1773F">
        <w:rPr>
          <w:lang w:val="es-419"/>
        </w:rPr>
        <w:t>SMP. Estas se dividen por género, edad, salario promedio, meses cotizados y valores nocionales de aportes al 4%. Este nivel de detalle es clave para comprender las dinámicas y características de cada subsistema, así como las diferencias entre los afiliados hombres y mujeres.</w:t>
      </w:r>
    </w:p>
    <w:p w14:paraId="5B229020" w14:textId="37944459" w:rsidR="00F1773F" w:rsidRPr="00F1773F" w:rsidRDefault="00F1773F" w:rsidP="00F1773F">
      <w:pPr>
        <w:rPr>
          <w:lang w:val="es-419"/>
        </w:rPr>
      </w:pPr>
      <w:r w:rsidRPr="00F1773F">
        <w:rPr>
          <w:lang w:val="es-419"/>
        </w:rPr>
        <w:t>En el SEBD, el análisis se inicia con los afiliados a partir de los 32 años. Los hombres presentan un rango salarial promedio que varía entre $1,015 y $1,495, mientras que las mujeres oscilan entre $1,015 y $1,476. Los meses cotizados aumentan de manera proporcional con la edad, lo que refleja el tiempo acumulado de trabajo formal. En cuanto al valor nocional de aportes calculado al 4%, este crece significativamente con la edad, pasando de $5,158 a los 32 años a $32,152 a los 62 años en el caso de los hombres, y de $4,510 a $31,760 para las mujeres en el mismo rango. Este crecimiento refleja el efecto acumulativo de las contribuciones y la proyección del sistema.</w:t>
      </w:r>
    </w:p>
    <w:p w14:paraId="138C6FFB" w14:textId="2B238B5E" w:rsidR="00F1773F" w:rsidRPr="00F1773F" w:rsidRDefault="00F1773F" w:rsidP="00F1773F">
      <w:pPr>
        <w:rPr>
          <w:lang w:val="es-419"/>
        </w:rPr>
      </w:pPr>
      <w:r w:rsidRPr="00F1773F">
        <w:rPr>
          <w:lang w:val="es-419"/>
        </w:rPr>
        <w:t>Por otro lado, el SMP incluye un análisis que comienza desde los 16 años para ambos géneros. Los hombres inician con salarios promedio de $724 a los 16 años, los cuales crecen progresivamente hasta alcanzar $1,865 a los 60 años. Las mujeres, por su parte, inician con salarios promedio de $746 y llegan a $1,841 al final del período. Similar al SEBD, los meses cotizados aumentan con la edad, alcanzando 228.61 meses en promedio para los hombres y 226.34 meses para las mujeres a los 60 años. El valor nocional de aportes en este subsistema también experimenta un crecimiento constante, comenzando en $1,666 para los hombres a los 16 años y alcanzando $76,923 a los 62 años. En el caso de las mujeres, este rango varía de $1,924 a $76,683.</w:t>
      </w:r>
    </w:p>
    <w:p w14:paraId="2479FEB9" w14:textId="5C8F3B17" w:rsidR="00F1773F" w:rsidRDefault="00F1773F" w:rsidP="00F1773F">
      <w:pPr>
        <w:rPr>
          <w:lang w:val="es-419"/>
        </w:rPr>
      </w:pPr>
      <w:r w:rsidRPr="00F1773F">
        <w:rPr>
          <w:lang w:val="es-419"/>
        </w:rPr>
        <w:t xml:space="preserve">Comparativamente, se observa que los salarios en el SMP son más bajos en las edades iniciales, pero presentan un crecimiento más acelerado en comparación con el SEBD. Esta tendencia refleja una menor estabilidad laboral en las edades tempranas dentro del SMP. A medida que los afiliados envejecen, las diferencias salariales entre </w:t>
      </w:r>
      <w:r w:rsidRPr="00F1773F">
        <w:rPr>
          <w:lang w:val="es-419"/>
        </w:rPr>
        <w:lastRenderedPageBreak/>
        <w:t>hombres y mujeres tienden a reducirse, especialmente en las edades avanzadas, debido a la aplicación de la capitalización solidaria.</w:t>
      </w:r>
      <w:r w:rsidR="009237CB">
        <w:rPr>
          <w:lang w:val="es-419"/>
        </w:rPr>
        <w:t xml:space="preserve"> </w:t>
      </w:r>
      <w:r w:rsidRPr="00F1773F">
        <w:rPr>
          <w:lang w:val="es-419"/>
        </w:rPr>
        <w:t xml:space="preserve">En ambos subsistemas, los meses cotizados son un indicador clave del tiempo acumulado en el sistema y, en consecuencia, de la estabilidad laboral de los afiliados. Además, el valor nocional de los aportes es un elemento crucial para proyectar las prestaciones futuras y evaluar la sostenibilidad del sistema. </w:t>
      </w:r>
    </w:p>
    <w:p w14:paraId="71BBF823" w14:textId="63ECFD97" w:rsidR="00674F0F" w:rsidRDefault="00F91803" w:rsidP="00392E20">
      <w:pPr>
        <w:rPr>
          <w:b/>
          <w:bCs/>
          <w:lang w:val="es-419"/>
        </w:rPr>
      </w:pPr>
      <w:r>
        <w:rPr>
          <w:b/>
          <w:bCs/>
          <w:lang w:val="es-419"/>
        </w:rPr>
        <w:t>Nuevas entradas al sistema</w:t>
      </w:r>
    </w:p>
    <w:p w14:paraId="6BD9E020" w14:textId="16364DE8" w:rsidR="00F91803" w:rsidRPr="000F416E" w:rsidRDefault="000F416E" w:rsidP="00392E20">
      <w:pPr>
        <w:rPr>
          <w:lang w:val="es-419"/>
        </w:rPr>
      </w:pPr>
      <w:r w:rsidRPr="000F416E">
        <w:rPr>
          <w:lang w:val="es-419"/>
        </w:rPr>
        <w:t>La tabla presenta la distribución porcentual de nuevas entradas al sistema de pensiones en Panamá, desglosada por edad y género, tomando como base las proyecciones demográficas de Naciones Unidas para la población mayor de 14 años. Esta información permite analizar los patrones de incorporación al sistema, así como las diferencias entre hombres y mujeres, y su impacto potencial en la sostenibilidad del sistema de pensiones.</w:t>
      </w:r>
    </w:p>
    <w:p w14:paraId="338DBCE6" w14:textId="24DC13C5" w:rsidR="00006A52" w:rsidRPr="00006A52" w:rsidRDefault="00006A52" w:rsidP="00006A52">
      <w:pPr>
        <w:pStyle w:val="Grfico"/>
      </w:pPr>
      <w:r w:rsidRPr="00C56EC9">
        <w:t xml:space="preserve">Tabla </w:t>
      </w:r>
      <w:r w:rsidRPr="00C56EC9">
        <w:fldChar w:fldCharType="begin"/>
      </w:r>
      <w:r w:rsidRPr="00C56EC9">
        <w:instrText xml:space="preserve"> SEQ Tabla \* ARABIC </w:instrText>
      </w:r>
      <w:r w:rsidRPr="00C56EC9">
        <w:fldChar w:fldCharType="separate"/>
      </w:r>
      <w:r w:rsidR="00B24233">
        <w:rPr>
          <w:noProof/>
        </w:rPr>
        <w:t>4</w:t>
      </w:r>
      <w:r w:rsidRPr="00C56EC9">
        <w:fldChar w:fldCharType="end"/>
      </w:r>
      <w:r w:rsidR="008B5811">
        <w:t>. Factores de nuevas entradas al sistema</w:t>
      </w:r>
    </w:p>
    <w:tbl>
      <w:tblPr>
        <w:tblW w:w="2460" w:type="dxa"/>
        <w:jc w:val="center"/>
        <w:tblLook w:val="04A0" w:firstRow="1" w:lastRow="0" w:firstColumn="1" w:lastColumn="0" w:noHBand="0" w:noVBand="1"/>
      </w:tblPr>
      <w:tblGrid>
        <w:gridCol w:w="683"/>
        <w:gridCol w:w="1061"/>
        <w:gridCol w:w="972"/>
      </w:tblGrid>
      <w:tr w:rsidR="00006A52" w:rsidRPr="00006A52" w14:paraId="09A50594" w14:textId="77777777" w:rsidTr="00710F49">
        <w:trPr>
          <w:trHeight w:val="570"/>
          <w:tblHeader/>
          <w:jc w:val="center"/>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D75357" w14:textId="77777777" w:rsidR="00006A52" w:rsidRPr="008B5811" w:rsidRDefault="00006A52" w:rsidP="00006A52">
            <w:pPr>
              <w:pStyle w:val="Tablas"/>
              <w:rPr>
                <w:b/>
                <w:bCs w:val="0"/>
              </w:rPr>
            </w:pPr>
            <w:proofErr w:type="spellStart"/>
            <w:r w:rsidRPr="008B5811">
              <w:rPr>
                <w:b/>
                <w:bCs w:val="0"/>
              </w:rPr>
              <w:t>Distribucion</w:t>
            </w:r>
            <w:proofErr w:type="spellEnd"/>
            <w:r w:rsidRPr="008B5811">
              <w:rPr>
                <w:b/>
                <w:bCs w:val="0"/>
              </w:rPr>
              <w:t xml:space="preserve"> por edad y sexo</w:t>
            </w:r>
          </w:p>
        </w:tc>
      </w:tr>
      <w:tr w:rsidR="00006A52" w:rsidRPr="00006A52" w14:paraId="6FAF04C8" w14:textId="77777777" w:rsidTr="00710F49">
        <w:trPr>
          <w:trHeight w:val="570"/>
          <w:tblHeader/>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1AD3B17F" w14:textId="77777777" w:rsidR="00006A52" w:rsidRPr="00006A52" w:rsidRDefault="00006A52" w:rsidP="00006A52">
            <w:pPr>
              <w:pStyle w:val="Tablas"/>
            </w:pPr>
            <w:r w:rsidRPr="008B5811">
              <w:rPr>
                <w:b/>
                <w:bCs w:val="0"/>
              </w:rPr>
              <w:t>Edad</w:t>
            </w:r>
          </w:p>
        </w:tc>
        <w:tc>
          <w:tcPr>
            <w:tcW w:w="985" w:type="dxa"/>
            <w:tcBorders>
              <w:top w:val="nil"/>
              <w:left w:val="nil"/>
              <w:bottom w:val="single" w:sz="4" w:space="0" w:color="auto"/>
              <w:right w:val="single" w:sz="4" w:space="0" w:color="auto"/>
            </w:tcBorders>
            <w:shd w:val="clear" w:color="auto" w:fill="auto"/>
            <w:noWrap/>
            <w:vAlign w:val="bottom"/>
            <w:hideMark/>
          </w:tcPr>
          <w:p w14:paraId="464D077D" w14:textId="77777777" w:rsidR="00006A52" w:rsidRPr="008B5811" w:rsidRDefault="00006A52" w:rsidP="00006A52">
            <w:pPr>
              <w:pStyle w:val="Tablas"/>
              <w:rPr>
                <w:b/>
                <w:bCs w:val="0"/>
              </w:rPr>
            </w:pPr>
            <w:r w:rsidRPr="008B5811">
              <w:rPr>
                <w:b/>
                <w:bCs w:val="0"/>
              </w:rPr>
              <w:t>Hombres</w:t>
            </w:r>
          </w:p>
        </w:tc>
        <w:tc>
          <w:tcPr>
            <w:tcW w:w="922" w:type="dxa"/>
            <w:tcBorders>
              <w:top w:val="nil"/>
              <w:left w:val="nil"/>
              <w:bottom w:val="single" w:sz="4" w:space="0" w:color="auto"/>
              <w:right w:val="single" w:sz="4" w:space="0" w:color="auto"/>
            </w:tcBorders>
            <w:shd w:val="clear" w:color="auto" w:fill="auto"/>
            <w:noWrap/>
            <w:vAlign w:val="bottom"/>
            <w:hideMark/>
          </w:tcPr>
          <w:p w14:paraId="142522A6" w14:textId="77777777" w:rsidR="00006A52" w:rsidRPr="008B5811" w:rsidRDefault="00006A52" w:rsidP="00006A52">
            <w:pPr>
              <w:pStyle w:val="Tablas"/>
              <w:rPr>
                <w:b/>
                <w:bCs w:val="0"/>
              </w:rPr>
            </w:pPr>
            <w:r w:rsidRPr="008B5811">
              <w:rPr>
                <w:b/>
                <w:bCs w:val="0"/>
              </w:rPr>
              <w:t>Mujeres</w:t>
            </w:r>
          </w:p>
        </w:tc>
      </w:tr>
      <w:tr w:rsidR="00006A52" w:rsidRPr="00006A52" w14:paraId="6DF89726"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8575BA0" w14:textId="77777777" w:rsidR="00006A52" w:rsidRPr="00006A52" w:rsidRDefault="00006A52" w:rsidP="00006A52">
            <w:pPr>
              <w:pStyle w:val="Tablas"/>
            </w:pPr>
            <w:r w:rsidRPr="00006A52">
              <w:t>16</w:t>
            </w:r>
          </w:p>
        </w:tc>
        <w:tc>
          <w:tcPr>
            <w:tcW w:w="985" w:type="dxa"/>
            <w:tcBorders>
              <w:top w:val="nil"/>
              <w:left w:val="nil"/>
              <w:bottom w:val="single" w:sz="4" w:space="0" w:color="auto"/>
              <w:right w:val="single" w:sz="4" w:space="0" w:color="auto"/>
            </w:tcBorders>
            <w:shd w:val="clear" w:color="auto" w:fill="auto"/>
            <w:noWrap/>
            <w:vAlign w:val="bottom"/>
            <w:hideMark/>
          </w:tcPr>
          <w:p w14:paraId="3A62E36A" w14:textId="77777777" w:rsidR="00006A52" w:rsidRPr="00006A52" w:rsidRDefault="00006A52" w:rsidP="00006A52">
            <w:pPr>
              <w:pStyle w:val="Tablas"/>
            </w:pPr>
            <w:r w:rsidRPr="00006A52">
              <w:t>0.00%</w:t>
            </w:r>
          </w:p>
        </w:tc>
        <w:tc>
          <w:tcPr>
            <w:tcW w:w="922" w:type="dxa"/>
            <w:tcBorders>
              <w:top w:val="nil"/>
              <w:left w:val="nil"/>
              <w:bottom w:val="single" w:sz="4" w:space="0" w:color="auto"/>
              <w:right w:val="single" w:sz="4" w:space="0" w:color="auto"/>
            </w:tcBorders>
            <w:shd w:val="clear" w:color="auto" w:fill="auto"/>
            <w:noWrap/>
            <w:vAlign w:val="bottom"/>
            <w:hideMark/>
          </w:tcPr>
          <w:p w14:paraId="7EBB2E9F" w14:textId="77777777" w:rsidR="00006A52" w:rsidRPr="00006A52" w:rsidRDefault="00006A52" w:rsidP="00006A52">
            <w:pPr>
              <w:pStyle w:val="Tablas"/>
            </w:pPr>
            <w:r w:rsidRPr="00006A52">
              <w:t>0.00%</w:t>
            </w:r>
          </w:p>
        </w:tc>
      </w:tr>
      <w:tr w:rsidR="00006A52" w:rsidRPr="00006A52" w14:paraId="4A48FD42"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4CB83B7" w14:textId="77777777" w:rsidR="00006A52" w:rsidRPr="00006A52" w:rsidRDefault="00006A52" w:rsidP="00006A52">
            <w:pPr>
              <w:pStyle w:val="Tablas"/>
            </w:pPr>
            <w:r w:rsidRPr="00006A52">
              <w:t>17</w:t>
            </w:r>
          </w:p>
        </w:tc>
        <w:tc>
          <w:tcPr>
            <w:tcW w:w="985" w:type="dxa"/>
            <w:tcBorders>
              <w:top w:val="nil"/>
              <w:left w:val="nil"/>
              <w:bottom w:val="single" w:sz="4" w:space="0" w:color="auto"/>
              <w:right w:val="single" w:sz="4" w:space="0" w:color="auto"/>
            </w:tcBorders>
            <w:shd w:val="clear" w:color="auto" w:fill="auto"/>
            <w:noWrap/>
            <w:vAlign w:val="bottom"/>
            <w:hideMark/>
          </w:tcPr>
          <w:p w14:paraId="3E88E783" w14:textId="77777777" w:rsidR="00006A52" w:rsidRPr="00006A52" w:rsidRDefault="00006A52" w:rsidP="00006A52">
            <w:pPr>
              <w:pStyle w:val="Tablas"/>
            </w:pPr>
            <w:r w:rsidRPr="00006A52">
              <w:t>3.50%</w:t>
            </w:r>
          </w:p>
        </w:tc>
        <w:tc>
          <w:tcPr>
            <w:tcW w:w="922" w:type="dxa"/>
            <w:tcBorders>
              <w:top w:val="nil"/>
              <w:left w:val="nil"/>
              <w:bottom w:val="single" w:sz="4" w:space="0" w:color="auto"/>
              <w:right w:val="single" w:sz="4" w:space="0" w:color="auto"/>
            </w:tcBorders>
            <w:shd w:val="clear" w:color="auto" w:fill="auto"/>
            <w:noWrap/>
            <w:vAlign w:val="bottom"/>
            <w:hideMark/>
          </w:tcPr>
          <w:p w14:paraId="252652F3" w14:textId="77777777" w:rsidR="00006A52" w:rsidRPr="00006A52" w:rsidRDefault="00006A52" w:rsidP="00006A52">
            <w:pPr>
              <w:pStyle w:val="Tablas"/>
            </w:pPr>
            <w:r w:rsidRPr="00006A52">
              <w:t>2.81%</w:t>
            </w:r>
          </w:p>
        </w:tc>
      </w:tr>
      <w:tr w:rsidR="00006A52" w:rsidRPr="00006A52" w14:paraId="7A099D2A"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D28A3AB" w14:textId="77777777" w:rsidR="00006A52" w:rsidRPr="00006A52" w:rsidRDefault="00006A52" w:rsidP="00006A52">
            <w:pPr>
              <w:pStyle w:val="Tablas"/>
            </w:pPr>
            <w:r w:rsidRPr="00006A52">
              <w:t>18</w:t>
            </w:r>
          </w:p>
        </w:tc>
        <w:tc>
          <w:tcPr>
            <w:tcW w:w="985" w:type="dxa"/>
            <w:tcBorders>
              <w:top w:val="nil"/>
              <w:left w:val="nil"/>
              <w:bottom w:val="single" w:sz="4" w:space="0" w:color="auto"/>
              <w:right w:val="single" w:sz="4" w:space="0" w:color="auto"/>
            </w:tcBorders>
            <w:shd w:val="clear" w:color="auto" w:fill="auto"/>
            <w:noWrap/>
            <w:vAlign w:val="bottom"/>
            <w:hideMark/>
          </w:tcPr>
          <w:p w14:paraId="4B1BB707" w14:textId="77777777" w:rsidR="00006A52" w:rsidRPr="00006A52" w:rsidRDefault="00006A52" w:rsidP="00006A52">
            <w:pPr>
              <w:pStyle w:val="Tablas"/>
            </w:pPr>
            <w:r w:rsidRPr="00006A52">
              <w:t>6.86%</w:t>
            </w:r>
          </w:p>
        </w:tc>
        <w:tc>
          <w:tcPr>
            <w:tcW w:w="922" w:type="dxa"/>
            <w:tcBorders>
              <w:top w:val="nil"/>
              <w:left w:val="nil"/>
              <w:bottom w:val="single" w:sz="4" w:space="0" w:color="auto"/>
              <w:right w:val="single" w:sz="4" w:space="0" w:color="auto"/>
            </w:tcBorders>
            <w:shd w:val="clear" w:color="auto" w:fill="auto"/>
            <w:noWrap/>
            <w:vAlign w:val="bottom"/>
            <w:hideMark/>
          </w:tcPr>
          <w:p w14:paraId="01497491" w14:textId="77777777" w:rsidR="00006A52" w:rsidRPr="00006A52" w:rsidRDefault="00006A52" w:rsidP="00006A52">
            <w:pPr>
              <w:pStyle w:val="Tablas"/>
            </w:pPr>
            <w:r w:rsidRPr="00006A52">
              <w:t>5.53%</w:t>
            </w:r>
          </w:p>
        </w:tc>
      </w:tr>
      <w:tr w:rsidR="00006A52" w:rsidRPr="00006A52" w14:paraId="2F5019D6"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DDF40D4" w14:textId="77777777" w:rsidR="00006A52" w:rsidRPr="00006A52" w:rsidRDefault="00006A52" w:rsidP="00006A52">
            <w:pPr>
              <w:pStyle w:val="Tablas"/>
            </w:pPr>
            <w:r w:rsidRPr="00006A52">
              <w:t>19</w:t>
            </w:r>
          </w:p>
        </w:tc>
        <w:tc>
          <w:tcPr>
            <w:tcW w:w="985" w:type="dxa"/>
            <w:tcBorders>
              <w:top w:val="nil"/>
              <w:left w:val="nil"/>
              <w:bottom w:val="single" w:sz="4" w:space="0" w:color="auto"/>
              <w:right w:val="single" w:sz="4" w:space="0" w:color="auto"/>
            </w:tcBorders>
            <w:shd w:val="clear" w:color="auto" w:fill="auto"/>
            <w:noWrap/>
            <w:vAlign w:val="bottom"/>
            <w:hideMark/>
          </w:tcPr>
          <w:p w14:paraId="58C6F209" w14:textId="77777777" w:rsidR="00006A52" w:rsidRPr="00006A52" w:rsidRDefault="00006A52" w:rsidP="00006A52">
            <w:pPr>
              <w:pStyle w:val="Tablas"/>
            </w:pPr>
            <w:r w:rsidRPr="00006A52">
              <w:t>9.91%</w:t>
            </w:r>
          </w:p>
        </w:tc>
        <w:tc>
          <w:tcPr>
            <w:tcW w:w="922" w:type="dxa"/>
            <w:tcBorders>
              <w:top w:val="nil"/>
              <w:left w:val="nil"/>
              <w:bottom w:val="single" w:sz="4" w:space="0" w:color="auto"/>
              <w:right w:val="single" w:sz="4" w:space="0" w:color="auto"/>
            </w:tcBorders>
            <w:shd w:val="clear" w:color="auto" w:fill="auto"/>
            <w:noWrap/>
            <w:vAlign w:val="bottom"/>
            <w:hideMark/>
          </w:tcPr>
          <w:p w14:paraId="6340281F" w14:textId="77777777" w:rsidR="00006A52" w:rsidRPr="00006A52" w:rsidRDefault="00006A52" w:rsidP="00006A52">
            <w:pPr>
              <w:pStyle w:val="Tablas"/>
            </w:pPr>
            <w:r w:rsidRPr="00006A52">
              <w:t>8.03%</w:t>
            </w:r>
          </w:p>
        </w:tc>
      </w:tr>
      <w:tr w:rsidR="00006A52" w:rsidRPr="00006A52" w14:paraId="4CD7E32C"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EFBE1C9" w14:textId="77777777" w:rsidR="00006A52" w:rsidRPr="00006A52" w:rsidRDefault="00006A52" w:rsidP="00006A52">
            <w:pPr>
              <w:pStyle w:val="Tablas"/>
            </w:pPr>
            <w:r w:rsidRPr="00006A52">
              <w:t>20</w:t>
            </w:r>
          </w:p>
        </w:tc>
        <w:tc>
          <w:tcPr>
            <w:tcW w:w="985" w:type="dxa"/>
            <w:tcBorders>
              <w:top w:val="nil"/>
              <w:left w:val="nil"/>
              <w:bottom w:val="single" w:sz="4" w:space="0" w:color="auto"/>
              <w:right w:val="single" w:sz="4" w:space="0" w:color="auto"/>
            </w:tcBorders>
            <w:shd w:val="clear" w:color="auto" w:fill="auto"/>
            <w:noWrap/>
            <w:vAlign w:val="bottom"/>
            <w:hideMark/>
          </w:tcPr>
          <w:p w14:paraId="1011BAF5" w14:textId="77777777" w:rsidR="00006A52" w:rsidRPr="00006A52" w:rsidRDefault="00006A52" w:rsidP="00006A52">
            <w:pPr>
              <w:pStyle w:val="Tablas"/>
            </w:pPr>
            <w:r w:rsidRPr="00006A52">
              <w:t>9.02%</w:t>
            </w:r>
          </w:p>
        </w:tc>
        <w:tc>
          <w:tcPr>
            <w:tcW w:w="922" w:type="dxa"/>
            <w:tcBorders>
              <w:top w:val="nil"/>
              <w:left w:val="nil"/>
              <w:bottom w:val="single" w:sz="4" w:space="0" w:color="auto"/>
              <w:right w:val="single" w:sz="4" w:space="0" w:color="auto"/>
            </w:tcBorders>
            <w:shd w:val="clear" w:color="auto" w:fill="auto"/>
            <w:noWrap/>
            <w:vAlign w:val="bottom"/>
            <w:hideMark/>
          </w:tcPr>
          <w:p w14:paraId="133E01CD" w14:textId="77777777" w:rsidR="00006A52" w:rsidRPr="00006A52" w:rsidRDefault="00006A52" w:rsidP="00006A52">
            <w:pPr>
              <w:pStyle w:val="Tablas"/>
            </w:pPr>
            <w:r w:rsidRPr="00006A52">
              <w:t>7.80%</w:t>
            </w:r>
          </w:p>
        </w:tc>
      </w:tr>
      <w:tr w:rsidR="00006A52" w:rsidRPr="00006A52" w14:paraId="1E1F9563"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1132F6B0" w14:textId="77777777" w:rsidR="00006A52" w:rsidRPr="00006A52" w:rsidRDefault="00006A52" w:rsidP="00006A52">
            <w:pPr>
              <w:pStyle w:val="Tablas"/>
            </w:pPr>
            <w:r w:rsidRPr="00006A52">
              <w:t>21</w:t>
            </w:r>
          </w:p>
        </w:tc>
        <w:tc>
          <w:tcPr>
            <w:tcW w:w="985" w:type="dxa"/>
            <w:tcBorders>
              <w:top w:val="nil"/>
              <w:left w:val="nil"/>
              <w:bottom w:val="single" w:sz="4" w:space="0" w:color="auto"/>
              <w:right w:val="single" w:sz="4" w:space="0" w:color="auto"/>
            </w:tcBorders>
            <w:shd w:val="clear" w:color="auto" w:fill="auto"/>
            <w:noWrap/>
            <w:vAlign w:val="bottom"/>
            <w:hideMark/>
          </w:tcPr>
          <w:p w14:paraId="6B2E8066" w14:textId="77777777" w:rsidR="00006A52" w:rsidRPr="00006A52" w:rsidRDefault="00006A52" w:rsidP="00006A52">
            <w:pPr>
              <w:pStyle w:val="Tablas"/>
            </w:pPr>
            <w:r w:rsidRPr="00006A52">
              <w:t>6.80%</w:t>
            </w:r>
          </w:p>
        </w:tc>
        <w:tc>
          <w:tcPr>
            <w:tcW w:w="922" w:type="dxa"/>
            <w:tcBorders>
              <w:top w:val="nil"/>
              <w:left w:val="nil"/>
              <w:bottom w:val="single" w:sz="4" w:space="0" w:color="auto"/>
              <w:right w:val="single" w:sz="4" w:space="0" w:color="auto"/>
            </w:tcBorders>
            <w:shd w:val="clear" w:color="auto" w:fill="auto"/>
            <w:noWrap/>
            <w:vAlign w:val="bottom"/>
            <w:hideMark/>
          </w:tcPr>
          <w:p w14:paraId="7200A750" w14:textId="77777777" w:rsidR="00006A52" w:rsidRPr="00006A52" w:rsidRDefault="00006A52" w:rsidP="00006A52">
            <w:pPr>
              <w:pStyle w:val="Tablas"/>
            </w:pPr>
            <w:r w:rsidRPr="00006A52">
              <w:t>6.65%</w:t>
            </w:r>
          </w:p>
        </w:tc>
      </w:tr>
      <w:tr w:rsidR="00006A52" w:rsidRPr="00006A52" w14:paraId="7C58596D"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CB2AB0A" w14:textId="77777777" w:rsidR="00006A52" w:rsidRPr="00006A52" w:rsidRDefault="00006A52" w:rsidP="00006A52">
            <w:pPr>
              <w:pStyle w:val="Tablas"/>
            </w:pPr>
            <w:r w:rsidRPr="00006A52">
              <w:t>22</w:t>
            </w:r>
          </w:p>
        </w:tc>
        <w:tc>
          <w:tcPr>
            <w:tcW w:w="985" w:type="dxa"/>
            <w:tcBorders>
              <w:top w:val="nil"/>
              <w:left w:val="nil"/>
              <w:bottom w:val="single" w:sz="4" w:space="0" w:color="auto"/>
              <w:right w:val="single" w:sz="4" w:space="0" w:color="auto"/>
            </w:tcBorders>
            <w:shd w:val="clear" w:color="auto" w:fill="auto"/>
            <w:noWrap/>
            <w:vAlign w:val="bottom"/>
            <w:hideMark/>
          </w:tcPr>
          <w:p w14:paraId="2D5881B1" w14:textId="77777777" w:rsidR="00006A52" w:rsidRPr="00006A52" w:rsidRDefault="00006A52" w:rsidP="00006A52">
            <w:pPr>
              <w:pStyle w:val="Tablas"/>
            </w:pPr>
            <w:r w:rsidRPr="00006A52">
              <w:t>7.20%</w:t>
            </w:r>
          </w:p>
        </w:tc>
        <w:tc>
          <w:tcPr>
            <w:tcW w:w="922" w:type="dxa"/>
            <w:tcBorders>
              <w:top w:val="nil"/>
              <w:left w:val="nil"/>
              <w:bottom w:val="single" w:sz="4" w:space="0" w:color="auto"/>
              <w:right w:val="single" w:sz="4" w:space="0" w:color="auto"/>
            </w:tcBorders>
            <w:shd w:val="clear" w:color="auto" w:fill="auto"/>
            <w:noWrap/>
            <w:vAlign w:val="bottom"/>
            <w:hideMark/>
          </w:tcPr>
          <w:p w14:paraId="37741BB9" w14:textId="77777777" w:rsidR="00006A52" w:rsidRPr="00006A52" w:rsidRDefault="00006A52" w:rsidP="00006A52">
            <w:pPr>
              <w:pStyle w:val="Tablas"/>
            </w:pPr>
            <w:r w:rsidRPr="00006A52">
              <w:t>7.34%</w:t>
            </w:r>
          </w:p>
        </w:tc>
      </w:tr>
      <w:tr w:rsidR="00006A52" w:rsidRPr="00006A52" w14:paraId="0F74D8F4"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46BA6E7" w14:textId="77777777" w:rsidR="00006A52" w:rsidRPr="00006A52" w:rsidRDefault="00006A52" w:rsidP="00006A52">
            <w:pPr>
              <w:pStyle w:val="Tablas"/>
            </w:pPr>
            <w:r w:rsidRPr="00006A52">
              <w:t>23</w:t>
            </w:r>
          </w:p>
        </w:tc>
        <w:tc>
          <w:tcPr>
            <w:tcW w:w="985" w:type="dxa"/>
            <w:tcBorders>
              <w:top w:val="nil"/>
              <w:left w:val="nil"/>
              <w:bottom w:val="single" w:sz="4" w:space="0" w:color="auto"/>
              <w:right w:val="single" w:sz="4" w:space="0" w:color="auto"/>
            </w:tcBorders>
            <w:shd w:val="clear" w:color="auto" w:fill="auto"/>
            <w:noWrap/>
            <w:vAlign w:val="bottom"/>
            <w:hideMark/>
          </w:tcPr>
          <w:p w14:paraId="10EED2F3" w14:textId="77777777" w:rsidR="00006A52" w:rsidRPr="00006A52" w:rsidRDefault="00006A52" w:rsidP="00006A52">
            <w:pPr>
              <w:pStyle w:val="Tablas"/>
            </w:pPr>
            <w:r w:rsidRPr="00006A52">
              <w:t>6.24%</w:t>
            </w:r>
          </w:p>
        </w:tc>
        <w:tc>
          <w:tcPr>
            <w:tcW w:w="922" w:type="dxa"/>
            <w:tcBorders>
              <w:top w:val="nil"/>
              <w:left w:val="nil"/>
              <w:bottom w:val="single" w:sz="4" w:space="0" w:color="auto"/>
              <w:right w:val="single" w:sz="4" w:space="0" w:color="auto"/>
            </w:tcBorders>
            <w:shd w:val="clear" w:color="auto" w:fill="auto"/>
            <w:noWrap/>
            <w:vAlign w:val="bottom"/>
            <w:hideMark/>
          </w:tcPr>
          <w:p w14:paraId="351F5E63" w14:textId="77777777" w:rsidR="00006A52" w:rsidRPr="00006A52" w:rsidRDefault="00006A52" w:rsidP="00006A52">
            <w:pPr>
              <w:pStyle w:val="Tablas"/>
            </w:pPr>
            <w:r w:rsidRPr="00006A52">
              <w:t>6.71%</w:t>
            </w:r>
          </w:p>
        </w:tc>
      </w:tr>
      <w:tr w:rsidR="00006A52" w:rsidRPr="00006A52" w14:paraId="47E01360"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10B3CC14" w14:textId="77777777" w:rsidR="00006A52" w:rsidRPr="00006A52" w:rsidRDefault="00006A52" w:rsidP="00006A52">
            <w:pPr>
              <w:pStyle w:val="Tablas"/>
            </w:pPr>
            <w:r w:rsidRPr="00006A52">
              <w:t>24</w:t>
            </w:r>
          </w:p>
        </w:tc>
        <w:tc>
          <w:tcPr>
            <w:tcW w:w="985" w:type="dxa"/>
            <w:tcBorders>
              <w:top w:val="nil"/>
              <w:left w:val="nil"/>
              <w:bottom w:val="single" w:sz="4" w:space="0" w:color="auto"/>
              <w:right w:val="single" w:sz="4" w:space="0" w:color="auto"/>
            </w:tcBorders>
            <w:shd w:val="clear" w:color="auto" w:fill="auto"/>
            <w:noWrap/>
            <w:vAlign w:val="bottom"/>
            <w:hideMark/>
          </w:tcPr>
          <w:p w14:paraId="5CA8E106" w14:textId="77777777" w:rsidR="00006A52" w:rsidRPr="00006A52" w:rsidRDefault="00006A52" w:rsidP="00006A52">
            <w:pPr>
              <w:pStyle w:val="Tablas"/>
            </w:pPr>
            <w:r w:rsidRPr="00006A52">
              <w:t>6.10%</w:t>
            </w:r>
          </w:p>
        </w:tc>
        <w:tc>
          <w:tcPr>
            <w:tcW w:w="922" w:type="dxa"/>
            <w:tcBorders>
              <w:top w:val="nil"/>
              <w:left w:val="nil"/>
              <w:bottom w:val="single" w:sz="4" w:space="0" w:color="auto"/>
              <w:right w:val="single" w:sz="4" w:space="0" w:color="auto"/>
            </w:tcBorders>
            <w:shd w:val="clear" w:color="auto" w:fill="auto"/>
            <w:noWrap/>
            <w:vAlign w:val="bottom"/>
            <w:hideMark/>
          </w:tcPr>
          <w:p w14:paraId="55CD8124" w14:textId="77777777" w:rsidR="00006A52" w:rsidRPr="00006A52" w:rsidRDefault="00006A52" w:rsidP="00006A52">
            <w:pPr>
              <w:pStyle w:val="Tablas"/>
            </w:pPr>
            <w:r w:rsidRPr="00006A52">
              <w:t>6.64%</w:t>
            </w:r>
          </w:p>
        </w:tc>
      </w:tr>
      <w:tr w:rsidR="00006A52" w:rsidRPr="00006A52" w14:paraId="00C99E5D"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A5426C8" w14:textId="77777777" w:rsidR="00006A52" w:rsidRPr="00006A52" w:rsidRDefault="00006A52" w:rsidP="00006A52">
            <w:pPr>
              <w:pStyle w:val="Tablas"/>
            </w:pPr>
            <w:r w:rsidRPr="00006A52">
              <w:t>25</w:t>
            </w:r>
          </w:p>
        </w:tc>
        <w:tc>
          <w:tcPr>
            <w:tcW w:w="985" w:type="dxa"/>
            <w:tcBorders>
              <w:top w:val="nil"/>
              <w:left w:val="nil"/>
              <w:bottom w:val="single" w:sz="4" w:space="0" w:color="auto"/>
              <w:right w:val="single" w:sz="4" w:space="0" w:color="auto"/>
            </w:tcBorders>
            <w:shd w:val="clear" w:color="auto" w:fill="auto"/>
            <w:noWrap/>
            <w:vAlign w:val="bottom"/>
            <w:hideMark/>
          </w:tcPr>
          <w:p w14:paraId="0960CFDB" w14:textId="77777777" w:rsidR="00006A52" w:rsidRPr="00006A52" w:rsidRDefault="00006A52" w:rsidP="00006A52">
            <w:pPr>
              <w:pStyle w:val="Tablas"/>
            </w:pPr>
            <w:r w:rsidRPr="00006A52">
              <w:t>5.86%</w:t>
            </w:r>
          </w:p>
        </w:tc>
        <w:tc>
          <w:tcPr>
            <w:tcW w:w="922" w:type="dxa"/>
            <w:tcBorders>
              <w:top w:val="nil"/>
              <w:left w:val="nil"/>
              <w:bottom w:val="single" w:sz="4" w:space="0" w:color="auto"/>
              <w:right w:val="single" w:sz="4" w:space="0" w:color="auto"/>
            </w:tcBorders>
            <w:shd w:val="clear" w:color="auto" w:fill="auto"/>
            <w:noWrap/>
            <w:vAlign w:val="bottom"/>
            <w:hideMark/>
          </w:tcPr>
          <w:p w14:paraId="6212A826" w14:textId="77777777" w:rsidR="00006A52" w:rsidRPr="00006A52" w:rsidRDefault="00006A52" w:rsidP="00006A52">
            <w:pPr>
              <w:pStyle w:val="Tablas"/>
            </w:pPr>
            <w:r w:rsidRPr="00006A52">
              <w:t>6.48%</w:t>
            </w:r>
          </w:p>
        </w:tc>
      </w:tr>
      <w:tr w:rsidR="00006A52" w:rsidRPr="00006A52" w14:paraId="53FD5562"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1CD001E" w14:textId="77777777" w:rsidR="00006A52" w:rsidRPr="00006A52" w:rsidRDefault="00006A52" w:rsidP="00006A52">
            <w:pPr>
              <w:pStyle w:val="Tablas"/>
            </w:pPr>
            <w:r w:rsidRPr="00006A52">
              <w:t>26</w:t>
            </w:r>
          </w:p>
        </w:tc>
        <w:tc>
          <w:tcPr>
            <w:tcW w:w="985" w:type="dxa"/>
            <w:tcBorders>
              <w:top w:val="nil"/>
              <w:left w:val="nil"/>
              <w:bottom w:val="single" w:sz="4" w:space="0" w:color="auto"/>
              <w:right w:val="single" w:sz="4" w:space="0" w:color="auto"/>
            </w:tcBorders>
            <w:shd w:val="clear" w:color="auto" w:fill="auto"/>
            <w:noWrap/>
            <w:vAlign w:val="bottom"/>
            <w:hideMark/>
          </w:tcPr>
          <w:p w14:paraId="408A70CA" w14:textId="77777777" w:rsidR="00006A52" w:rsidRPr="00006A52" w:rsidRDefault="00006A52" w:rsidP="00006A52">
            <w:pPr>
              <w:pStyle w:val="Tablas"/>
            </w:pPr>
            <w:r w:rsidRPr="00006A52">
              <w:t>5.56%</w:t>
            </w:r>
          </w:p>
        </w:tc>
        <w:tc>
          <w:tcPr>
            <w:tcW w:w="922" w:type="dxa"/>
            <w:tcBorders>
              <w:top w:val="nil"/>
              <w:left w:val="nil"/>
              <w:bottom w:val="single" w:sz="4" w:space="0" w:color="auto"/>
              <w:right w:val="single" w:sz="4" w:space="0" w:color="auto"/>
            </w:tcBorders>
            <w:shd w:val="clear" w:color="auto" w:fill="auto"/>
            <w:noWrap/>
            <w:vAlign w:val="bottom"/>
            <w:hideMark/>
          </w:tcPr>
          <w:p w14:paraId="1A15DE49" w14:textId="77777777" w:rsidR="00006A52" w:rsidRPr="00006A52" w:rsidRDefault="00006A52" w:rsidP="00006A52">
            <w:pPr>
              <w:pStyle w:val="Tablas"/>
            </w:pPr>
            <w:r w:rsidRPr="00006A52">
              <w:t>6.26%</w:t>
            </w:r>
          </w:p>
        </w:tc>
      </w:tr>
      <w:tr w:rsidR="00006A52" w:rsidRPr="00006A52" w14:paraId="31C330F8"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8C179A7" w14:textId="77777777" w:rsidR="00006A52" w:rsidRPr="00006A52" w:rsidRDefault="00006A52" w:rsidP="00006A52">
            <w:pPr>
              <w:pStyle w:val="Tablas"/>
            </w:pPr>
            <w:r w:rsidRPr="00006A52">
              <w:t>27</w:t>
            </w:r>
          </w:p>
        </w:tc>
        <w:tc>
          <w:tcPr>
            <w:tcW w:w="985" w:type="dxa"/>
            <w:tcBorders>
              <w:top w:val="nil"/>
              <w:left w:val="nil"/>
              <w:bottom w:val="single" w:sz="4" w:space="0" w:color="auto"/>
              <w:right w:val="single" w:sz="4" w:space="0" w:color="auto"/>
            </w:tcBorders>
            <w:shd w:val="clear" w:color="auto" w:fill="auto"/>
            <w:noWrap/>
            <w:vAlign w:val="bottom"/>
            <w:hideMark/>
          </w:tcPr>
          <w:p w14:paraId="7164C877" w14:textId="77777777" w:rsidR="00006A52" w:rsidRPr="00006A52" w:rsidRDefault="00006A52" w:rsidP="00006A52">
            <w:pPr>
              <w:pStyle w:val="Tablas"/>
            </w:pPr>
            <w:r w:rsidRPr="00006A52">
              <w:t>4.83%</w:t>
            </w:r>
          </w:p>
        </w:tc>
        <w:tc>
          <w:tcPr>
            <w:tcW w:w="922" w:type="dxa"/>
            <w:tcBorders>
              <w:top w:val="nil"/>
              <w:left w:val="nil"/>
              <w:bottom w:val="single" w:sz="4" w:space="0" w:color="auto"/>
              <w:right w:val="single" w:sz="4" w:space="0" w:color="auto"/>
            </w:tcBorders>
            <w:shd w:val="clear" w:color="auto" w:fill="auto"/>
            <w:noWrap/>
            <w:vAlign w:val="bottom"/>
            <w:hideMark/>
          </w:tcPr>
          <w:p w14:paraId="426B8467" w14:textId="77777777" w:rsidR="00006A52" w:rsidRPr="00006A52" w:rsidRDefault="00006A52" w:rsidP="00006A52">
            <w:pPr>
              <w:pStyle w:val="Tablas"/>
            </w:pPr>
            <w:r w:rsidRPr="00006A52">
              <w:t>5.54%</w:t>
            </w:r>
          </w:p>
        </w:tc>
      </w:tr>
      <w:tr w:rsidR="00006A52" w:rsidRPr="00006A52" w14:paraId="0894E712"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83A73DC" w14:textId="77777777" w:rsidR="00006A52" w:rsidRPr="00006A52" w:rsidRDefault="00006A52" w:rsidP="00006A52">
            <w:pPr>
              <w:pStyle w:val="Tablas"/>
            </w:pPr>
            <w:r w:rsidRPr="00006A52">
              <w:t>28</w:t>
            </w:r>
          </w:p>
        </w:tc>
        <w:tc>
          <w:tcPr>
            <w:tcW w:w="985" w:type="dxa"/>
            <w:tcBorders>
              <w:top w:val="nil"/>
              <w:left w:val="nil"/>
              <w:bottom w:val="single" w:sz="4" w:space="0" w:color="auto"/>
              <w:right w:val="single" w:sz="4" w:space="0" w:color="auto"/>
            </w:tcBorders>
            <w:shd w:val="clear" w:color="auto" w:fill="auto"/>
            <w:noWrap/>
            <w:vAlign w:val="bottom"/>
            <w:hideMark/>
          </w:tcPr>
          <w:p w14:paraId="657B89A0" w14:textId="77777777" w:rsidR="00006A52" w:rsidRPr="00006A52" w:rsidRDefault="00006A52" w:rsidP="00006A52">
            <w:pPr>
              <w:pStyle w:val="Tablas"/>
            </w:pPr>
            <w:r w:rsidRPr="00006A52">
              <w:t>4.14%</w:t>
            </w:r>
          </w:p>
        </w:tc>
        <w:tc>
          <w:tcPr>
            <w:tcW w:w="922" w:type="dxa"/>
            <w:tcBorders>
              <w:top w:val="nil"/>
              <w:left w:val="nil"/>
              <w:bottom w:val="single" w:sz="4" w:space="0" w:color="auto"/>
              <w:right w:val="single" w:sz="4" w:space="0" w:color="auto"/>
            </w:tcBorders>
            <w:shd w:val="clear" w:color="auto" w:fill="auto"/>
            <w:noWrap/>
            <w:vAlign w:val="bottom"/>
            <w:hideMark/>
          </w:tcPr>
          <w:p w14:paraId="4F5B9CA3" w14:textId="77777777" w:rsidR="00006A52" w:rsidRPr="00006A52" w:rsidRDefault="00006A52" w:rsidP="00006A52">
            <w:pPr>
              <w:pStyle w:val="Tablas"/>
            </w:pPr>
            <w:r w:rsidRPr="00006A52">
              <w:t>4.85%</w:t>
            </w:r>
          </w:p>
        </w:tc>
      </w:tr>
      <w:tr w:rsidR="00006A52" w:rsidRPr="00006A52" w14:paraId="23F2C417"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3714673" w14:textId="77777777" w:rsidR="00006A52" w:rsidRPr="00006A52" w:rsidRDefault="00006A52" w:rsidP="00006A52">
            <w:pPr>
              <w:pStyle w:val="Tablas"/>
            </w:pPr>
            <w:r w:rsidRPr="00006A52">
              <w:t>29</w:t>
            </w:r>
          </w:p>
        </w:tc>
        <w:tc>
          <w:tcPr>
            <w:tcW w:w="985" w:type="dxa"/>
            <w:tcBorders>
              <w:top w:val="nil"/>
              <w:left w:val="nil"/>
              <w:bottom w:val="single" w:sz="4" w:space="0" w:color="auto"/>
              <w:right w:val="single" w:sz="4" w:space="0" w:color="auto"/>
            </w:tcBorders>
            <w:shd w:val="clear" w:color="auto" w:fill="auto"/>
            <w:noWrap/>
            <w:vAlign w:val="bottom"/>
            <w:hideMark/>
          </w:tcPr>
          <w:p w14:paraId="3BA88A5C" w14:textId="77777777" w:rsidR="00006A52" w:rsidRPr="00006A52" w:rsidRDefault="00006A52" w:rsidP="00006A52">
            <w:pPr>
              <w:pStyle w:val="Tablas"/>
            </w:pPr>
            <w:r w:rsidRPr="00006A52">
              <w:t>3.54%</w:t>
            </w:r>
          </w:p>
        </w:tc>
        <w:tc>
          <w:tcPr>
            <w:tcW w:w="922" w:type="dxa"/>
            <w:tcBorders>
              <w:top w:val="nil"/>
              <w:left w:val="nil"/>
              <w:bottom w:val="single" w:sz="4" w:space="0" w:color="auto"/>
              <w:right w:val="single" w:sz="4" w:space="0" w:color="auto"/>
            </w:tcBorders>
            <w:shd w:val="clear" w:color="auto" w:fill="auto"/>
            <w:noWrap/>
            <w:vAlign w:val="bottom"/>
            <w:hideMark/>
          </w:tcPr>
          <w:p w14:paraId="4BD0CA6E" w14:textId="77777777" w:rsidR="00006A52" w:rsidRPr="00006A52" w:rsidRDefault="00006A52" w:rsidP="00006A52">
            <w:pPr>
              <w:pStyle w:val="Tablas"/>
            </w:pPr>
            <w:r w:rsidRPr="00006A52">
              <w:t>4.23%</w:t>
            </w:r>
          </w:p>
        </w:tc>
      </w:tr>
      <w:tr w:rsidR="00006A52" w:rsidRPr="00006A52" w14:paraId="7899D093"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3596FF0" w14:textId="77777777" w:rsidR="00006A52" w:rsidRPr="00006A52" w:rsidRDefault="00006A52" w:rsidP="00006A52">
            <w:pPr>
              <w:pStyle w:val="Tablas"/>
            </w:pPr>
            <w:r w:rsidRPr="00006A52">
              <w:t>30</w:t>
            </w:r>
          </w:p>
        </w:tc>
        <w:tc>
          <w:tcPr>
            <w:tcW w:w="985" w:type="dxa"/>
            <w:tcBorders>
              <w:top w:val="nil"/>
              <w:left w:val="nil"/>
              <w:bottom w:val="single" w:sz="4" w:space="0" w:color="auto"/>
              <w:right w:val="single" w:sz="4" w:space="0" w:color="auto"/>
            </w:tcBorders>
            <w:shd w:val="clear" w:color="auto" w:fill="auto"/>
            <w:noWrap/>
            <w:vAlign w:val="bottom"/>
            <w:hideMark/>
          </w:tcPr>
          <w:p w14:paraId="09280BE7" w14:textId="77777777" w:rsidR="00006A52" w:rsidRPr="00006A52" w:rsidRDefault="00006A52" w:rsidP="00006A52">
            <w:pPr>
              <w:pStyle w:val="Tablas"/>
            </w:pPr>
            <w:r w:rsidRPr="00006A52">
              <w:t>3.04%</w:t>
            </w:r>
          </w:p>
        </w:tc>
        <w:tc>
          <w:tcPr>
            <w:tcW w:w="922" w:type="dxa"/>
            <w:tcBorders>
              <w:top w:val="nil"/>
              <w:left w:val="nil"/>
              <w:bottom w:val="single" w:sz="4" w:space="0" w:color="auto"/>
              <w:right w:val="single" w:sz="4" w:space="0" w:color="auto"/>
            </w:tcBorders>
            <w:shd w:val="clear" w:color="auto" w:fill="auto"/>
            <w:noWrap/>
            <w:vAlign w:val="bottom"/>
            <w:hideMark/>
          </w:tcPr>
          <w:p w14:paraId="605D5BDB" w14:textId="77777777" w:rsidR="00006A52" w:rsidRPr="00006A52" w:rsidRDefault="00006A52" w:rsidP="00006A52">
            <w:pPr>
              <w:pStyle w:val="Tablas"/>
            </w:pPr>
            <w:r w:rsidRPr="00006A52">
              <w:t>3.68%</w:t>
            </w:r>
          </w:p>
        </w:tc>
      </w:tr>
      <w:tr w:rsidR="00006A52" w:rsidRPr="00006A52" w14:paraId="061A5EFB"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FE38672" w14:textId="77777777" w:rsidR="00006A52" w:rsidRPr="00006A52" w:rsidRDefault="00006A52" w:rsidP="00006A52">
            <w:pPr>
              <w:pStyle w:val="Tablas"/>
            </w:pPr>
            <w:r w:rsidRPr="00006A52">
              <w:t>31</w:t>
            </w:r>
          </w:p>
        </w:tc>
        <w:tc>
          <w:tcPr>
            <w:tcW w:w="985" w:type="dxa"/>
            <w:tcBorders>
              <w:top w:val="nil"/>
              <w:left w:val="nil"/>
              <w:bottom w:val="single" w:sz="4" w:space="0" w:color="auto"/>
              <w:right w:val="single" w:sz="4" w:space="0" w:color="auto"/>
            </w:tcBorders>
            <w:shd w:val="clear" w:color="auto" w:fill="auto"/>
            <w:noWrap/>
            <w:vAlign w:val="bottom"/>
            <w:hideMark/>
          </w:tcPr>
          <w:p w14:paraId="16A9A4C0" w14:textId="77777777" w:rsidR="00006A52" w:rsidRPr="00006A52" w:rsidRDefault="00006A52" w:rsidP="00006A52">
            <w:pPr>
              <w:pStyle w:val="Tablas"/>
            </w:pPr>
            <w:r w:rsidRPr="00006A52">
              <w:t>3.42%</w:t>
            </w:r>
          </w:p>
        </w:tc>
        <w:tc>
          <w:tcPr>
            <w:tcW w:w="922" w:type="dxa"/>
            <w:tcBorders>
              <w:top w:val="nil"/>
              <w:left w:val="nil"/>
              <w:bottom w:val="single" w:sz="4" w:space="0" w:color="auto"/>
              <w:right w:val="single" w:sz="4" w:space="0" w:color="auto"/>
            </w:tcBorders>
            <w:shd w:val="clear" w:color="auto" w:fill="auto"/>
            <w:noWrap/>
            <w:vAlign w:val="bottom"/>
            <w:hideMark/>
          </w:tcPr>
          <w:p w14:paraId="05220B5B" w14:textId="77777777" w:rsidR="00006A52" w:rsidRPr="00006A52" w:rsidRDefault="00006A52" w:rsidP="00006A52">
            <w:pPr>
              <w:pStyle w:val="Tablas"/>
            </w:pPr>
            <w:r w:rsidRPr="00006A52">
              <w:t>3.76%</w:t>
            </w:r>
          </w:p>
        </w:tc>
      </w:tr>
      <w:tr w:rsidR="00006A52" w:rsidRPr="00006A52" w14:paraId="4508430A"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CBA6A26" w14:textId="77777777" w:rsidR="00006A52" w:rsidRPr="00006A52" w:rsidRDefault="00006A52" w:rsidP="00006A52">
            <w:pPr>
              <w:pStyle w:val="Tablas"/>
            </w:pPr>
            <w:r w:rsidRPr="00006A52">
              <w:t>32</w:t>
            </w:r>
          </w:p>
        </w:tc>
        <w:tc>
          <w:tcPr>
            <w:tcW w:w="985" w:type="dxa"/>
            <w:tcBorders>
              <w:top w:val="nil"/>
              <w:left w:val="nil"/>
              <w:bottom w:val="single" w:sz="4" w:space="0" w:color="auto"/>
              <w:right w:val="single" w:sz="4" w:space="0" w:color="auto"/>
            </w:tcBorders>
            <w:shd w:val="clear" w:color="auto" w:fill="auto"/>
            <w:noWrap/>
            <w:vAlign w:val="bottom"/>
            <w:hideMark/>
          </w:tcPr>
          <w:p w14:paraId="5686F8AA" w14:textId="77777777" w:rsidR="00006A52" w:rsidRPr="00006A52" w:rsidRDefault="00006A52" w:rsidP="00006A52">
            <w:pPr>
              <w:pStyle w:val="Tablas"/>
            </w:pPr>
            <w:r w:rsidRPr="00006A52">
              <w:t>3.51%</w:t>
            </w:r>
          </w:p>
        </w:tc>
        <w:tc>
          <w:tcPr>
            <w:tcW w:w="922" w:type="dxa"/>
            <w:tcBorders>
              <w:top w:val="nil"/>
              <w:left w:val="nil"/>
              <w:bottom w:val="single" w:sz="4" w:space="0" w:color="auto"/>
              <w:right w:val="single" w:sz="4" w:space="0" w:color="auto"/>
            </w:tcBorders>
            <w:shd w:val="clear" w:color="auto" w:fill="auto"/>
            <w:noWrap/>
            <w:vAlign w:val="bottom"/>
            <w:hideMark/>
          </w:tcPr>
          <w:p w14:paraId="12FE68D4" w14:textId="77777777" w:rsidR="00006A52" w:rsidRPr="00006A52" w:rsidRDefault="00006A52" w:rsidP="00006A52">
            <w:pPr>
              <w:pStyle w:val="Tablas"/>
            </w:pPr>
            <w:r w:rsidRPr="00006A52">
              <w:t>3.63%</w:t>
            </w:r>
          </w:p>
        </w:tc>
      </w:tr>
      <w:tr w:rsidR="00006A52" w:rsidRPr="00006A52" w14:paraId="4E20421C"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900AF0C" w14:textId="77777777" w:rsidR="00006A52" w:rsidRPr="00006A52" w:rsidRDefault="00006A52" w:rsidP="00006A52">
            <w:pPr>
              <w:pStyle w:val="Tablas"/>
            </w:pPr>
            <w:r w:rsidRPr="00006A52">
              <w:t>33</w:t>
            </w:r>
          </w:p>
        </w:tc>
        <w:tc>
          <w:tcPr>
            <w:tcW w:w="985" w:type="dxa"/>
            <w:tcBorders>
              <w:top w:val="nil"/>
              <w:left w:val="nil"/>
              <w:bottom w:val="single" w:sz="4" w:space="0" w:color="auto"/>
              <w:right w:val="single" w:sz="4" w:space="0" w:color="auto"/>
            </w:tcBorders>
            <w:shd w:val="clear" w:color="auto" w:fill="auto"/>
            <w:noWrap/>
            <w:vAlign w:val="bottom"/>
            <w:hideMark/>
          </w:tcPr>
          <w:p w14:paraId="5A484616" w14:textId="77777777" w:rsidR="00006A52" w:rsidRPr="00006A52" w:rsidRDefault="00006A52" w:rsidP="00006A52">
            <w:pPr>
              <w:pStyle w:val="Tablas"/>
            </w:pPr>
            <w:r w:rsidRPr="00006A52">
              <w:t>3.35%</w:t>
            </w:r>
          </w:p>
        </w:tc>
        <w:tc>
          <w:tcPr>
            <w:tcW w:w="922" w:type="dxa"/>
            <w:tcBorders>
              <w:top w:val="nil"/>
              <w:left w:val="nil"/>
              <w:bottom w:val="single" w:sz="4" w:space="0" w:color="auto"/>
              <w:right w:val="single" w:sz="4" w:space="0" w:color="auto"/>
            </w:tcBorders>
            <w:shd w:val="clear" w:color="auto" w:fill="auto"/>
            <w:noWrap/>
            <w:vAlign w:val="bottom"/>
            <w:hideMark/>
          </w:tcPr>
          <w:p w14:paraId="21B594F5" w14:textId="77777777" w:rsidR="00006A52" w:rsidRPr="00006A52" w:rsidRDefault="00006A52" w:rsidP="00006A52">
            <w:pPr>
              <w:pStyle w:val="Tablas"/>
            </w:pPr>
            <w:r w:rsidRPr="00006A52">
              <w:t>3.33%</w:t>
            </w:r>
          </w:p>
        </w:tc>
      </w:tr>
      <w:tr w:rsidR="00006A52" w:rsidRPr="00006A52" w14:paraId="38CA28CB"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46951479" w14:textId="77777777" w:rsidR="00006A52" w:rsidRPr="00006A52" w:rsidRDefault="00006A52" w:rsidP="00006A52">
            <w:pPr>
              <w:pStyle w:val="Tablas"/>
            </w:pPr>
            <w:r w:rsidRPr="00006A52">
              <w:t>34</w:t>
            </w:r>
          </w:p>
        </w:tc>
        <w:tc>
          <w:tcPr>
            <w:tcW w:w="985" w:type="dxa"/>
            <w:tcBorders>
              <w:top w:val="nil"/>
              <w:left w:val="nil"/>
              <w:bottom w:val="single" w:sz="4" w:space="0" w:color="auto"/>
              <w:right w:val="single" w:sz="4" w:space="0" w:color="auto"/>
            </w:tcBorders>
            <w:shd w:val="clear" w:color="auto" w:fill="auto"/>
            <w:noWrap/>
            <w:vAlign w:val="bottom"/>
            <w:hideMark/>
          </w:tcPr>
          <w:p w14:paraId="603F39CD" w14:textId="77777777" w:rsidR="00006A52" w:rsidRPr="00006A52" w:rsidRDefault="00006A52" w:rsidP="00006A52">
            <w:pPr>
              <w:pStyle w:val="Tablas"/>
            </w:pPr>
            <w:r w:rsidRPr="00006A52">
              <w:t>2.98%</w:t>
            </w:r>
          </w:p>
        </w:tc>
        <w:tc>
          <w:tcPr>
            <w:tcW w:w="922" w:type="dxa"/>
            <w:tcBorders>
              <w:top w:val="nil"/>
              <w:left w:val="nil"/>
              <w:bottom w:val="single" w:sz="4" w:space="0" w:color="auto"/>
              <w:right w:val="single" w:sz="4" w:space="0" w:color="auto"/>
            </w:tcBorders>
            <w:shd w:val="clear" w:color="auto" w:fill="auto"/>
            <w:noWrap/>
            <w:vAlign w:val="bottom"/>
            <w:hideMark/>
          </w:tcPr>
          <w:p w14:paraId="74995120" w14:textId="77777777" w:rsidR="00006A52" w:rsidRPr="00006A52" w:rsidRDefault="00006A52" w:rsidP="00006A52">
            <w:pPr>
              <w:pStyle w:val="Tablas"/>
            </w:pPr>
            <w:r w:rsidRPr="00006A52">
              <w:t>2.87%</w:t>
            </w:r>
          </w:p>
        </w:tc>
      </w:tr>
      <w:tr w:rsidR="00006A52" w:rsidRPr="00006A52" w14:paraId="37A24704"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E8BCA70" w14:textId="77777777" w:rsidR="00006A52" w:rsidRPr="00006A52" w:rsidRDefault="00006A52" w:rsidP="00006A52">
            <w:pPr>
              <w:pStyle w:val="Tablas"/>
            </w:pPr>
            <w:r w:rsidRPr="00006A52">
              <w:t>35</w:t>
            </w:r>
          </w:p>
        </w:tc>
        <w:tc>
          <w:tcPr>
            <w:tcW w:w="985" w:type="dxa"/>
            <w:tcBorders>
              <w:top w:val="nil"/>
              <w:left w:val="nil"/>
              <w:bottom w:val="single" w:sz="4" w:space="0" w:color="auto"/>
              <w:right w:val="single" w:sz="4" w:space="0" w:color="auto"/>
            </w:tcBorders>
            <w:shd w:val="clear" w:color="auto" w:fill="auto"/>
            <w:noWrap/>
            <w:vAlign w:val="bottom"/>
            <w:hideMark/>
          </w:tcPr>
          <w:p w14:paraId="13E20A99" w14:textId="77777777" w:rsidR="00006A52" w:rsidRPr="00006A52" w:rsidRDefault="00006A52" w:rsidP="00006A52">
            <w:pPr>
              <w:pStyle w:val="Tablas"/>
            </w:pPr>
            <w:r w:rsidRPr="00006A52">
              <w:t>2.42%</w:t>
            </w:r>
          </w:p>
        </w:tc>
        <w:tc>
          <w:tcPr>
            <w:tcW w:w="922" w:type="dxa"/>
            <w:tcBorders>
              <w:top w:val="nil"/>
              <w:left w:val="nil"/>
              <w:bottom w:val="single" w:sz="4" w:space="0" w:color="auto"/>
              <w:right w:val="single" w:sz="4" w:space="0" w:color="auto"/>
            </w:tcBorders>
            <w:shd w:val="clear" w:color="auto" w:fill="auto"/>
            <w:noWrap/>
            <w:vAlign w:val="bottom"/>
            <w:hideMark/>
          </w:tcPr>
          <w:p w14:paraId="61BD563D" w14:textId="77777777" w:rsidR="00006A52" w:rsidRPr="00006A52" w:rsidRDefault="00006A52" w:rsidP="00006A52">
            <w:pPr>
              <w:pStyle w:val="Tablas"/>
            </w:pPr>
            <w:r w:rsidRPr="00006A52">
              <w:t>2.27%</w:t>
            </w:r>
          </w:p>
        </w:tc>
      </w:tr>
      <w:tr w:rsidR="00006A52" w:rsidRPr="00006A52" w14:paraId="2046F5F1"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78B2AA9" w14:textId="77777777" w:rsidR="00006A52" w:rsidRPr="00006A52" w:rsidRDefault="00006A52" w:rsidP="00006A52">
            <w:pPr>
              <w:pStyle w:val="Tablas"/>
            </w:pPr>
            <w:r w:rsidRPr="00006A52">
              <w:lastRenderedPageBreak/>
              <w:t>36</w:t>
            </w:r>
          </w:p>
        </w:tc>
        <w:tc>
          <w:tcPr>
            <w:tcW w:w="985" w:type="dxa"/>
            <w:tcBorders>
              <w:top w:val="nil"/>
              <w:left w:val="nil"/>
              <w:bottom w:val="single" w:sz="4" w:space="0" w:color="auto"/>
              <w:right w:val="single" w:sz="4" w:space="0" w:color="auto"/>
            </w:tcBorders>
            <w:shd w:val="clear" w:color="auto" w:fill="auto"/>
            <w:noWrap/>
            <w:vAlign w:val="bottom"/>
            <w:hideMark/>
          </w:tcPr>
          <w:p w14:paraId="60F076CD" w14:textId="77777777" w:rsidR="00006A52" w:rsidRPr="00006A52" w:rsidRDefault="00006A52" w:rsidP="00006A52">
            <w:pPr>
              <w:pStyle w:val="Tablas"/>
            </w:pPr>
            <w:r w:rsidRPr="00006A52">
              <w:t>1.72%</w:t>
            </w:r>
          </w:p>
        </w:tc>
        <w:tc>
          <w:tcPr>
            <w:tcW w:w="922" w:type="dxa"/>
            <w:tcBorders>
              <w:top w:val="nil"/>
              <w:left w:val="nil"/>
              <w:bottom w:val="single" w:sz="4" w:space="0" w:color="auto"/>
              <w:right w:val="single" w:sz="4" w:space="0" w:color="auto"/>
            </w:tcBorders>
            <w:shd w:val="clear" w:color="auto" w:fill="auto"/>
            <w:noWrap/>
            <w:vAlign w:val="bottom"/>
            <w:hideMark/>
          </w:tcPr>
          <w:p w14:paraId="040A7569" w14:textId="77777777" w:rsidR="00006A52" w:rsidRPr="00006A52" w:rsidRDefault="00006A52" w:rsidP="00006A52">
            <w:pPr>
              <w:pStyle w:val="Tablas"/>
            </w:pPr>
            <w:r w:rsidRPr="00006A52">
              <w:t>1.58%</w:t>
            </w:r>
          </w:p>
        </w:tc>
      </w:tr>
      <w:tr w:rsidR="00006A52" w:rsidRPr="00006A52" w14:paraId="270A74B5" w14:textId="77777777" w:rsidTr="00006A52">
        <w:trPr>
          <w:trHeight w:val="285"/>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D55EC40" w14:textId="77777777" w:rsidR="00006A52" w:rsidRPr="00006A52" w:rsidRDefault="00006A52" w:rsidP="00006A52">
            <w:pPr>
              <w:pStyle w:val="Tablas"/>
            </w:pPr>
            <w:r w:rsidRPr="00006A52">
              <w:t> </w:t>
            </w:r>
          </w:p>
        </w:tc>
        <w:tc>
          <w:tcPr>
            <w:tcW w:w="985" w:type="dxa"/>
            <w:tcBorders>
              <w:top w:val="nil"/>
              <w:left w:val="nil"/>
              <w:bottom w:val="single" w:sz="4" w:space="0" w:color="auto"/>
              <w:right w:val="single" w:sz="4" w:space="0" w:color="auto"/>
            </w:tcBorders>
            <w:shd w:val="clear" w:color="auto" w:fill="auto"/>
            <w:noWrap/>
            <w:vAlign w:val="bottom"/>
            <w:hideMark/>
          </w:tcPr>
          <w:p w14:paraId="44553AF3" w14:textId="77777777" w:rsidR="00006A52" w:rsidRPr="00006A52" w:rsidRDefault="00006A52" w:rsidP="00006A52">
            <w:pPr>
              <w:pStyle w:val="Tablas"/>
            </w:pPr>
            <w:r w:rsidRPr="00006A52">
              <w:t>100.00%</w:t>
            </w:r>
          </w:p>
        </w:tc>
        <w:tc>
          <w:tcPr>
            <w:tcW w:w="922" w:type="dxa"/>
            <w:tcBorders>
              <w:top w:val="nil"/>
              <w:left w:val="nil"/>
              <w:bottom w:val="single" w:sz="4" w:space="0" w:color="auto"/>
              <w:right w:val="single" w:sz="4" w:space="0" w:color="auto"/>
            </w:tcBorders>
            <w:shd w:val="clear" w:color="auto" w:fill="auto"/>
            <w:noWrap/>
            <w:vAlign w:val="bottom"/>
            <w:hideMark/>
          </w:tcPr>
          <w:p w14:paraId="14C3651B" w14:textId="77777777" w:rsidR="00006A52" w:rsidRPr="00006A52" w:rsidRDefault="00006A52" w:rsidP="00006A52">
            <w:pPr>
              <w:pStyle w:val="Tablas"/>
            </w:pPr>
            <w:r w:rsidRPr="00006A52">
              <w:t>100.00%</w:t>
            </w:r>
          </w:p>
        </w:tc>
      </w:tr>
    </w:tbl>
    <w:p w14:paraId="0E466E98" w14:textId="77777777" w:rsidR="00006A52" w:rsidRDefault="00006A52" w:rsidP="00392E20">
      <w:pPr>
        <w:rPr>
          <w:b/>
          <w:bCs/>
          <w:lang w:val="es-419"/>
        </w:rPr>
      </w:pPr>
    </w:p>
    <w:p w14:paraId="70C0F46F" w14:textId="77777777" w:rsidR="00C7198A" w:rsidRPr="00C7198A" w:rsidRDefault="00C7198A" w:rsidP="00C7198A">
      <w:pPr>
        <w:rPr>
          <w:lang w:val="es-419"/>
        </w:rPr>
      </w:pPr>
      <w:r w:rsidRPr="00C7198A">
        <w:rPr>
          <w:lang w:val="es-419"/>
        </w:rPr>
        <w:t>En general, la mayor parte de las nuevas incorporaciones al sistema se concentra en edades jóvenes, particularmente entre los 18 y los 25 años. En este rango de edad se observa que los hombres alcanzan su punto máximo de ingreso con un 9.02% a los 20 años, mientras que las mujeres lo hacen a los 22 años con un 7.34%. Esto refleja el momento en que la mayoría de las personas inicia su vida laboral tras completar su educación secundaria o técnica. Sin embargo, a partir de los 26 años, la proporción de nuevos ingresos comienza a disminuir gradualmente en ambos géneros.</w:t>
      </w:r>
    </w:p>
    <w:p w14:paraId="66F7BEDD" w14:textId="77777777" w:rsidR="00C7198A" w:rsidRPr="00C7198A" w:rsidRDefault="00C7198A" w:rsidP="00C7198A">
      <w:pPr>
        <w:rPr>
          <w:lang w:val="es-419"/>
        </w:rPr>
      </w:pPr>
      <w:r w:rsidRPr="00C7198A">
        <w:rPr>
          <w:lang w:val="es-419"/>
        </w:rPr>
        <w:t>El análisis también muestra que las nuevas incorporaciones al sistema disminuyen drásticamente después de los 30 años, lo que sugiere que la probabilidad de ingreso tardío al mercado laboral formal es muy baja. A los 35 años, el porcentaje de nuevas entradas es de solo 2.42% para los hombres y 2.27% para las mujeres. Este patrón resalta la importancia de políticas que fomenten la formalización laboral en edades más avanzadas, particularmente en sectores de difícil acceso al sistema de seguridad social.</w:t>
      </w:r>
    </w:p>
    <w:p w14:paraId="67C93E7A" w14:textId="67207A8F" w:rsidR="00C93CA0" w:rsidRPr="00C56EC9" w:rsidRDefault="00C93CA0" w:rsidP="008A06BE">
      <w:pPr>
        <w:ind w:firstLine="720"/>
        <w:rPr>
          <w:b/>
          <w:bCs/>
          <w:lang w:val="es-419"/>
        </w:rPr>
      </w:pPr>
      <w:r w:rsidRPr="00C56EC9">
        <w:rPr>
          <w:b/>
          <w:bCs/>
          <w:lang w:val="es-419"/>
        </w:rPr>
        <w:t>Densidad de cuotas</w:t>
      </w:r>
    </w:p>
    <w:p w14:paraId="1431CE8E" w14:textId="74CF5492" w:rsidR="00C93CA0" w:rsidRPr="00C56EC9" w:rsidRDefault="00BB42F2" w:rsidP="001C291D">
      <w:pPr>
        <w:rPr>
          <w:lang w:val="es-419"/>
        </w:rPr>
      </w:pPr>
      <w:r w:rsidRPr="00C56EC9">
        <w:rPr>
          <w:lang w:val="es-419"/>
        </w:rPr>
        <w:t>Las densidades de cuotas en un modelo actuarial de pensiones se refieren a la proporción del tiempo en que un trabajador ha contribuido al sistema de seguridad social en relación con el período total en que podría haberlo hecho</w:t>
      </w:r>
      <w:r w:rsidR="001435B8" w:rsidRPr="00C56EC9">
        <w:rPr>
          <w:lang w:val="es-419"/>
        </w:rPr>
        <w:t xml:space="preserve">, incluyendo a trabajadores </w:t>
      </w:r>
      <w:r w:rsidR="00172FFC" w:rsidRPr="00C56EC9">
        <w:rPr>
          <w:lang w:val="es-419"/>
        </w:rPr>
        <w:t>que se activan e inactivan a determinada edad</w:t>
      </w:r>
      <w:r w:rsidRPr="00C56EC9">
        <w:rPr>
          <w:lang w:val="es-419"/>
        </w:rPr>
        <w:t>. En otras palabras, mide la regularidad o frecuencia con la que los afiliados realizan sus aportes al sistema a lo largo de su vida laboral.</w:t>
      </w:r>
      <w:r w:rsidR="00993BF2" w:rsidRPr="00C56EC9">
        <w:rPr>
          <w:lang w:val="es-419"/>
        </w:rPr>
        <w:t xml:space="preserve"> En el SEBD, las densidades bajas aumentan el riesgo de incumplimiento de los requisitos para obtener una pensión mínima, dejando a más personas dependientes de pensiones sociales.</w:t>
      </w:r>
    </w:p>
    <w:p w14:paraId="4A806293" w14:textId="77777777" w:rsidR="00710F49" w:rsidRDefault="00710F49" w:rsidP="00747A1E">
      <w:pPr>
        <w:pStyle w:val="Grfico"/>
      </w:pPr>
    </w:p>
    <w:p w14:paraId="0A7AFFB7" w14:textId="77777777" w:rsidR="00710F49" w:rsidRDefault="00710F49" w:rsidP="00747A1E">
      <w:pPr>
        <w:pStyle w:val="Grfico"/>
      </w:pPr>
    </w:p>
    <w:p w14:paraId="595DCC17" w14:textId="7CDD6C91" w:rsidR="00747A1E" w:rsidRPr="00C56EC9" w:rsidRDefault="00747A1E" w:rsidP="00747A1E">
      <w:pPr>
        <w:pStyle w:val="Grfico"/>
      </w:pPr>
      <w:r w:rsidRPr="00C56EC9">
        <w:lastRenderedPageBreak/>
        <w:t>Tabla</w:t>
      </w:r>
      <w:r w:rsidR="00C930DF" w:rsidRPr="00C56EC9">
        <w:t xml:space="preserve"> </w:t>
      </w:r>
      <w:r w:rsidR="00B1578E" w:rsidRPr="00C56EC9">
        <w:fldChar w:fldCharType="begin"/>
      </w:r>
      <w:r w:rsidR="00B1578E" w:rsidRPr="00C56EC9">
        <w:instrText xml:space="preserve"> SEQ Tabla \* ARABIC </w:instrText>
      </w:r>
      <w:r w:rsidR="00B1578E" w:rsidRPr="00C56EC9">
        <w:fldChar w:fldCharType="separate"/>
      </w:r>
      <w:r w:rsidR="00B24233">
        <w:rPr>
          <w:noProof/>
        </w:rPr>
        <w:t>5</w:t>
      </w:r>
      <w:r w:rsidR="00B1578E" w:rsidRPr="00C56EC9">
        <w:fldChar w:fldCharType="end"/>
      </w:r>
      <w:r w:rsidR="00B1578E" w:rsidRPr="00C56EC9">
        <w:t>. Densidades de cuotas empleadas en el modelo de proyección actuarial</w:t>
      </w:r>
    </w:p>
    <w:tbl>
      <w:tblPr>
        <w:tblW w:w="7800" w:type="dxa"/>
        <w:jc w:val="center"/>
        <w:tblLook w:val="04A0" w:firstRow="1" w:lastRow="0" w:firstColumn="1" w:lastColumn="0" w:noHBand="0" w:noVBand="1"/>
      </w:tblPr>
      <w:tblGrid>
        <w:gridCol w:w="1300"/>
        <w:gridCol w:w="1300"/>
        <w:gridCol w:w="1300"/>
        <w:gridCol w:w="1300"/>
        <w:gridCol w:w="1300"/>
        <w:gridCol w:w="1300"/>
      </w:tblGrid>
      <w:tr w:rsidR="00F47EA2" w:rsidRPr="00F47EA2" w14:paraId="43D5F2AB" w14:textId="77777777" w:rsidTr="00F47EA2">
        <w:trPr>
          <w:trHeight w:val="41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96BA4"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Edad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2F36990"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 xml:space="preserve"> Densidad hombre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F25A43D"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 xml:space="preserve"> Densidad mujer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21A735A"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Edad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BC83091"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 xml:space="preserve"> Densidad hombre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9FC0198" w14:textId="77777777" w:rsidR="00F47EA2" w:rsidRPr="00F47EA2" w:rsidRDefault="00F47EA2" w:rsidP="00F47EA2">
            <w:pPr>
              <w:spacing w:after="0" w:line="240" w:lineRule="auto"/>
              <w:jc w:val="center"/>
              <w:rPr>
                <w:rFonts w:eastAsia="Times New Roman" w:cs="Times New Roman"/>
                <w:b/>
                <w:bCs/>
                <w:color w:val="000000"/>
                <w:kern w:val="0"/>
                <w:sz w:val="18"/>
                <w:szCs w:val="18"/>
                <w:lang w:eastAsia="en-GB"/>
                <w14:ligatures w14:val="none"/>
              </w:rPr>
            </w:pPr>
            <w:r w:rsidRPr="00F47EA2">
              <w:rPr>
                <w:rFonts w:eastAsia="Times New Roman" w:cs="Times New Roman"/>
                <w:b/>
                <w:bCs/>
                <w:color w:val="000000"/>
                <w:kern w:val="0"/>
                <w:sz w:val="18"/>
                <w:szCs w:val="18"/>
                <w:lang w:val="es-419" w:eastAsia="en-GB"/>
                <w14:ligatures w14:val="none"/>
              </w:rPr>
              <w:t xml:space="preserve"> Densidad mujer </w:t>
            </w:r>
          </w:p>
        </w:tc>
      </w:tr>
      <w:tr w:rsidR="00F47EA2" w:rsidRPr="00F47EA2" w14:paraId="372CE1AB"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CB6AC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15</w:t>
            </w:r>
          </w:p>
        </w:tc>
        <w:tc>
          <w:tcPr>
            <w:tcW w:w="1300" w:type="dxa"/>
            <w:tcBorders>
              <w:top w:val="nil"/>
              <w:left w:val="nil"/>
              <w:bottom w:val="single" w:sz="4" w:space="0" w:color="auto"/>
              <w:right w:val="single" w:sz="4" w:space="0" w:color="auto"/>
            </w:tcBorders>
            <w:shd w:val="clear" w:color="auto" w:fill="auto"/>
            <w:noWrap/>
            <w:vAlign w:val="center"/>
            <w:hideMark/>
          </w:tcPr>
          <w:p w14:paraId="73CC3A4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0.5796</w:t>
            </w:r>
          </w:p>
        </w:tc>
        <w:tc>
          <w:tcPr>
            <w:tcW w:w="1300" w:type="dxa"/>
            <w:tcBorders>
              <w:top w:val="nil"/>
              <w:left w:val="nil"/>
              <w:bottom w:val="single" w:sz="4" w:space="0" w:color="auto"/>
              <w:right w:val="single" w:sz="4" w:space="0" w:color="auto"/>
            </w:tcBorders>
            <w:shd w:val="clear" w:color="auto" w:fill="auto"/>
            <w:noWrap/>
            <w:vAlign w:val="center"/>
            <w:hideMark/>
          </w:tcPr>
          <w:p w14:paraId="7CE44B1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0.5923</w:t>
            </w:r>
          </w:p>
        </w:tc>
        <w:tc>
          <w:tcPr>
            <w:tcW w:w="1300" w:type="dxa"/>
            <w:tcBorders>
              <w:top w:val="nil"/>
              <w:left w:val="nil"/>
              <w:bottom w:val="single" w:sz="4" w:space="0" w:color="auto"/>
              <w:right w:val="single" w:sz="4" w:space="0" w:color="auto"/>
            </w:tcBorders>
            <w:shd w:val="clear" w:color="auto" w:fill="auto"/>
            <w:noWrap/>
            <w:vAlign w:val="center"/>
            <w:hideMark/>
          </w:tcPr>
          <w:p w14:paraId="5D20F8E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39</w:t>
            </w:r>
          </w:p>
        </w:tc>
        <w:tc>
          <w:tcPr>
            <w:tcW w:w="1300" w:type="dxa"/>
            <w:tcBorders>
              <w:top w:val="nil"/>
              <w:left w:val="nil"/>
              <w:bottom w:val="single" w:sz="4" w:space="0" w:color="auto"/>
              <w:right w:val="single" w:sz="4" w:space="0" w:color="auto"/>
            </w:tcBorders>
            <w:shd w:val="clear" w:color="auto" w:fill="auto"/>
            <w:noWrap/>
            <w:vAlign w:val="center"/>
            <w:hideMark/>
          </w:tcPr>
          <w:p w14:paraId="54FACB5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0.6239</w:t>
            </w:r>
          </w:p>
        </w:tc>
        <w:tc>
          <w:tcPr>
            <w:tcW w:w="1300" w:type="dxa"/>
            <w:tcBorders>
              <w:top w:val="nil"/>
              <w:left w:val="nil"/>
              <w:bottom w:val="single" w:sz="4" w:space="0" w:color="auto"/>
              <w:right w:val="single" w:sz="4" w:space="0" w:color="auto"/>
            </w:tcBorders>
            <w:shd w:val="clear" w:color="auto" w:fill="auto"/>
            <w:noWrap/>
            <w:vAlign w:val="center"/>
            <w:hideMark/>
          </w:tcPr>
          <w:p w14:paraId="3458366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0.6263</w:t>
            </w:r>
          </w:p>
        </w:tc>
      </w:tr>
      <w:tr w:rsidR="00F47EA2" w:rsidRPr="00F47EA2" w14:paraId="4B2D15E2"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FDA3071"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16</w:t>
            </w:r>
          </w:p>
        </w:tc>
        <w:tc>
          <w:tcPr>
            <w:tcW w:w="1300" w:type="dxa"/>
            <w:tcBorders>
              <w:top w:val="nil"/>
              <w:left w:val="nil"/>
              <w:bottom w:val="single" w:sz="4" w:space="0" w:color="auto"/>
              <w:right w:val="single" w:sz="4" w:space="0" w:color="auto"/>
            </w:tcBorders>
            <w:shd w:val="clear" w:color="auto" w:fill="auto"/>
            <w:noWrap/>
            <w:vAlign w:val="center"/>
            <w:hideMark/>
          </w:tcPr>
          <w:p w14:paraId="0081384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7859558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16333CC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40</w:t>
            </w:r>
          </w:p>
        </w:tc>
        <w:tc>
          <w:tcPr>
            <w:tcW w:w="1300" w:type="dxa"/>
            <w:tcBorders>
              <w:top w:val="nil"/>
              <w:left w:val="nil"/>
              <w:bottom w:val="single" w:sz="4" w:space="0" w:color="auto"/>
              <w:right w:val="single" w:sz="4" w:space="0" w:color="auto"/>
            </w:tcBorders>
            <w:shd w:val="clear" w:color="auto" w:fill="auto"/>
            <w:noWrap/>
            <w:vAlign w:val="center"/>
            <w:hideMark/>
          </w:tcPr>
          <w:p w14:paraId="46AF020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0.6205</w:t>
            </w:r>
          </w:p>
        </w:tc>
        <w:tc>
          <w:tcPr>
            <w:tcW w:w="1300" w:type="dxa"/>
            <w:tcBorders>
              <w:top w:val="nil"/>
              <w:left w:val="nil"/>
              <w:bottom w:val="single" w:sz="4" w:space="0" w:color="auto"/>
              <w:right w:val="single" w:sz="4" w:space="0" w:color="auto"/>
            </w:tcBorders>
            <w:shd w:val="clear" w:color="auto" w:fill="auto"/>
            <w:noWrap/>
            <w:vAlign w:val="center"/>
            <w:hideMark/>
          </w:tcPr>
          <w:p w14:paraId="42EE4DD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0.6181</w:t>
            </w:r>
          </w:p>
        </w:tc>
      </w:tr>
      <w:tr w:rsidR="00F47EA2" w:rsidRPr="00F47EA2" w14:paraId="74F36007"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AD64B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17</w:t>
            </w:r>
          </w:p>
        </w:tc>
        <w:tc>
          <w:tcPr>
            <w:tcW w:w="1300" w:type="dxa"/>
            <w:tcBorders>
              <w:top w:val="nil"/>
              <w:left w:val="nil"/>
              <w:bottom w:val="single" w:sz="4" w:space="0" w:color="auto"/>
              <w:right w:val="single" w:sz="4" w:space="0" w:color="auto"/>
            </w:tcBorders>
            <w:shd w:val="clear" w:color="auto" w:fill="auto"/>
            <w:noWrap/>
            <w:vAlign w:val="center"/>
            <w:hideMark/>
          </w:tcPr>
          <w:p w14:paraId="65FD32E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3D973FE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6E7C702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41</w:t>
            </w:r>
          </w:p>
        </w:tc>
        <w:tc>
          <w:tcPr>
            <w:tcW w:w="1300" w:type="dxa"/>
            <w:tcBorders>
              <w:top w:val="nil"/>
              <w:left w:val="nil"/>
              <w:bottom w:val="single" w:sz="4" w:space="0" w:color="auto"/>
              <w:right w:val="single" w:sz="4" w:space="0" w:color="auto"/>
            </w:tcBorders>
            <w:shd w:val="clear" w:color="auto" w:fill="auto"/>
            <w:noWrap/>
            <w:vAlign w:val="center"/>
            <w:hideMark/>
          </w:tcPr>
          <w:p w14:paraId="36E6F76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0.6036</w:t>
            </w:r>
          </w:p>
        </w:tc>
        <w:tc>
          <w:tcPr>
            <w:tcW w:w="1300" w:type="dxa"/>
            <w:tcBorders>
              <w:top w:val="nil"/>
              <w:left w:val="nil"/>
              <w:bottom w:val="single" w:sz="4" w:space="0" w:color="auto"/>
              <w:right w:val="single" w:sz="4" w:space="0" w:color="auto"/>
            </w:tcBorders>
            <w:shd w:val="clear" w:color="auto" w:fill="auto"/>
            <w:noWrap/>
            <w:vAlign w:val="center"/>
            <w:hideMark/>
          </w:tcPr>
          <w:p w14:paraId="55AD506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0.6013</w:t>
            </w:r>
          </w:p>
        </w:tc>
      </w:tr>
      <w:tr w:rsidR="00F47EA2" w:rsidRPr="00F47EA2" w14:paraId="7E810A0C"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B7E51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18</w:t>
            </w:r>
          </w:p>
        </w:tc>
        <w:tc>
          <w:tcPr>
            <w:tcW w:w="1300" w:type="dxa"/>
            <w:tcBorders>
              <w:top w:val="nil"/>
              <w:left w:val="nil"/>
              <w:bottom w:val="single" w:sz="4" w:space="0" w:color="auto"/>
              <w:right w:val="single" w:sz="4" w:space="0" w:color="auto"/>
            </w:tcBorders>
            <w:shd w:val="clear" w:color="auto" w:fill="auto"/>
            <w:noWrap/>
            <w:vAlign w:val="center"/>
            <w:hideMark/>
          </w:tcPr>
          <w:p w14:paraId="24DCFA5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4C7C20D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5105888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42</w:t>
            </w:r>
          </w:p>
        </w:tc>
        <w:tc>
          <w:tcPr>
            <w:tcW w:w="1300" w:type="dxa"/>
            <w:tcBorders>
              <w:top w:val="nil"/>
              <w:left w:val="nil"/>
              <w:bottom w:val="single" w:sz="4" w:space="0" w:color="auto"/>
              <w:right w:val="single" w:sz="4" w:space="0" w:color="auto"/>
            </w:tcBorders>
            <w:shd w:val="clear" w:color="auto" w:fill="auto"/>
            <w:noWrap/>
            <w:vAlign w:val="center"/>
            <w:hideMark/>
          </w:tcPr>
          <w:p w14:paraId="5C53F03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0.5936</w:t>
            </w:r>
          </w:p>
        </w:tc>
        <w:tc>
          <w:tcPr>
            <w:tcW w:w="1300" w:type="dxa"/>
            <w:tcBorders>
              <w:top w:val="nil"/>
              <w:left w:val="nil"/>
              <w:bottom w:val="single" w:sz="4" w:space="0" w:color="auto"/>
              <w:right w:val="single" w:sz="4" w:space="0" w:color="auto"/>
            </w:tcBorders>
            <w:shd w:val="clear" w:color="auto" w:fill="auto"/>
            <w:noWrap/>
            <w:vAlign w:val="center"/>
            <w:hideMark/>
          </w:tcPr>
          <w:p w14:paraId="1B3294B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0.5933</w:t>
            </w:r>
          </w:p>
        </w:tc>
      </w:tr>
      <w:tr w:rsidR="00F47EA2" w:rsidRPr="00F47EA2" w14:paraId="09030198"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6B641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19</w:t>
            </w:r>
          </w:p>
        </w:tc>
        <w:tc>
          <w:tcPr>
            <w:tcW w:w="1300" w:type="dxa"/>
            <w:tcBorders>
              <w:top w:val="nil"/>
              <w:left w:val="nil"/>
              <w:bottom w:val="single" w:sz="4" w:space="0" w:color="auto"/>
              <w:right w:val="single" w:sz="4" w:space="0" w:color="auto"/>
            </w:tcBorders>
            <w:shd w:val="clear" w:color="auto" w:fill="auto"/>
            <w:noWrap/>
            <w:vAlign w:val="center"/>
            <w:hideMark/>
          </w:tcPr>
          <w:p w14:paraId="2DEAEE2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28BFA31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5AE171E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43</w:t>
            </w:r>
          </w:p>
        </w:tc>
        <w:tc>
          <w:tcPr>
            <w:tcW w:w="1300" w:type="dxa"/>
            <w:tcBorders>
              <w:top w:val="nil"/>
              <w:left w:val="nil"/>
              <w:bottom w:val="single" w:sz="4" w:space="0" w:color="auto"/>
              <w:right w:val="single" w:sz="4" w:space="0" w:color="auto"/>
            </w:tcBorders>
            <w:shd w:val="clear" w:color="auto" w:fill="auto"/>
            <w:noWrap/>
            <w:vAlign w:val="center"/>
            <w:hideMark/>
          </w:tcPr>
          <w:p w14:paraId="15DC0AC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0.5811</w:t>
            </w:r>
          </w:p>
        </w:tc>
        <w:tc>
          <w:tcPr>
            <w:tcW w:w="1300" w:type="dxa"/>
            <w:tcBorders>
              <w:top w:val="nil"/>
              <w:left w:val="nil"/>
              <w:bottom w:val="single" w:sz="4" w:space="0" w:color="auto"/>
              <w:right w:val="single" w:sz="4" w:space="0" w:color="auto"/>
            </w:tcBorders>
            <w:shd w:val="clear" w:color="auto" w:fill="auto"/>
            <w:noWrap/>
            <w:vAlign w:val="center"/>
            <w:hideMark/>
          </w:tcPr>
          <w:p w14:paraId="359750C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0.5734</w:t>
            </w:r>
          </w:p>
        </w:tc>
      </w:tr>
      <w:tr w:rsidR="00F47EA2" w:rsidRPr="00F47EA2" w14:paraId="3FFB45E9"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60DE2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20</w:t>
            </w:r>
          </w:p>
        </w:tc>
        <w:tc>
          <w:tcPr>
            <w:tcW w:w="1300" w:type="dxa"/>
            <w:tcBorders>
              <w:top w:val="nil"/>
              <w:left w:val="nil"/>
              <w:bottom w:val="single" w:sz="4" w:space="0" w:color="auto"/>
              <w:right w:val="single" w:sz="4" w:space="0" w:color="auto"/>
            </w:tcBorders>
            <w:shd w:val="clear" w:color="auto" w:fill="auto"/>
            <w:noWrap/>
            <w:vAlign w:val="center"/>
            <w:hideMark/>
          </w:tcPr>
          <w:p w14:paraId="4636CE3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3F91E43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5AED738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44</w:t>
            </w:r>
          </w:p>
        </w:tc>
        <w:tc>
          <w:tcPr>
            <w:tcW w:w="1300" w:type="dxa"/>
            <w:tcBorders>
              <w:top w:val="nil"/>
              <w:left w:val="nil"/>
              <w:bottom w:val="single" w:sz="4" w:space="0" w:color="auto"/>
              <w:right w:val="single" w:sz="4" w:space="0" w:color="auto"/>
            </w:tcBorders>
            <w:shd w:val="clear" w:color="auto" w:fill="auto"/>
            <w:noWrap/>
            <w:vAlign w:val="center"/>
            <w:hideMark/>
          </w:tcPr>
          <w:p w14:paraId="62755EC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0.5707</w:t>
            </w:r>
          </w:p>
        </w:tc>
        <w:tc>
          <w:tcPr>
            <w:tcW w:w="1300" w:type="dxa"/>
            <w:tcBorders>
              <w:top w:val="nil"/>
              <w:left w:val="nil"/>
              <w:bottom w:val="single" w:sz="4" w:space="0" w:color="auto"/>
              <w:right w:val="single" w:sz="4" w:space="0" w:color="auto"/>
            </w:tcBorders>
            <w:shd w:val="clear" w:color="auto" w:fill="auto"/>
            <w:noWrap/>
            <w:vAlign w:val="center"/>
            <w:hideMark/>
          </w:tcPr>
          <w:p w14:paraId="4BC0D6B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0.5576</w:t>
            </w:r>
          </w:p>
        </w:tc>
      </w:tr>
      <w:tr w:rsidR="00F47EA2" w:rsidRPr="00F47EA2" w14:paraId="7E9CBFD4"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B5E46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21</w:t>
            </w:r>
          </w:p>
        </w:tc>
        <w:tc>
          <w:tcPr>
            <w:tcW w:w="1300" w:type="dxa"/>
            <w:tcBorders>
              <w:top w:val="nil"/>
              <w:left w:val="nil"/>
              <w:bottom w:val="single" w:sz="4" w:space="0" w:color="auto"/>
              <w:right w:val="single" w:sz="4" w:space="0" w:color="auto"/>
            </w:tcBorders>
            <w:shd w:val="clear" w:color="auto" w:fill="auto"/>
            <w:noWrap/>
            <w:vAlign w:val="center"/>
            <w:hideMark/>
          </w:tcPr>
          <w:p w14:paraId="4E07CDF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1C76077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77099F5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eastAsia="en-GB"/>
                <w14:ligatures w14:val="none"/>
              </w:rPr>
              <w:t>45</w:t>
            </w:r>
          </w:p>
        </w:tc>
        <w:tc>
          <w:tcPr>
            <w:tcW w:w="1300" w:type="dxa"/>
            <w:tcBorders>
              <w:top w:val="nil"/>
              <w:left w:val="nil"/>
              <w:bottom w:val="single" w:sz="4" w:space="0" w:color="auto"/>
              <w:right w:val="single" w:sz="4" w:space="0" w:color="auto"/>
            </w:tcBorders>
            <w:shd w:val="clear" w:color="auto" w:fill="auto"/>
            <w:noWrap/>
            <w:vAlign w:val="center"/>
            <w:hideMark/>
          </w:tcPr>
          <w:p w14:paraId="4733E75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eastAsia="en-GB"/>
                <w14:ligatures w14:val="none"/>
              </w:rPr>
              <w:t>0.5611</w:t>
            </w:r>
          </w:p>
        </w:tc>
        <w:tc>
          <w:tcPr>
            <w:tcW w:w="1300" w:type="dxa"/>
            <w:tcBorders>
              <w:top w:val="nil"/>
              <w:left w:val="nil"/>
              <w:bottom w:val="single" w:sz="4" w:space="0" w:color="auto"/>
              <w:right w:val="single" w:sz="4" w:space="0" w:color="auto"/>
            </w:tcBorders>
            <w:shd w:val="clear" w:color="auto" w:fill="auto"/>
            <w:noWrap/>
            <w:vAlign w:val="center"/>
            <w:hideMark/>
          </w:tcPr>
          <w:p w14:paraId="2D3FAB56"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eastAsia="en-GB"/>
                <w14:ligatures w14:val="none"/>
              </w:rPr>
              <w:t>0.5271</w:t>
            </w:r>
          </w:p>
        </w:tc>
      </w:tr>
      <w:tr w:rsidR="00F47EA2" w:rsidRPr="00F47EA2" w14:paraId="4A895106"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E78340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22</w:t>
            </w:r>
          </w:p>
        </w:tc>
        <w:tc>
          <w:tcPr>
            <w:tcW w:w="1300" w:type="dxa"/>
            <w:tcBorders>
              <w:top w:val="nil"/>
              <w:left w:val="nil"/>
              <w:bottom w:val="single" w:sz="4" w:space="0" w:color="auto"/>
              <w:right w:val="single" w:sz="4" w:space="0" w:color="auto"/>
            </w:tcBorders>
            <w:shd w:val="clear" w:color="auto" w:fill="auto"/>
            <w:noWrap/>
            <w:vAlign w:val="center"/>
            <w:hideMark/>
          </w:tcPr>
          <w:p w14:paraId="4471E9A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611DB37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4B79AE9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46</w:t>
            </w:r>
          </w:p>
        </w:tc>
        <w:tc>
          <w:tcPr>
            <w:tcW w:w="1300" w:type="dxa"/>
            <w:tcBorders>
              <w:top w:val="nil"/>
              <w:left w:val="nil"/>
              <w:bottom w:val="single" w:sz="4" w:space="0" w:color="auto"/>
              <w:right w:val="single" w:sz="4" w:space="0" w:color="auto"/>
            </w:tcBorders>
            <w:shd w:val="clear" w:color="auto" w:fill="auto"/>
            <w:noWrap/>
            <w:vAlign w:val="center"/>
            <w:hideMark/>
          </w:tcPr>
          <w:p w14:paraId="162CE8E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0.5515</w:t>
            </w:r>
          </w:p>
        </w:tc>
        <w:tc>
          <w:tcPr>
            <w:tcW w:w="1300" w:type="dxa"/>
            <w:tcBorders>
              <w:top w:val="nil"/>
              <w:left w:val="nil"/>
              <w:bottom w:val="single" w:sz="4" w:space="0" w:color="auto"/>
              <w:right w:val="single" w:sz="4" w:space="0" w:color="auto"/>
            </w:tcBorders>
            <w:shd w:val="clear" w:color="auto" w:fill="auto"/>
            <w:noWrap/>
            <w:vAlign w:val="center"/>
            <w:hideMark/>
          </w:tcPr>
          <w:p w14:paraId="53F0736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0.4966</w:t>
            </w:r>
          </w:p>
        </w:tc>
      </w:tr>
      <w:tr w:rsidR="00F47EA2" w:rsidRPr="00F47EA2" w14:paraId="60409CA0"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F63C0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23</w:t>
            </w:r>
          </w:p>
        </w:tc>
        <w:tc>
          <w:tcPr>
            <w:tcW w:w="1300" w:type="dxa"/>
            <w:tcBorders>
              <w:top w:val="nil"/>
              <w:left w:val="nil"/>
              <w:bottom w:val="single" w:sz="4" w:space="0" w:color="auto"/>
              <w:right w:val="single" w:sz="4" w:space="0" w:color="auto"/>
            </w:tcBorders>
            <w:shd w:val="clear" w:color="auto" w:fill="auto"/>
            <w:noWrap/>
            <w:vAlign w:val="center"/>
            <w:hideMark/>
          </w:tcPr>
          <w:p w14:paraId="5168D09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0.5614</w:t>
            </w:r>
          </w:p>
        </w:tc>
        <w:tc>
          <w:tcPr>
            <w:tcW w:w="1300" w:type="dxa"/>
            <w:tcBorders>
              <w:top w:val="nil"/>
              <w:left w:val="nil"/>
              <w:bottom w:val="single" w:sz="4" w:space="0" w:color="auto"/>
              <w:right w:val="single" w:sz="4" w:space="0" w:color="auto"/>
            </w:tcBorders>
            <w:shd w:val="clear" w:color="auto" w:fill="auto"/>
            <w:noWrap/>
            <w:vAlign w:val="center"/>
            <w:hideMark/>
          </w:tcPr>
          <w:p w14:paraId="3D1850E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0.5527</w:t>
            </w:r>
          </w:p>
        </w:tc>
        <w:tc>
          <w:tcPr>
            <w:tcW w:w="1300" w:type="dxa"/>
            <w:tcBorders>
              <w:top w:val="nil"/>
              <w:left w:val="nil"/>
              <w:bottom w:val="single" w:sz="4" w:space="0" w:color="auto"/>
              <w:right w:val="single" w:sz="4" w:space="0" w:color="auto"/>
            </w:tcBorders>
            <w:shd w:val="clear" w:color="auto" w:fill="auto"/>
            <w:noWrap/>
            <w:vAlign w:val="center"/>
            <w:hideMark/>
          </w:tcPr>
          <w:p w14:paraId="68E5AD4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47</w:t>
            </w:r>
          </w:p>
        </w:tc>
        <w:tc>
          <w:tcPr>
            <w:tcW w:w="1300" w:type="dxa"/>
            <w:tcBorders>
              <w:top w:val="nil"/>
              <w:left w:val="nil"/>
              <w:bottom w:val="single" w:sz="4" w:space="0" w:color="auto"/>
              <w:right w:val="single" w:sz="4" w:space="0" w:color="auto"/>
            </w:tcBorders>
            <w:shd w:val="clear" w:color="auto" w:fill="auto"/>
            <w:noWrap/>
            <w:vAlign w:val="center"/>
            <w:hideMark/>
          </w:tcPr>
          <w:p w14:paraId="4E34549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0.5417</w:t>
            </w:r>
          </w:p>
        </w:tc>
        <w:tc>
          <w:tcPr>
            <w:tcW w:w="1300" w:type="dxa"/>
            <w:tcBorders>
              <w:top w:val="nil"/>
              <w:left w:val="nil"/>
              <w:bottom w:val="single" w:sz="4" w:space="0" w:color="auto"/>
              <w:right w:val="single" w:sz="4" w:space="0" w:color="auto"/>
            </w:tcBorders>
            <w:shd w:val="clear" w:color="auto" w:fill="auto"/>
            <w:noWrap/>
            <w:vAlign w:val="center"/>
            <w:hideMark/>
          </w:tcPr>
          <w:p w14:paraId="489D93E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0.4552</w:t>
            </w:r>
          </w:p>
        </w:tc>
      </w:tr>
      <w:tr w:rsidR="00F47EA2" w:rsidRPr="00F47EA2" w14:paraId="535E4639"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C5827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24</w:t>
            </w:r>
          </w:p>
        </w:tc>
        <w:tc>
          <w:tcPr>
            <w:tcW w:w="1300" w:type="dxa"/>
            <w:tcBorders>
              <w:top w:val="nil"/>
              <w:left w:val="nil"/>
              <w:bottom w:val="single" w:sz="4" w:space="0" w:color="auto"/>
              <w:right w:val="single" w:sz="4" w:space="0" w:color="auto"/>
            </w:tcBorders>
            <w:shd w:val="clear" w:color="auto" w:fill="auto"/>
            <w:noWrap/>
            <w:vAlign w:val="center"/>
            <w:hideMark/>
          </w:tcPr>
          <w:p w14:paraId="1929D42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0.593</w:t>
            </w:r>
          </w:p>
        </w:tc>
        <w:tc>
          <w:tcPr>
            <w:tcW w:w="1300" w:type="dxa"/>
            <w:tcBorders>
              <w:top w:val="nil"/>
              <w:left w:val="nil"/>
              <w:bottom w:val="single" w:sz="4" w:space="0" w:color="auto"/>
              <w:right w:val="single" w:sz="4" w:space="0" w:color="auto"/>
            </w:tcBorders>
            <w:shd w:val="clear" w:color="auto" w:fill="auto"/>
            <w:noWrap/>
            <w:vAlign w:val="center"/>
            <w:hideMark/>
          </w:tcPr>
          <w:p w14:paraId="74BC073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0.597</w:t>
            </w:r>
          </w:p>
        </w:tc>
        <w:tc>
          <w:tcPr>
            <w:tcW w:w="1300" w:type="dxa"/>
            <w:tcBorders>
              <w:top w:val="nil"/>
              <w:left w:val="nil"/>
              <w:bottom w:val="single" w:sz="4" w:space="0" w:color="auto"/>
              <w:right w:val="single" w:sz="4" w:space="0" w:color="auto"/>
            </w:tcBorders>
            <w:shd w:val="clear" w:color="auto" w:fill="auto"/>
            <w:noWrap/>
            <w:vAlign w:val="center"/>
            <w:hideMark/>
          </w:tcPr>
          <w:p w14:paraId="6C6D0A1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48</w:t>
            </w:r>
          </w:p>
        </w:tc>
        <w:tc>
          <w:tcPr>
            <w:tcW w:w="1300" w:type="dxa"/>
            <w:tcBorders>
              <w:top w:val="nil"/>
              <w:left w:val="nil"/>
              <w:bottom w:val="single" w:sz="4" w:space="0" w:color="auto"/>
              <w:right w:val="single" w:sz="4" w:space="0" w:color="auto"/>
            </w:tcBorders>
            <w:shd w:val="clear" w:color="auto" w:fill="auto"/>
            <w:noWrap/>
            <w:vAlign w:val="center"/>
            <w:hideMark/>
          </w:tcPr>
          <w:p w14:paraId="2E29EB9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0.5182</w:t>
            </w:r>
          </w:p>
        </w:tc>
        <w:tc>
          <w:tcPr>
            <w:tcW w:w="1300" w:type="dxa"/>
            <w:tcBorders>
              <w:top w:val="nil"/>
              <w:left w:val="nil"/>
              <w:bottom w:val="single" w:sz="4" w:space="0" w:color="auto"/>
              <w:right w:val="single" w:sz="4" w:space="0" w:color="auto"/>
            </w:tcBorders>
            <w:shd w:val="clear" w:color="auto" w:fill="auto"/>
            <w:noWrap/>
            <w:vAlign w:val="center"/>
            <w:hideMark/>
          </w:tcPr>
          <w:p w14:paraId="1940508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0.4391</w:t>
            </w:r>
          </w:p>
        </w:tc>
      </w:tr>
      <w:tr w:rsidR="00F47EA2" w:rsidRPr="00F47EA2" w14:paraId="5E96D901"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2B8EA3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25</w:t>
            </w:r>
          </w:p>
        </w:tc>
        <w:tc>
          <w:tcPr>
            <w:tcW w:w="1300" w:type="dxa"/>
            <w:tcBorders>
              <w:top w:val="nil"/>
              <w:left w:val="nil"/>
              <w:bottom w:val="single" w:sz="4" w:space="0" w:color="auto"/>
              <w:right w:val="single" w:sz="4" w:space="0" w:color="auto"/>
            </w:tcBorders>
            <w:shd w:val="clear" w:color="auto" w:fill="auto"/>
            <w:noWrap/>
            <w:vAlign w:val="center"/>
            <w:hideMark/>
          </w:tcPr>
          <w:p w14:paraId="6AFE6DA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0.6214</w:t>
            </w:r>
          </w:p>
        </w:tc>
        <w:tc>
          <w:tcPr>
            <w:tcW w:w="1300" w:type="dxa"/>
            <w:tcBorders>
              <w:top w:val="nil"/>
              <w:left w:val="nil"/>
              <w:bottom w:val="single" w:sz="4" w:space="0" w:color="auto"/>
              <w:right w:val="single" w:sz="4" w:space="0" w:color="auto"/>
            </w:tcBorders>
            <w:shd w:val="clear" w:color="auto" w:fill="auto"/>
            <w:noWrap/>
            <w:vAlign w:val="center"/>
            <w:hideMark/>
          </w:tcPr>
          <w:p w14:paraId="3DC1EE3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0.6334</w:t>
            </w:r>
          </w:p>
        </w:tc>
        <w:tc>
          <w:tcPr>
            <w:tcW w:w="1300" w:type="dxa"/>
            <w:tcBorders>
              <w:top w:val="nil"/>
              <w:left w:val="nil"/>
              <w:bottom w:val="single" w:sz="4" w:space="0" w:color="auto"/>
              <w:right w:val="single" w:sz="4" w:space="0" w:color="auto"/>
            </w:tcBorders>
            <w:shd w:val="clear" w:color="auto" w:fill="auto"/>
            <w:noWrap/>
            <w:vAlign w:val="center"/>
            <w:hideMark/>
          </w:tcPr>
          <w:p w14:paraId="53DDB87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49</w:t>
            </w:r>
          </w:p>
        </w:tc>
        <w:tc>
          <w:tcPr>
            <w:tcW w:w="1300" w:type="dxa"/>
            <w:tcBorders>
              <w:top w:val="nil"/>
              <w:left w:val="nil"/>
              <w:bottom w:val="single" w:sz="4" w:space="0" w:color="auto"/>
              <w:right w:val="single" w:sz="4" w:space="0" w:color="auto"/>
            </w:tcBorders>
            <w:shd w:val="clear" w:color="auto" w:fill="auto"/>
            <w:noWrap/>
            <w:vAlign w:val="center"/>
            <w:hideMark/>
          </w:tcPr>
          <w:p w14:paraId="7BFB3F7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0.5119</w:t>
            </w:r>
          </w:p>
        </w:tc>
        <w:tc>
          <w:tcPr>
            <w:tcW w:w="1300" w:type="dxa"/>
            <w:tcBorders>
              <w:top w:val="nil"/>
              <w:left w:val="nil"/>
              <w:bottom w:val="single" w:sz="4" w:space="0" w:color="auto"/>
              <w:right w:val="single" w:sz="4" w:space="0" w:color="auto"/>
            </w:tcBorders>
            <w:shd w:val="clear" w:color="auto" w:fill="auto"/>
            <w:noWrap/>
            <w:vAlign w:val="center"/>
            <w:hideMark/>
          </w:tcPr>
          <w:p w14:paraId="70BEB0F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0.4253</w:t>
            </w:r>
          </w:p>
        </w:tc>
      </w:tr>
      <w:tr w:rsidR="00F47EA2" w:rsidRPr="00F47EA2" w14:paraId="130C1388"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0FD1E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26</w:t>
            </w:r>
          </w:p>
        </w:tc>
        <w:tc>
          <w:tcPr>
            <w:tcW w:w="1300" w:type="dxa"/>
            <w:tcBorders>
              <w:top w:val="nil"/>
              <w:left w:val="nil"/>
              <w:bottom w:val="single" w:sz="4" w:space="0" w:color="auto"/>
              <w:right w:val="single" w:sz="4" w:space="0" w:color="auto"/>
            </w:tcBorders>
            <w:shd w:val="clear" w:color="auto" w:fill="auto"/>
            <w:noWrap/>
            <w:vAlign w:val="center"/>
            <w:hideMark/>
          </w:tcPr>
          <w:p w14:paraId="65F4834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0.6287</w:t>
            </w:r>
          </w:p>
        </w:tc>
        <w:tc>
          <w:tcPr>
            <w:tcW w:w="1300" w:type="dxa"/>
            <w:tcBorders>
              <w:top w:val="nil"/>
              <w:left w:val="nil"/>
              <w:bottom w:val="single" w:sz="4" w:space="0" w:color="auto"/>
              <w:right w:val="single" w:sz="4" w:space="0" w:color="auto"/>
            </w:tcBorders>
            <w:shd w:val="clear" w:color="auto" w:fill="auto"/>
            <w:noWrap/>
            <w:vAlign w:val="center"/>
            <w:hideMark/>
          </w:tcPr>
          <w:p w14:paraId="705C238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0.6426</w:t>
            </w:r>
          </w:p>
        </w:tc>
        <w:tc>
          <w:tcPr>
            <w:tcW w:w="1300" w:type="dxa"/>
            <w:tcBorders>
              <w:top w:val="nil"/>
              <w:left w:val="nil"/>
              <w:bottom w:val="single" w:sz="4" w:space="0" w:color="auto"/>
              <w:right w:val="single" w:sz="4" w:space="0" w:color="auto"/>
            </w:tcBorders>
            <w:shd w:val="clear" w:color="auto" w:fill="auto"/>
            <w:noWrap/>
            <w:vAlign w:val="center"/>
            <w:hideMark/>
          </w:tcPr>
          <w:p w14:paraId="19CB3CB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50</w:t>
            </w:r>
          </w:p>
        </w:tc>
        <w:tc>
          <w:tcPr>
            <w:tcW w:w="1300" w:type="dxa"/>
            <w:tcBorders>
              <w:top w:val="nil"/>
              <w:left w:val="nil"/>
              <w:bottom w:val="single" w:sz="4" w:space="0" w:color="auto"/>
              <w:right w:val="single" w:sz="4" w:space="0" w:color="auto"/>
            </w:tcBorders>
            <w:shd w:val="clear" w:color="auto" w:fill="auto"/>
            <w:noWrap/>
            <w:vAlign w:val="center"/>
            <w:hideMark/>
          </w:tcPr>
          <w:p w14:paraId="24E445E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0.4933</w:t>
            </w:r>
          </w:p>
        </w:tc>
        <w:tc>
          <w:tcPr>
            <w:tcW w:w="1300" w:type="dxa"/>
            <w:tcBorders>
              <w:top w:val="nil"/>
              <w:left w:val="nil"/>
              <w:bottom w:val="single" w:sz="4" w:space="0" w:color="auto"/>
              <w:right w:val="single" w:sz="4" w:space="0" w:color="auto"/>
            </w:tcBorders>
            <w:shd w:val="clear" w:color="auto" w:fill="auto"/>
            <w:noWrap/>
            <w:vAlign w:val="center"/>
            <w:hideMark/>
          </w:tcPr>
          <w:p w14:paraId="645B064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0.4363</w:t>
            </w:r>
          </w:p>
        </w:tc>
      </w:tr>
      <w:tr w:rsidR="00F47EA2" w:rsidRPr="00F47EA2" w14:paraId="69AF1E7F"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55FE0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27</w:t>
            </w:r>
          </w:p>
        </w:tc>
        <w:tc>
          <w:tcPr>
            <w:tcW w:w="1300" w:type="dxa"/>
            <w:tcBorders>
              <w:top w:val="nil"/>
              <w:left w:val="nil"/>
              <w:bottom w:val="single" w:sz="4" w:space="0" w:color="auto"/>
              <w:right w:val="single" w:sz="4" w:space="0" w:color="auto"/>
            </w:tcBorders>
            <w:shd w:val="clear" w:color="auto" w:fill="auto"/>
            <w:noWrap/>
            <w:vAlign w:val="center"/>
            <w:hideMark/>
          </w:tcPr>
          <w:p w14:paraId="6B003B0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0.6321</w:t>
            </w:r>
          </w:p>
        </w:tc>
        <w:tc>
          <w:tcPr>
            <w:tcW w:w="1300" w:type="dxa"/>
            <w:tcBorders>
              <w:top w:val="nil"/>
              <w:left w:val="nil"/>
              <w:bottom w:val="single" w:sz="4" w:space="0" w:color="auto"/>
              <w:right w:val="single" w:sz="4" w:space="0" w:color="auto"/>
            </w:tcBorders>
            <w:shd w:val="clear" w:color="auto" w:fill="auto"/>
            <w:noWrap/>
            <w:vAlign w:val="center"/>
            <w:hideMark/>
          </w:tcPr>
          <w:p w14:paraId="02E52A2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0.6496</w:t>
            </w:r>
          </w:p>
        </w:tc>
        <w:tc>
          <w:tcPr>
            <w:tcW w:w="1300" w:type="dxa"/>
            <w:tcBorders>
              <w:top w:val="nil"/>
              <w:left w:val="nil"/>
              <w:bottom w:val="single" w:sz="4" w:space="0" w:color="auto"/>
              <w:right w:val="single" w:sz="4" w:space="0" w:color="auto"/>
            </w:tcBorders>
            <w:shd w:val="clear" w:color="auto" w:fill="auto"/>
            <w:noWrap/>
            <w:vAlign w:val="center"/>
            <w:hideMark/>
          </w:tcPr>
          <w:p w14:paraId="2C8ECD0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51</w:t>
            </w:r>
          </w:p>
        </w:tc>
        <w:tc>
          <w:tcPr>
            <w:tcW w:w="1300" w:type="dxa"/>
            <w:tcBorders>
              <w:top w:val="nil"/>
              <w:left w:val="nil"/>
              <w:bottom w:val="single" w:sz="4" w:space="0" w:color="auto"/>
              <w:right w:val="single" w:sz="4" w:space="0" w:color="auto"/>
            </w:tcBorders>
            <w:shd w:val="clear" w:color="auto" w:fill="auto"/>
            <w:noWrap/>
            <w:vAlign w:val="center"/>
            <w:hideMark/>
          </w:tcPr>
          <w:p w14:paraId="7D5D05A6"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0.455</w:t>
            </w:r>
          </w:p>
        </w:tc>
        <w:tc>
          <w:tcPr>
            <w:tcW w:w="1300" w:type="dxa"/>
            <w:tcBorders>
              <w:top w:val="nil"/>
              <w:left w:val="nil"/>
              <w:bottom w:val="single" w:sz="4" w:space="0" w:color="auto"/>
              <w:right w:val="single" w:sz="4" w:space="0" w:color="auto"/>
            </w:tcBorders>
            <w:shd w:val="clear" w:color="auto" w:fill="auto"/>
            <w:noWrap/>
            <w:vAlign w:val="center"/>
            <w:hideMark/>
          </w:tcPr>
          <w:p w14:paraId="74AE9C4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0.4324</w:t>
            </w:r>
          </w:p>
        </w:tc>
      </w:tr>
      <w:tr w:rsidR="00F47EA2" w:rsidRPr="00F47EA2" w14:paraId="43847D4A"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31D6F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28</w:t>
            </w:r>
          </w:p>
        </w:tc>
        <w:tc>
          <w:tcPr>
            <w:tcW w:w="1300" w:type="dxa"/>
            <w:tcBorders>
              <w:top w:val="nil"/>
              <w:left w:val="nil"/>
              <w:bottom w:val="single" w:sz="4" w:space="0" w:color="auto"/>
              <w:right w:val="single" w:sz="4" w:space="0" w:color="auto"/>
            </w:tcBorders>
            <w:shd w:val="clear" w:color="auto" w:fill="auto"/>
            <w:noWrap/>
            <w:vAlign w:val="center"/>
            <w:hideMark/>
          </w:tcPr>
          <w:p w14:paraId="591079A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0.6478</w:t>
            </w:r>
          </w:p>
        </w:tc>
        <w:tc>
          <w:tcPr>
            <w:tcW w:w="1300" w:type="dxa"/>
            <w:tcBorders>
              <w:top w:val="nil"/>
              <w:left w:val="nil"/>
              <w:bottom w:val="single" w:sz="4" w:space="0" w:color="auto"/>
              <w:right w:val="single" w:sz="4" w:space="0" w:color="auto"/>
            </w:tcBorders>
            <w:shd w:val="clear" w:color="auto" w:fill="auto"/>
            <w:noWrap/>
            <w:vAlign w:val="center"/>
            <w:hideMark/>
          </w:tcPr>
          <w:p w14:paraId="6816DC71"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0.6648</w:t>
            </w:r>
          </w:p>
        </w:tc>
        <w:tc>
          <w:tcPr>
            <w:tcW w:w="1300" w:type="dxa"/>
            <w:tcBorders>
              <w:top w:val="nil"/>
              <w:left w:val="nil"/>
              <w:bottom w:val="single" w:sz="4" w:space="0" w:color="auto"/>
              <w:right w:val="single" w:sz="4" w:space="0" w:color="auto"/>
            </w:tcBorders>
            <w:shd w:val="clear" w:color="auto" w:fill="auto"/>
            <w:noWrap/>
            <w:vAlign w:val="center"/>
            <w:hideMark/>
          </w:tcPr>
          <w:p w14:paraId="5013DBC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52</w:t>
            </w:r>
          </w:p>
        </w:tc>
        <w:tc>
          <w:tcPr>
            <w:tcW w:w="1300" w:type="dxa"/>
            <w:tcBorders>
              <w:top w:val="nil"/>
              <w:left w:val="nil"/>
              <w:bottom w:val="single" w:sz="4" w:space="0" w:color="auto"/>
              <w:right w:val="single" w:sz="4" w:space="0" w:color="auto"/>
            </w:tcBorders>
            <w:shd w:val="clear" w:color="auto" w:fill="auto"/>
            <w:noWrap/>
            <w:vAlign w:val="center"/>
            <w:hideMark/>
          </w:tcPr>
          <w:p w14:paraId="24E33D6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0.4254</w:t>
            </w:r>
          </w:p>
        </w:tc>
        <w:tc>
          <w:tcPr>
            <w:tcW w:w="1300" w:type="dxa"/>
            <w:tcBorders>
              <w:top w:val="nil"/>
              <w:left w:val="nil"/>
              <w:bottom w:val="single" w:sz="4" w:space="0" w:color="auto"/>
              <w:right w:val="single" w:sz="4" w:space="0" w:color="auto"/>
            </w:tcBorders>
            <w:shd w:val="clear" w:color="auto" w:fill="auto"/>
            <w:noWrap/>
            <w:vAlign w:val="center"/>
            <w:hideMark/>
          </w:tcPr>
          <w:p w14:paraId="3CB6952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0.4366</w:t>
            </w:r>
          </w:p>
        </w:tc>
      </w:tr>
      <w:tr w:rsidR="00F47EA2" w:rsidRPr="00F47EA2" w14:paraId="45E65A8A"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CC7595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29</w:t>
            </w:r>
          </w:p>
        </w:tc>
        <w:tc>
          <w:tcPr>
            <w:tcW w:w="1300" w:type="dxa"/>
            <w:tcBorders>
              <w:top w:val="nil"/>
              <w:left w:val="nil"/>
              <w:bottom w:val="single" w:sz="4" w:space="0" w:color="auto"/>
              <w:right w:val="single" w:sz="4" w:space="0" w:color="auto"/>
            </w:tcBorders>
            <w:shd w:val="clear" w:color="auto" w:fill="auto"/>
            <w:noWrap/>
            <w:vAlign w:val="center"/>
            <w:hideMark/>
          </w:tcPr>
          <w:p w14:paraId="16BB8087"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0.6535</w:t>
            </w:r>
          </w:p>
        </w:tc>
        <w:tc>
          <w:tcPr>
            <w:tcW w:w="1300" w:type="dxa"/>
            <w:tcBorders>
              <w:top w:val="nil"/>
              <w:left w:val="nil"/>
              <w:bottom w:val="single" w:sz="4" w:space="0" w:color="auto"/>
              <w:right w:val="single" w:sz="4" w:space="0" w:color="auto"/>
            </w:tcBorders>
            <w:shd w:val="clear" w:color="auto" w:fill="auto"/>
            <w:noWrap/>
            <w:vAlign w:val="center"/>
            <w:hideMark/>
          </w:tcPr>
          <w:p w14:paraId="323E82A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0.6721</w:t>
            </w:r>
          </w:p>
        </w:tc>
        <w:tc>
          <w:tcPr>
            <w:tcW w:w="1300" w:type="dxa"/>
            <w:tcBorders>
              <w:top w:val="nil"/>
              <w:left w:val="nil"/>
              <w:bottom w:val="single" w:sz="4" w:space="0" w:color="auto"/>
              <w:right w:val="single" w:sz="4" w:space="0" w:color="auto"/>
            </w:tcBorders>
            <w:shd w:val="clear" w:color="auto" w:fill="auto"/>
            <w:noWrap/>
            <w:vAlign w:val="center"/>
            <w:hideMark/>
          </w:tcPr>
          <w:p w14:paraId="2327F33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53</w:t>
            </w:r>
          </w:p>
        </w:tc>
        <w:tc>
          <w:tcPr>
            <w:tcW w:w="1300" w:type="dxa"/>
            <w:tcBorders>
              <w:top w:val="nil"/>
              <w:left w:val="nil"/>
              <w:bottom w:val="single" w:sz="4" w:space="0" w:color="auto"/>
              <w:right w:val="single" w:sz="4" w:space="0" w:color="auto"/>
            </w:tcBorders>
            <w:shd w:val="clear" w:color="auto" w:fill="auto"/>
            <w:noWrap/>
            <w:vAlign w:val="center"/>
            <w:hideMark/>
          </w:tcPr>
          <w:p w14:paraId="4EA9C8E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0.4161</w:t>
            </w:r>
          </w:p>
        </w:tc>
        <w:tc>
          <w:tcPr>
            <w:tcW w:w="1300" w:type="dxa"/>
            <w:tcBorders>
              <w:top w:val="nil"/>
              <w:left w:val="nil"/>
              <w:bottom w:val="single" w:sz="4" w:space="0" w:color="auto"/>
              <w:right w:val="single" w:sz="4" w:space="0" w:color="auto"/>
            </w:tcBorders>
            <w:shd w:val="clear" w:color="auto" w:fill="auto"/>
            <w:noWrap/>
            <w:vAlign w:val="center"/>
            <w:hideMark/>
          </w:tcPr>
          <w:p w14:paraId="628C92B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0.4484</w:t>
            </w:r>
          </w:p>
        </w:tc>
      </w:tr>
      <w:tr w:rsidR="00F47EA2" w:rsidRPr="00F47EA2" w14:paraId="69180DEB"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2C3FF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30</w:t>
            </w:r>
          </w:p>
        </w:tc>
        <w:tc>
          <w:tcPr>
            <w:tcW w:w="1300" w:type="dxa"/>
            <w:tcBorders>
              <w:top w:val="nil"/>
              <w:left w:val="nil"/>
              <w:bottom w:val="single" w:sz="4" w:space="0" w:color="auto"/>
              <w:right w:val="single" w:sz="4" w:space="0" w:color="auto"/>
            </w:tcBorders>
            <w:shd w:val="clear" w:color="auto" w:fill="auto"/>
            <w:noWrap/>
            <w:vAlign w:val="center"/>
            <w:hideMark/>
          </w:tcPr>
          <w:p w14:paraId="099ECCC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0.6531</w:t>
            </w:r>
          </w:p>
        </w:tc>
        <w:tc>
          <w:tcPr>
            <w:tcW w:w="1300" w:type="dxa"/>
            <w:tcBorders>
              <w:top w:val="nil"/>
              <w:left w:val="nil"/>
              <w:bottom w:val="single" w:sz="4" w:space="0" w:color="auto"/>
              <w:right w:val="single" w:sz="4" w:space="0" w:color="auto"/>
            </w:tcBorders>
            <w:shd w:val="clear" w:color="auto" w:fill="auto"/>
            <w:noWrap/>
            <w:vAlign w:val="center"/>
            <w:hideMark/>
          </w:tcPr>
          <w:p w14:paraId="2C22FDA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0.6714</w:t>
            </w:r>
          </w:p>
        </w:tc>
        <w:tc>
          <w:tcPr>
            <w:tcW w:w="1300" w:type="dxa"/>
            <w:tcBorders>
              <w:top w:val="nil"/>
              <w:left w:val="nil"/>
              <w:bottom w:val="single" w:sz="4" w:space="0" w:color="auto"/>
              <w:right w:val="single" w:sz="4" w:space="0" w:color="auto"/>
            </w:tcBorders>
            <w:shd w:val="clear" w:color="auto" w:fill="auto"/>
            <w:noWrap/>
            <w:vAlign w:val="center"/>
            <w:hideMark/>
          </w:tcPr>
          <w:p w14:paraId="5568F5A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54</w:t>
            </w:r>
          </w:p>
        </w:tc>
        <w:tc>
          <w:tcPr>
            <w:tcW w:w="1300" w:type="dxa"/>
            <w:tcBorders>
              <w:top w:val="nil"/>
              <w:left w:val="nil"/>
              <w:bottom w:val="single" w:sz="4" w:space="0" w:color="auto"/>
              <w:right w:val="single" w:sz="4" w:space="0" w:color="auto"/>
            </w:tcBorders>
            <w:shd w:val="clear" w:color="auto" w:fill="auto"/>
            <w:noWrap/>
            <w:vAlign w:val="center"/>
            <w:hideMark/>
          </w:tcPr>
          <w:p w14:paraId="36A61F81"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0.4046</w:t>
            </w:r>
          </w:p>
        </w:tc>
        <w:tc>
          <w:tcPr>
            <w:tcW w:w="1300" w:type="dxa"/>
            <w:tcBorders>
              <w:top w:val="nil"/>
              <w:left w:val="nil"/>
              <w:bottom w:val="single" w:sz="4" w:space="0" w:color="auto"/>
              <w:right w:val="single" w:sz="4" w:space="0" w:color="auto"/>
            </w:tcBorders>
            <w:shd w:val="clear" w:color="auto" w:fill="auto"/>
            <w:noWrap/>
            <w:vAlign w:val="center"/>
            <w:hideMark/>
          </w:tcPr>
          <w:p w14:paraId="1E13650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0.4554</w:t>
            </w:r>
          </w:p>
        </w:tc>
      </w:tr>
      <w:tr w:rsidR="00F47EA2" w:rsidRPr="00F47EA2" w14:paraId="7E7572CA"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DACFA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31</w:t>
            </w:r>
          </w:p>
        </w:tc>
        <w:tc>
          <w:tcPr>
            <w:tcW w:w="1300" w:type="dxa"/>
            <w:tcBorders>
              <w:top w:val="nil"/>
              <w:left w:val="nil"/>
              <w:bottom w:val="single" w:sz="4" w:space="0" w:color="auto"/>
              <w:right w:val="single" w:sz="4" w:space="0" w:color="auto"/>
            </w:tcBorders>
            <w:shd w:val="clear" w:color="auto" w:fill="auto"/>
            <w:noWrap/>
            <w:vAlign w:val="center"/>
            <w:hideMark/>
          </w:tcPr>
          <w:p w14:paraId="175E21D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0.6463</w:t>
            </w:r>
          </w:p>
        </w:tc>
        <w:tc>
          <w:tcPr>
            <w:tcW w:w="1300" w:type="dxa"/>
            <w:tcBorders>
              <w:top w:val="nil"/>
              <w:left w:val="nil"/>
              <w:bottom w:val="single" w:sz="4" w:space="0" w:color="auto"/>
              <w:right w:val="single" w:sz="4" w:space="0" w:color="auto"/>
            </w:tcBorders>
            <w:shd w:val="clear" w:color="auto" w:fill="auto"/>
            <w:noWrap/>
            <w:vAlign w:val="center"/>
            <w:hideMark/>
          </w:tcPr>
          <w:p w14:paraId="1145614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0.6662</w:t>
            </w:r>
          </w:p>
        </w:tc>
        <w:tc>
          <w:tcPr>
            <w:tcW w:w="1300" w:type="dxa"/>
            <w:tcBorders>
              <w:top w:val="nil"/>
              <w:left w:val="nil"/>
              <w:bottom w:val="single" w:sz="4" w:space="0" w:color="auto"/>
              <w:right w:val="single" w:sz="4" w:space="0" w:color="auto"/>
            </w:tcBorders>
            <w:shd w:val="clear" w:color="auto" w:fill="auto"/>
            <w:noWrap/>
            <w:vAlign w:val="center"/>
            <w:hideMark/>
          </w:tcPr>
          <w:p w14:paraId="2DB23D7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55</w:t>
            </w:r>
          </w:p>
        </w:tc>
        <w:tc>
          <w:tcPr>
            <w:tcW w:w="1300" w:type="dxa"/>
            <w:tcBorders>
              <w:top w:val="nil"/>
              <w:left w:val="nil"/>
              <w:bottom w:val="single" w:sz="4" w:space="0" w:color="auto"/>
              <w:right w:val="single" w:sz="4" w:space="0" w:color="auto"/>
            </w:tcBorders>
            <w:shd w:val="clear" w:color="auto" w:fill="auto"/>
            <w:noWrap/>
            <w:vAlign w:val="center"/>
            <w:hideMark/>
          </w:tcPr>
          <w:p w14:paraId="29EC88B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0.4126</w:t>
            </w:r>
          </w:p>
        </w:tc>
        <w:tc>
          <w:tcPr>
            <w:tcW w:w="1300" w:type="dxa"/>
            <w:tcBorders>
              <w:top w:val="nil"/>
              <w:left w:val="nil"/>
              <w:bottom w:val="single" w:sz="4" w:space="0" w:color="auto"/>
              <w:right w:val="single" w:sz="4" w:space="0" w:color="auto"/>
            </w:tcBorders>
            <w:shd w:val="clear" w:color="auto" w:fill="auto"/>
            <w:noWrap/>
            <w:vAlign w:val="center"/>
            <w:hideMark/>
          </w:tcPr>
          <w:p w14:paraId="7245E52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0.4609</w:t>
            </w:r>
          </w:p>
        </w:tc>
      </w:tr>
      <w:tr w:rsidR="00F47EA2" w:rsidRPr="00F47EA2" w14:paraId="119294CC"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C1BD5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32</w:t>
            </w:r>
          </w:p>
        </w:tc>
        <w:tc>
          <w:tcPr>
            <w:tcW w:w="1300" w:type="dxa"/>
            <w:tcBorders>
              <w:top w:val="nil"/>
              <w:left w:val="nil"/>
              <w:bottom w:val="single" w:sz="4" w:space="0" w:color="auto"/>
              <w:right w:val="single" w:sz="4" w:space="0" w:color="auto"/>
            </w:tcBorders>
            <w:shd w:val="clear" w:color="auto" w:fill="auto"/>
            <w:noWrap/>
            <w:vAlign w:val="center"/>
            <w:hideMark/>
          </w:tcPr>
          <w:p w14:paraId="758AC771"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0.6459</w:t>
            </w:r>
          </w:p>
        </w:tc>
        <w:tc>
          <w:tcPr>
            <w:tcW w:w="1300" w:type="dxa"/>
            <w:tcBorders>
              <w:top w:val="nil"/>
              <w:left w:val="nil"/>
              <w:bottom w:val="single" w:sz="4" w:space="0" w:color="auto"/>
              <w:right w:val="single" w:sz="4" w:space="0" w:color="auto"/>
            </w:tcBorders>
            <w:shd w:val="clear" w:color="auto" w:fill="auto"/>
            <w:noWrap/>
            <w:vAlign w:val="center"/>
            <w:hideMark/>
          </w:tcPr>
          <w:p w14:paraId="6812237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0.6654</w:t>
            </w:r>
          </w:p>
        </w:tc>
        <w:tc>
          <w:tcPr>
            <w:tcW w:w="1300" w:type="dxa"/>
            <w:tcBorders>
              <w:top w:val="nil"/>
              <w:left w:val="nil"/>
              <w:bottom w:val="single" w:sz="4" w:space="0" w:color="auto"/>
              <w:right w:val="single" w:sz="4" w:space="0" w:color="auto"/>
            </w:tcBorders>
            <w:shd w:val="clear" w:color="auto" w:fill="auto"/>
            <w:noWrap/>
            <w:vAlign w:val="center"/>
            <w:hideMark/>
          </w:tcPr>
          <w:p w14:paraId="1AE7C8A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56</w:t>
            </w:r>
          </w:p>
        </w:tc>
        <w:tc>
          <w:tcPr>
            <w:tcW w:w="1300" w:type="dxa"/>
            <w:tcBorders>
              <w:top w:val="nil"/>
              <w:left w:val="nil"/>
              <w:bottom w:val="single" w:sz="4" w:space="0" w:color="auto"/>
              <w:right w:val="single" w:sz="4" w:space="0" w:color="auto"/>
            </w:tcBorders>
            <w:shd w:val="clear" w:color="auto" w:fill="auto"/>
            <w:noWrap/>
            <w:vAlign w:val="center"/>
            <w:hideMark/>
          </w:tcPr>
          <w:p w14:paraId="490A680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0.4113</w:t>
            </w:r>
          </w:p>
        </w:tc>
        <w:tc>
          <w:tcPr>
            <w:tcW w:w="1300" w:type="dxa"/>
            <w:tcBorders>
              <w:top w:val="nil"/>
              <w:left w:val="nil"/>
              <w:bottom w:val="single" w:sz="4" w:space="0" w:color="auto"/>
              <w:right w:val="single" w:sz="4" w:space="0" w:color="auto"/>
            </w:tcBorders>
            <w:shd w:val="clear" w:color="auto" w:fill="auto"/>
            <w:noWrap/>
            <w:vAlign w:val="center"/>
            <w:hideMark/>
          </w:tcPr>
          <w:p w14:paraId="2F45531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0.4607</w:t>
            </w:r>
          </w:p>
        </w:tc>
      </w:tr>
      <w:tr w:rsidR="00F47EA2" w:rsidRPr="00F47EA2" w14:paraId="0814CA75"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6302F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33</w:t>
            </w:r>
          </w:p>
        </w:tc>
        <w:tc>
          <w:tcPr>
            <w:tcW w:w="1300" w:type="dxa"/>
            <w:tcBorders>
              <w:top w:val="nil"/>
              <w:left w:val="nil"/>
              <w:bottom w:val="single" w:sz="4" w:space="0" w:color="auto"/>
              <w:right w:val="single" w:sz="4" w:space="0" w:color="auto"/>
            </w:tcBorders>
            <w:shd w:val="clear" w:color="auto" w:fill="auto"/>
            <w:noWrap/>
            <w:vAlign w:val="center"/>
            <w:hideMark/>
          </w:tcPr>
          <w:p w14:paraId="54769C8B"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w:t>
            </w:r>
          </w:p>
        </w:tc>
        <w:tc>
          <w:tcPr>
            <w:tcW w:w="1300" w:type="dxa"/>
            <w:tcBorders>
              <w:top w:val="nil"/>
              <w:left w:val="nil"/>
              <w:bottom w:val="single" w:sz="4" w:space="0" w:color="auto"/>
              <w:right w:val="single" w:sz="4" w:space="0" w:color="auto"/>
            </w:tcBorders>
            <w:shd w:val="clear" w:color="auto" w:fill="auto"/>
            <w:noWrap/>
            <w:vAlign w:val="center"/>
            <w:hideMark/>
          </w:tcPr>
          <w:p w14:paraId="65606B4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0.6612</w:t>
            </w:r>
          </w:p>
        </w:tc>
        <w:tc>
          <w:tcPr>
            <w:tcW w:w="1300" w:type="dxa"/>
            <w:tcBorders>
              <w:top w:val="nil"/>
              <w:left w:val="nil"/>
              <w:bottom w:val="single" w:sz="4" w:space="0" w:color="auto"/>
              <w:right w:val="single" w:sz="4" w:space="0" w:color="auto"/>
            </w:tcBorders>
            <w:shd w:val="clear" w:color="auto" w:fill="auto"/>
            <w:noWrap/>
            <w:vAlign w:val="center"/>
            <w:hideMark/>
          </w:tcPr>
          <w:p w14:paraId="3F0009B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57</w:t>
            </w:r>
          </w:p>
        </w:tc>
        <w:tc>
          <w:tcPr>
            <w:tcW w:w="1300" w:type="dxa"/>
            <w:tcBorders>
              <w:top w:val="nil"/>
              <w:left w:val="nil"/>
              <w:bottom w:val="single" w:sz="4" w:space="0" w:color="auto"/>
              <w:right w:val="single" w:sz="4" w:space="0" w:color="auto"/>
            </w:tcBorders>
            <w:shd w:val="clear" w:color="auto" w:fill="auto"/>
            <w:noWrap/>
            <w:vAlign w:val="center"/>
            <w:hideMark/>
          </w:tcPr>
          <w:p w14:paraId="7F8073A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0.4063</w:t>
            </w:r>
          </w:p>
        </w:tc>
        <w:tc>
          <w:tcPr>
            <w:tcW w:w="1300" w:type="dxa"/>
            <w:tcBorders>
              <w:top w:val="nil"/>
              <w:left w:val="nil"/>
              <w:bottom w:val="single" w:sz="4" w:space="0" w:color="auto"/>
              <w:right w:val="single" w:sz="4" w:space="0" w:color="auto"/>
            </w:tcBorders>
            <w:shd w:val="clear" w:color="auto" w:fill="auto"/>
            <w:noWrap/>
            <w:vAlign w:val="center"/>
            <w:hideMark/>
          </w:tcPr>
          <w:p w14:paraId="7DE2FD1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0.4737</w:t>
            </w:r>
          </w:p>
        </w:tc>
      </w:tr>
      <w:tr w:rsidR="00F47EA2" w:rsidRPr="00F47EA2" w14:paraId="681147A2"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A78F4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34</w:t>
            </w:r>
          </w:p>
        </w:tc>
        <w:tc>
          <w:tcPr>
            <w:tcW w:w="1300" w:type="dxa"/>
            <w:tcBorders>
              <w:top w:val="nil"/>
              <w:left w:val="nil"/>
              <w:bottom w:val="single" w:sz="4" w:space="0" w:color="auto"/>
              <w:right w:val="single" w:sz="4" w:space="0" w:color="auto"/>
            </w:tcBorders>
            <w:shd w:val="clear" w:color="auto" w:fill="auto"/>
            <w:noWrap/>
            <w:vAlign w:val="center"/>
            <w:hideMark/>
          </w:tcPr>
          <w:p w14:paraId="5731113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0.6383</w:t>
            </w:r>
          </w:p>
        </w:tc>
        <w:tc>
          <w:tcPr>
            <w:tcW w:w="1300" w:type="dxa"/>
            <w:tcBorders>
              <w:top w:val="nil"/>
              <w:left w:val="nil"/>
              <w:bottom w:val="single" w:sz="4" w:space="0" w:color="auto"/>
              <w:right w:val="single" w:sz="4" w:space="0" w:color="auto"/>
            </w:tcBorders>
            <w:shd w:val="clear" w:color="auto" w:fill="auto"/>
            <w:noWrap/>
            <w:vAlign w:val="center"/>
            <w:hideMark/>
          </w:tcPr>
          <w:p w14:paraId="106DD36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0.6545</w:t>
            </w:r>
          </w:p>
        </w:tc>
        <w:tc>
          <w:tcPr>
            <w:tcW w:w="1300" w:type="dxa"/>
            <w:tcBorders>
              <w:top w:val="nil"/>
              <w:left w:val="nil"/>
              <w:bottom w:val="single" w:sz="4" w:space="0" w:color="auto"/>
              <w:right w:val="single" w:sz="4" w:space="0" w:color="auto"/>
            </w:tcBorders>
            <w:shd w:val="clear" w:color="auto" w:fill="auto"/>
            <w:noWrap/>
            <w:vAlign w:val="center"/>
            <w:hideMark/>
          </w:tcPr>
          <w:p w14:paraId="605301C2"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58</w:t>
            </w:r>
          </w:p>
        </w:tc>
        <w:tc>
          <w:tcPr>
            <w:tcW w:w="1300" w:type="dxa"/>
            <w:tcBorders>
              <w:top w:val="nil"/>
              <w:left w:val="nil"/>
              <w:bottom w:val="single" w:sz="4" w:space="0" w:color="auto"/>
              <w:right w:val="single" w:sz="4" w:space="0" w:color="auto"/>
            </w:tcBorders>
            <w:shd w:val="clear" w:color="auto" w:fill="auto"/>
            <w:noWrap/>
            <w:vAlign w:val="center"/>
            <w:hideMark/>
          </w:tcPr>
          <w:p w14:paraId="6B77614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0.4129</w:t>
            </w:r>
          </w:p>
        </w:tc>
        <w:tc>
          <w:tcPr>
            <w:tcW w:w="1300" w:type="dxa"/>
            <w:tcBorders>
              <w:top w:val="nil"/>
              <w:left w:val="nil"/>
              <w:bottom w:val="single" w:sz="4" w:space="0" w:color="auto"/>
              <w:right w:val="single" w:sz="4" w:space="0" w:color="auto"/>
            </w:tcBorders>
            <w:shd w:val="clear" w:color="auto" w:fill="auto"/>
            <w:noWrap/>
            <w:vAlign w:val="center"/>
            <w:hideMark/>
          </w:tcPr>
          <w:p w14:paraId="5DDC50B6"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0.463</w:t>
            </w:r>
          </w:p>
        </w:tc>
      </w:tr>
      <w:tr w:rsidR="00F47EA2" w:rsidRPr="00F47EA2" w14:paraId="19EC52DA"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9F5F2C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35</w:t>
            </w:r>
          </w:p>
        </w:tc>
        <w:tc>
          <w:tcPr>
            <w:tcW w:w="1300" w:type="dxa"/>
            <w:tcBorders>
              <w:top w:val="nil"/>
              <w:left w:val="nil"/>
              <w:bottom w:val="single" w:sz="4" w:space="0" w:color="auto"/>
              <w:right w:val="single" w:sz="4" w:space="0" w:color="auto"/>
            </w:tcBorders>
            <w:shd w:val="clear" w:color="auto" w:fill="auto"/>
            <w:noWrap/>
            <w:vAlign w:val="center"/>
            <w:hideMark/>
          </w:tcPr>
          <w:p w14:paraId="6B70CAAF"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0.638</w:t>
            </w:r>
          </w:p>
        </w:tc>
        <w:tc>
          <w:tcPr>
            <w:tcW w:w="1300" w:type="dxa"/>
            <w:tcBorders>
              <w:top w:val="nil"/>
              <w:left w:val="nil"/>
              <w:bottom w:val="single" w:sz="4" w:space="0" w:color="auto"/>
              <w:right w:val="single" w:sz="4" w:space="0" w:color="auto"/>
            </w:tcBorders>
            <w:shd w:val="clear" w:color="auto" w:fill="auto"/>
            <w:noWrap/>
            <w:vAlign w:val="center"/>
            <w:hideMark/>
          </w:tcPr>
          <w:p w14:paraId="611C938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0.6496</w:t>
            </w:r>
          </w:p>
        </w:tc>
        <w:tc>
          <w:tcPr>
            <w:tcW w:w="1300" w:type="dxa"/>
            <w:tcBorders>
              <w:top w:val="nil"/>
              <w:left w:val="nil"/>
              <w:bottom w:val="single" w:sz="4" w:space="0" w:color="auto"/>
              <w:right w:val="single" w:sz="4" w:space="0" w:color="auto"/>
            </w:tcBorders>
            <w:shd w:val="clear" w:color="auto" w:fill="auto"/>
            <w:noWrap/>
            <w:vAlign w:val="center"/>
            <w:hideMark/>
          </w:tcPr>
          <w:p w14:paraId="2054C14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59</w:t>
            </w:r>
          </w:p>
        </w:tc>
        <w:tc>
          <w:tcPr>
            <w:tcW w:w="1300" w:type="dxa"/>
            <w:tcBorders>
              <w:top w:val="nil"/>
              <w:left w:val="nil"/>
              <w:bottom w:val="single" w:sz="4" w:space="0" w:color="auto"/>
              <w:right w:val="single" w:sz="4" w:space="0" w:color="auto"/>
            </w:tcBorders>
            <w:shd w:val="clear" w:color="auto" w:fill="auto"/>
            <w:noWrap/>
            <w:vAlign w:val="center"/>
            <w:hideMark/>
          </w:tcPr>
          <w:p w14:paraId="6E872704"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0.421</w:t>
            </w:r>
          </w:p>
        </w:tc>
        <w:tc>
          <w:tcPr>
            <w:tcW w:w="1300" w:type="dxa"/>
            <w:tcBorders>
              <w:top w:val="nil"/>
              <w:left w:val="nil"/>
              <w:bottom w:val="single" w:sz="4" w:space="0" w:color="auto"/>
              <w:right w:val="single" w:sz="4" w:space="0" w:color="auto"/>
            </w:tcBorders>
            <w:shd w:val="clear" w:color="auto" w:fill="auto"/>
            <w:noWrap/>
            <w:vAlign w:val="center"/>
            <w:hideMark/>
          </w:tcPr>
          <w:p w14:paraId="51F0B21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0.4454</w:t>
            </w:r>
          </w:p>
        </w:tc>
      </w:tr>
      <w:tr w:rsidR="00F47EA2" w:rsidRPr="00F47EA2" w14:paraId="03DD4125"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A3347C5"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36</w:t>
            </w:r>
          </w:p>
        </w:tc>
        <w:tc>
          <w:tcPr>
            <w:tcW w:w="1300" w:type="dxa"/>
            <w:tcBorders>
              <w:top w:val="nil"/>
              <w:left w:val="nil"/>
              <w:bottom w:val="single" w:sz="4" w:space="0" w:color="auto"/>
              <w:right w:val="single" w:sz="4" w:space="0" w:color="auto"/>
            </w:tcBorders>
            <w:shd w:val="clear" w:color="auto" w:fill="auto"/>
            <w:noWrap/>
            <w:vAlign w:val="center"/>
            <w:hideMark/>
          </w:tcPr>
          <w:p w14:paraId="3C550A7D"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0.6354</w:t>
            </w:r>
          </w:p>
        </w:tc>
        <w:tc>
          <w:tcPr>
            <w:tcW w:w="1300" w:type="dxa"/>
            <w:tcBorders>
              <w:top w:val="nil"/>
              <w:left w:val="nil"/>
              <w:bottom w:val="single" w:sz="4" w:space="0" w:color="auto"/>
              <w:right w:val="single" w:sz="4" w:space="0" w:color="auto"/>
            </w:tcBorders>
            <w:shd w:val="clear" w:color="auto" w:fill="auto"/>
            <w:noWrap/>
            <w:vAlign w:val="center"/>
            <w:hideMark/>
          </w:tcPr>
          <w:p w14:paraId="2580208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0.6502</w:t>
            </w:r>
          </w:p>
        </w:tc>
        <w:tc>
          <w:tcPr>
            <w:tcW w:w="1300" w:type="dxa"/>
            <w:tcBorders>
              <w:top w:val="nil"/>
              <w:left w:val="nil"/>
              <w:bottom w:val="single" w:sz="4" w:space="0" w:color="auto"/>
              <w:right w:val="single" w:sz="4" w:space="0" w:color="auto"/>
            </w:tcBorders>
            <w:shd w:val="clear" w:color="auto" w:fill="auto"/>
            <w:noWrap/>
            <w:vAlign w:val="center"/>
            <w:hideMark/>
          </w:tcPr>
          <w:p w14:paraId="3F6D6B1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60</w:t>
            </w:r>
          </w:p>
        </w:tc>
        <w:tc>
          <w:tcPr>
            <w:tcW w:w="1300" w:type="dxa"/>
            <w:tcBorders>
              <w:top w:val="nil"/>
              <w:left w:val="nil"/>
              <w:bottom w:val="single" w:sz="4" w:space="0" w:color="auto"/>
              <w:right w:val="single" w:sz="4" w:space="0" w:color="auto"/>
            </w:tcBorders>
            <w:shd w:val="clear" w:color="auto" w:fill="auto"/>
            <w:noWrap/>
            <w:vAlign w:val="center"/>
            <w:hideMark/>
          </w:tcPr>
          <w:p w14:paraId="63B2D94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0.4172</w:t>
            </w:r>
          </w:p>
        </w:tc>
        <w:tc>
          <w:tcPr>
            <w:tcW w:w="1300" w:type="dxa"/>
            <w:tcBorders>
              <w:top w:val="nil"/>
              <w:left w:val="nil"/>
              <w:bottom w:val="single" w:sz="4" w:space="0" w:color="auto"/>
              <w:right w:val="single" w:sz="4" w:space="0" w:color="auto"/>
            </w:tcBorders>
            <w:shd w:val="clear" w:color="auto" w:fill="auto"/>
            <w:noWrap/>
            <w:vAlign w:val="center"/>
            <w:hideMark/>
          </w:tcPr>
          <w:p w14:paraId="5F456269"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0.4562</w:t>
            </w:r>
          </w:p>
        </w:tc>
      </w:tr>
      <w:tr w:rsidR="00F47EA2" w:rsidRPr="00F47EA2" w14:paraId="6BE99077" w14:textId="77777777" w:rsidTr="00F47EA2">
        <w:trPr>
          <w:trHeight w:val="28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18EA9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37</w:t>
            </w:r>
          </w:p>
        </w:tc>
        <w:tc>
          <w:tcPr>
            <w:tcW w:w="1300" w:type="dxa"/>
            <w:tcBorders>
              <w:top w:val="nil"/>
              <w:left w:val="nil"/>
              <w:bottom w:val="single" w:sz="4" w:space="0" w:color="auto"/>
              <w:right w:val="single" w:sz="4" w:space="0" w:color="auto"/>
            </w:tcBorders>
            <w:shd w:val="clear" w:color="auto" w:fill="auto"/>
            <w:noWrap/>
            <w:vAlign w:val="center"/>
            <w:hideMark/>
          </w:tcPr>
          <w:p w14:paraId="08ECFEB3"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0.6322</w:t>
            </w:r>
          </w:p>
        </w:tc>
        <w:tc>
          <w:tcPr>
            <w:tcW w:w="1300" w:type="dxa"/>
            <w:tcBorders>
              <w:top w:val="nil"/>
              <w:left w:val="nil"/>
              <w:bottom w:val="single" w:sz="4" w:space="0" w:color="auto"/>
              <w:right w:val="single" w:sz="4" w:space="0" w:color="auto"/>
            </w:tcBorders>
            <w:shd w:val="clear" w:color="auto" w:fill="auto"/>
            <w:noWrap/>
            <w:vAlign w:val="center"/>
            <w:hideMark/>
          </w:tcPr>
          <w:p w14:paraId="06F3C9F6"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0.6423</w:t>
            </w:r>
          </w:p>
        </w:tc>
        <w:tc>
          <w:tcPr>
            <w:tcW w:w="1300" w:type="dxa"/>
            <w:tcBorders>
              <w:top w:val="nil"/>
              <w:left w:val="nil"/>
              <w:bottom w:val="single" w:sz="4" w:space="0" w:color="auto"/>
              <w:right w:val="single" w:sz="4" w:space="0" w:color="auto"/>
            </w:tcBorders>
            <w:shd w:val="clear" w:color="auto" w:fill="auto"/>
            <w:noWrap/>
            <w:vAlign w:val="center"/>
            <w:hideMark/>
          </w:tcPr>
          <w:p w14:paraId="519786E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61</w:t>
            </w:r>
          </w:p>
        </w:tc>
        <w:tc>
          <w:tcPr>
            <w:tcW w:w="1300" w:type="dxa"/>
            <w:tcBorders>
              <w:top w:val="nil"/>
              <w:left w:val="nil"/>
              <w:bottom w:val="single" w:sz="4" w:space="0" w:color="auto"/>
              <w:right w:val="single" w:sz="4" w:space="0" w:color="auto"/>
            </w:tcBorders>
            <w:shd w:val="clear" w:color="auto" w:fill="auto"/>
            <w:noWrap/>
            <w:vAlign w:val="center"/>
            <w:hideMark/>
          </w:tcPr>
          <w:p w14:paraId="3D204AE0"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0.3995</w:t>
            </w:r>
          </w:p>
        </w:tc>
        <w:tc>
          <w:tcPr>
            <w:tcW w:w="1300" w:type="dxa"/>
            <w:tcBorders>
              <w:top w:val="nil"/>
              <w:left w:val="nil"/>
              <w:bottom w:val="single" w:sz="4" w:space="0" w:color="auto"/>
              <w:right w:val="single" w:sz="4" w:space="0" w:color="auto"/>
            </w:tcBorders>
            <w:shd w:val="clear" w:color="auto" w:fill="auto"/>
            <w:noWrap/>
            <w:vAlign w:val="center"/>
            <w:hideMark/>
          </w:tcPr>
          <w:p w14:paraId="1AE55B3A"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0.4444</w:t>
            </w:r>
          </w:p>
        </w:tc>
      </w:tr>
      <w:tr w:rsidR="00F47EA2" w:rsidRPr="00F47EA2" w14:paraId="25054F73" w14:textId="77777777" w:rsidTr="00F47EA2">
        <w:trPr>
          <w:trHeight w:val="293"/>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58219C"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38</w:t>
            </w:r>
          </w:p>
        </w:tc>
        <w:tc>
          <w:tcPr>
            <w:tcW w:w="1300" w:type="dxa"/>
            <w:tcBorders>
              <w:top w:val="nil"/>
              <w:left w:val="nil"/>
              <w:bottom w:val="single" w:sz="4" w:space="0" w:color="auto"/>
              <w:right w:val="single" w:sz="4" w:space="0" w:color="auto"/>
            </w:tcBorders>
            <w:shd w:val="clear" w:color="auto" w:fill="auto"/>
            <w:noWrap/>
            <w:vAlign w:val="center"/>
            <w:hideMark/>
          </w:tcPr>
          <w:p w14:paraId="220E4B98"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0.6287</w:t>
            </w:r>
          </w:p>
        </w:tc>
        <w:tc>
          <w:tcPr>
            <w:tcW w:w="1300" w:type="dxa"/>
            <w:tcBorders>
              <w:top w:val="nil"/>
              <w:left w:val="nil"/>
              <w:bottom w:val="single" w:sz="4" w:space="0" w:color="auto"/>
              <w:right w:val="single" w:sz="4" w:space="0" w:color="auto"/>
            </w:tcBorders>
            <w:shd w:val="clear" w:color="auto" w:fill="auto"/>
            <w:noWrap/>
            <w:vAlign w:val="center"/>
            <w:hideMark/>
          </w:tcPr>
          <w:p w14:paraId="1976CBAE" w14:textId="77777777" w:rsidR="00F47EA2" w:rsidRPr="00F47EA2" w:rsidRDefault="00F47EA2" w:rsidP="00F47EA2">
            <w:pPr>
              <w:spacing w:after="0" w:line="240" w:lineRule="auto"/>
              <w:jc w:val="center"/>
              <w:rPr>
                <w:rFonts w:eastAsia="Times New Roman" w:cs="Times New Roman"/>
                <w:color w:val="000000"/>
                <w:kern w:val="0"/>
                <w:sz w:val="18"/>
                <w:szCs w:val="18"/>
                <w:lang w:eastAsia="en-GB"/>
                <w14:ligatures w14:val="none"/>
              </w:rPr>
            </w:pPr>
            <w:r w:rsidRPr="00F47EA2">
              <w:rPr>
                <w:rFonts w:eastAsia="Times New Roman" w:cs="Times New Roman"/>
                <w:color w:val="000000"/>
                <w:kern w:val="0"/>
                <w:sz w:val="18"/>
                <w:szCs w:val="18"/>
                <w:lang w:val="es-419" w:eastAsia="en-GB"/>
                <w14:ligatures w14:val="none"/>
              </w:rPr>
              <w:t>0.6368</w:t>
            </w:r>
          </w:p>
        </w:tc>
        <w:tc>
          <w:tcPr>
            <w:tcW w:w="1300" w:type="dxa"/>
            <w:tcBorders>
              <w:top w:val="nil"/>
              <w:left w:val="nil"/>
              <w:bottom w:val="single" w:sz="4" w:space="0" w:color="auto"/>
              <w:right w:val="single" w:sz="4" w:space="0" w:color="auto"/>
            </w:tcBorders>
            <w:shd w:val="clear" w:color="auto" w:fill="auto"/>
            <w:noWrap/>
            <w:vAlign w:val="bottom"/>
            <w:hideMark/>
          </w:tcPr>
          <w:p w14:paraId="7D70944B" w14:textId="77777777" w:rsidR="00F47EA2" w:rsidRPr="00F47EA2" w:rsidRDefault="00F47EA2" w:rsidP="00F47EA2">
            <w:pPr>
              <w:spacing w:after="0" w:line="240" w:lineRule="auto"/>
              <w:jc w:val="left"/>
              <w:rPr>
                <w:rFonts w:ascii="Aptos Narrow" w:eastAsia="Times New Roman" w:hAnsi="Aptos Narrow" w:cs="Times New Roman"/>
                <w:color w:val="000000"/>
                <w:kern w:val="0"/>
                <w:sz w:val="22"/>
                <w:lang w:eastAsia="en-GB"/>
                <w14:ligatures w14:val="none"/>
              </w:rPr>
            </w:pPr>
            <w:r w:rsidRPr="00F47EA2">
              <w:rPr>
                <w:rFonts w:ascii="Aptos Narrow" w:eastAsia="Times New Roman" w:hAnsi="Aptos Narrow" w:cs="Times New Roman"/>
                <w:color w:val="000000"/>
                <w:kern w:val="0"/>
                <w:sz w:val="22"/>
                <w:lang w:eastAsia="en-GB"/>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60964" w14:textId="77777777" w:rsidR="00F47EA2" w:rsidRPr="00F47EA2" w:rsidRDefault="00F47EA2" w:rsidP="00F47EA2">
            <w:pPr>
              <w:spacing w:after="0" w:line="240" w:lineRule="auto"/>
              <w:jc w:val="left"/>
              <w:rPr>
                <w:rFonts w:ascii="Aptos Narrow" w:eastAsia="Times New Roman" w:hAnsi="Aptos Narrow" w:cs="Times New Roman"/>
                <w:color w:val="000000"/>
                <w:kern w:val="0"/>
                <w:sz w:val="22"/>
                <w:lang w:eastAsia="en-GB"/>
                <w14:ligatures w14:val="none"/>
              </w:rPr>
            </w:pPr>
            <w:r w:rsidRPr="00F47EA2">
              <w:rPr>
                <w:rFonts w:ascii="Aptos Narrow" w:eastAsia="Times New Roman" w:hAnsi="Aptos Narrow" w:cs="Times New Roman"/>
                <w:color w:val="000000"/>
                <w:kern w:val="0"/>
                <w:sz w:val="22"/>
                <w:lang w:eastAsia="en-GB"/>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D31CD2" w14:textId="77777777" w:rsidR="00F47EA2" w:rsidRPr="00F47EA2" w:rsidRDefault="00F47EA2" w:rsidP="00F47EA2">
            <w:pPr>
              <w:spacing w:after="0" w:line="240" w:lineRule="auto"/>
              <w:jc w:val="left"/>
              <w:rPr>
                <w:rFonts w:ascii="Aptos Narrow" w:eastAsia="Times New Roman" w:hAnsi="Aptos Narrow" w:cs="Times New Roman"/>
                <w:color w:val="000000"/>
                <w:kern w:val="0"/>
                <w:sz w:val="22"/>
                <w:lang w:eastAsia="en-GB"/>
                <w14:ligatures w14:val="none"/>
              </w:rPr>
            </w:pPr>
            <w:r w:rsidRPr="00F47EA2">
              <w:rPr>
                <w:rFonts w:ascii="Aptos Narrow" w:eastAsia="Times New Roman" w:hAnsi="Aptos Narrow" w:cs="Times New Roman"/>
                <w:color w:val="000000"/>
                <w:kern w:val="0"/>
                <w:sz w:val="22"/>
                <w:lang w:eastAsia="en-GB"/>
                <w14:ligatures w14:val="none"/>
              </w:rPr>
              <w:t> </w:t>
            </w:r>
          </w:p>
        </w:tc>
      </w:tr>
    </w:tbl>
    <w:p w14:paraId="6D42BE54" w14:textId="77777777" w:rsidR="004263D5" w:rsidRPr="00C56EC9" w:rsidRDefault="004263D5" w:rsidP="001C291D">
      <w:pPr>
        <w:rPr>
          <w:lang w:val="es-419"/>
        </w:rPr>
      </w:pPr>
    </w:p>
    <w:p w14:paraId="19427B1D" w14:textId="7F8FED56" w:rsidR="00913BB9" w:rsidRPr="00C56EC9" w:rsidRDefault="007B4F9A" w:rsidP="001C291D">
      <w:pPr>
        <w:rPr>
          <w:b/>
          <w:bCs/>
          <w:lang w:val="es-419"/>
        </w:rPr>
      </w:pPr>
      <w:r w:rsidRPr="00C56EC9">
        <w:rPr>
          <w:b/>
          <w:bCs/>
          <w:lang w:val="es-419"/>
        </w:rPr>
        <w:t>Mortalidad e invalidez</w:t>
      </w:r>
    </w:p>
    <w:p w14:paraId="6CEDE79A" w14:textId="2BB0CF79" w:rsidR="001C291D" w:rsidRDefault="001C291D" w:rsidP="001C291D">
      <w:pPr>
        <w:rPr>
          <w:lang w:val="es-419"/>
        </w:rPr>
      </w:pPr>
      <w:r w:rsidRPr="00C56EC9">
        <w:rPr>
          <w:lang w:val="es-419"/>
        </w:rPr>
        <w:t>Con respecto a la mortalidad e invalidez, e</w:t>
      </w:r>
      <w:r w:rsidR="00525E2C" w:rsidRPr="00C56EC9">
        <w:rPr>
          <w:lang w:val="es-419"/>
        </w:rPr>
        <w:t>l análisis incorpora funciones que reflejan las probabilidades de mortalidad e invalidez, ajustadas según el estudio estadístico de 2020. Estas probabilidades se calculan para asegurados activos, inactivos y pensionados, y están desglosadas por género y edad.</w:t>
      </w:r>
      <w:r w:rsidRPr="00C56EC9">
        <w:rPr>
          <w:lang w:val="es-419"/>
        </w:rPr>
        <w:t xml:space="preserve"> La estructura familiar prevista para los beneficiarios sobrevivientes, según el informe permite una asignación más eficiente y justa de los beneficios, considerando las diferencias en la composición familiar y las necesidades individuales.</w:t>
      </w:r>
    </w:p>
    <w:p w14:paraId="39140D14" w14:textId="514693FA" w:rsidR="00710F49" w:rsidRDefault="00710F49" w:rsidP="001C291D">
      <w:pPr>
        <w:rPr>
          <w:lang w:val="es-419"/>
        </w:rPr>
      </w:pPr>
    </w:p>
    <w:p w14:paraId="1BA7C440" w14:textId="0E208A58" w:rsidR="00710F49" w:rsidRDefault="00710F49" w:rsidP="001C291D">
      <w:pPr>
        <w:rPr>
          <w:lang w:val="es-419"/>
        </w:rPr>
      </w:pPr>
    </w:p>
    <w:p w14:paraId="11680333" w14:textId="77777777" w:rsidR="00710F49" w:rsidRPr="00C56EC9" w:rsidRDefault="00710F49" w:rsidP="001C291D">
      <w:pPr>
        <w:rPr>
          <w:lang w:val="es-419"/>
        </w:rPr>
      </w:pPr>
    </w:p>
    <w:p w14:paraId="7DDB02AA" w14:textId="79F75F2C" w:rsidR="001C291D" w:rsidRPr="00C56EC9" w:rsidRDefault="00DD14BF" w:rsidP="00DD14BF">
      <w:pPr>
        <w:pStyle w:val="Grfico"/>
      </w:pPr>
      <w:r w:rsidRPr="00C56EC9">
        <w:lastRenderedPageBreak/>
        <w:t xml:space="preserve">Tabla </w:t>
      </w:r>
      <w:r w:rsidRPr="00C56EC9">
        <w:fldChar w:fldCharType="begin"/>
      </w:r>
      <w:r w:rsidRPr="00C56EC9">
        <w:instrText xml:space="preserve"> SEQ Tabla \* ARABIC </w:instrText>
      </w:r>
      <w:r w:rsidRPr="00C56EC9">
        <w:fldChar w:fldCharType="separate"/>
      </w:r>
      <w:r w:rsidR="00B24233">
        <w:rPr>
          <w:noProof/>
        </w:rPr>
        <w:t>6</w:t>
      </w:r>
      <w:r w:rsidRPr="00C56EC9">
        <w:fldChar w:fldCharType="end"/>
      </w:r>
      <w:r w:rsidRPr="00C56EC9">
        <w:t>. Factores de mortalidad e invalidez</w:t>
      </w:r>
    </w:p>
    <w:tbl>
      <w:tblPr>
        <w:tblW w:w="5000" w:type="pct"/>
        <w:tblLayout w:type="fixed"/>
        <w:tblLook w:val="04A0" w:firstRow="1" w:lastRow="0" w:firstColumn="1" w:lastColumn="0" w:noHBand="0" w:noVBand="1"/>
      </w:tblPr>
      <w:tblGrid>
        <w:gridCol w:w="700"/>
        <w:gridCol w:w="1300"/>
        <w:gridCol w:w="1291"/>
        <w:gridCol w:w="1034"/>
        <w:gridCol w:w="1178"/>
        <w:gridCol w:w="1291"/>
        <w:gridCol w:w="1034"/>
        <w:gridCol w:w="1178"/>
      </w:tblGrid>
      <w:tr w:rsidR="00E209AA" w:rsidRPr="00EC2801" w14:paraId="48259EC9" w14:textId="77777777" w:rsidTr="00710F49">
        <w:trPr>
          <w:trHeight w:val="413"/>
          <w:tblHeader/>
        </w:trPr>
        <w:tc>
          <w:tcPr>
            <w:tcW w:w="388" w:type="pct"/>
            <w:vMerge w:val="restart"/>
            <w:tcBorders>
              <w:top w:val="single" w:sz="8" w:space="0" w:color="auto"/>
              <w:left w:val="single" w:sz="8" w:space="0" w:color="auto"/>
              <w:bottom w:val="single" w:sz="4" w:space="0" w:color="auto"/>
              <w:right w:val="nil"/>
            </w:tcBorders>
            <w:shd w:val="clear" w:color="auto" w:fill="auto"/>
            <w:noWrap/>
            <w:vAlign w:val="center"/>
            <w:hideMark/>
          </w:tcPr>
          <w:p w14:paraId="330291BE" w14:textId="77777777" w:rsidR="00EC2801" w:rsidRPr="00EC2801" w:rsidRDefault="00EC2801" w:rsidP="00EC2801">
            <w:pPr>
              <w:pStyle w:val="Tablas"/>
              <w:rPr>
                <w:b/>
                <w:bCs w:val="0"/>
                <w:sz w:val="18"/>
                <w:szCs w:val="18"/>
              </w:rPr>
            </w:pPr>
            <w:r w:rsidRPr="00EC2801">
              <w:rPr>
                <w:b/>
                <w:bCs w:val="0"/>
                <w:sz w:val="18"/>
                <w:szCs w:val="18"/>
              </w:rPr>
              <w:t>Edad</w:t>
            </w:r>
          </w:p>
        </w:tc>
        <w:tc>
          <w:tcPr>
            <w:tcW w:w="722" w:type="pct"/>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049DE6B1" w14:textId="5E4F7BF7" w:rsidR="00EC2801" w:rsidRPr="00EC2801" w:rsidRDefault="00EC2801" w:rsidP="00EC2801">
            <w:pPr>
              <w:pStyle w:val="Tablas"/>
              <w:rPr>
                <w:b/>
                <w:bCs w:val="0"/>
                <w:sz w:val="18"/>
                <w:szCs w:val="18"/>
              </w:rPr>
            </w:pPr>
            <w:proofErr w:type="spellStart"/>
            <w:r w:rsidRPr="00EC2801">
              <w:rPr>
                <w:b/>
                <w:bCs w:val="0"/>
                <w:sz w:val="18"/>
                <w:szCs w:val="18"/>
              </w:rPr>
              <w:t>Prob</w:t>
            </w:r>
            <w:proofErr w:type="spellEnd"/>
            <w:r w:rsidRPr="00EC2801">
              <w:rPr>
                <w:b/>
                <w:bCs w:val="0"/>
                <w:sz w:val="18"/>
                <w:szCs w:val="18"/>
              </w:rPr>
              <w:t>.</w:t>
            </w:r>
            <w:r w:rsidR="00710F49">
              <w:rPr>
                <w:b/>
                <w:bCs w:val="0"/>
                <w:sz w:val="18"/>
                <w:szCs w:val="18"/>
              </w:rPr>
              <w:t xml:space="preserve"> </w:t>
            </w:r>
            <w:r w:rsidRPr="00EC2801">
              <w:rPr>
                <w:b/>
                <w:bCs w:val="0"/>
                <w:sz w:val="18"/>
                <w:szCs w:val="18"/>
              </w:rPr>
              <w:t>unión conyugal</w:t>
            </w:r>
          </w:p>
        </w:tc>
        <w:tc>
          <w:tcPr>
            <w:tcW w:w="1945"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38A7BE69" w14:textId="77777777" w:rsidR="00EC2801" w:rsidRPr="00EC2801" w:rsidRDefault="00EC2801" w:rsidP="00EC2801">
            <w:pPr>
              <w:pStyle w:val="Tablas"/>
              <w:rPr>
                <w:b/>
                <w:bCs w:val="0"/>
                <w:sz w:val="18"/>
                <w:szCs w:val="18"/>
              </w:rPr>
            </w:pPr>
            <w:r w:rsidRPr="00EC2801">
              <w:rPr>
                <w:b/>
                <w:bCs w:val="0"/>
                <w:sz w:val="18"/>
                <w:szCs w:val="18"/>
              </w:rPr>
              <w:t>Hombres</w:t>
            </w:r>
          </w:p>
        </w:tc>
        <w:tc>
          <w:tcPr>
            <w:tcW w:w="1945"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16409F22" w14:textId="77777777" w:rsidR="00EC2801" w:rsidRPr="00EC2801" w:rsidRDefault="00EC2801" w:rsidP="00EC2801">
            <w:pPr>
              <w:pStyle w:val="Tablas"/>
              <w:rPr>
                <w:b/>
                <w:bCs w:val="0"/>
                <w:sz w:val="18"/>
                <w:szCs w:val="18"/>
              </w:rPr>
            </w:pPr>
            <w:r w:rsidRPr="00EC2801">
              <w:rPr>
                <w:b/>
                <w:bCs w:val="0"/>
                <w:sz w:val="18"/>
                <w:szCs w:val="18"/>
              </w:rPr>
              <w:t>Mujeres</w:t>
            </w:r>
          </w:p>
        </w:tc>
      </w:tr>
      <w:tr w:rsidR="00EC2801" w:rsidRPr="00EC2801" w14:paraId="01401375" w14:textId="77777777" w:rsidTr="00710F49">
        <w:trPr>
          <w:trHeight w:val="285"/>
          <w:tblHeader/>
        </w:trPr>
        <w:tc>
          <w:tcPr>
            <w:tcW w:w="388" w:type="pct"/>
            <w:vMerge/>
            <w:tcBorders>
              <w:top w:val="single" w:sz="8" w:space="0" w:color="auto"/>
              <w:left w:val="single" w:sz="8" w:space="0" w:color="auto"/>
              <w:bottom w:val="single" w:sz="4" w:space="0" w:color="auto"/>
              <w:right w:val="nil"/>
            </w:tcBorders>
            <w:vAlign w:val="center"/>
            <w:hideMark/>
          </w:tcPr>
          <w:p w14:paraId="66497124" w14:textId="77777777" w:rsidR="00EC2801" w:rsidRPr="00EC2801" w:rsidRDefault="00EC2801" w:rsidP="00EC2801">
            <w:pPr>
              <w:pStyle w:val="Tablas"/>
              <w:rPr>
                <w:b/>
                <w:bCs w:val="0"/>
                <w:sz w:val="18"/>
                <w:szCs w:val="18"/>
              </w:rPr>
            </w:pPr>
          </w:p>
        </w:tc>
        <w:tc>
          <w:tcPr>
            <w:tcW w:w="722" w:type="pct"/>
            <w:vMerge/>
            <w:tcBorders>
              <w:top w:val="single" w:sz="8" w:space="0" w:color="auto"/>
              <w:left w:val="single" w:sz="8" w:space="0" w:color="auto"/>
              <w:bottom w:val="single" w:sz="4" w:space="0" w:color="000000"/>
              <w:right w:val="single" w:sz="8" w:space="0" w:color="auto"/>
            </w:tcBorders>
            <w:vAlign w:val="center"/>
            <w:hideMark/>
          </w:tcPr>
          <w:p w14:paraId="2A86500A" w14:textId="77777777" w:rsidR="00EC2801" w:rsidRPr="00EC2801" w:rsidRDefault="00EC2801" w:rsidP="00EC2801">
            <w:pPr>
              <w:pStyle w:val="Tablas"/>
              <w:rPr>
                <w:b/>
                <w:bCs w:val="0"/>
                <w:sz w:val="18"/>
                <w:szCs w:val="18"/>
              </w:rPr>
            </w:pPr>
          </w:p>
        </w:tc>
        <w:tc>
          <w:tcPr>
            <w:tcW w:w="717" w:type="pct"/>
            <w:tcBorders>
              <w:top w:val="nil"/>
              <w:left w:val="nil"/>
              <w:bottom w:val="single" w:sz="4" w:space="0" w:color="auto"/>
              <w:right w:val="single" w:sz="4" w:space="0" w:color="auto"/>
            </w:tcBorders>
            <w:shd w:val="clear" w:color="auto" w:fill="auto"/>
            <w:noWrap/>
            <w:vAlign w:val="center"/>
            <w:hideMark/>
          </w:tcPr>
          <w:p w14:paraId="7DB960ED" w14:textId="77777777" w:rsidR="00EC2801" w:rsidRPr="00EC2801" w:rsidRDefault="00EC2801" w:rsidP="00EC2801">
            <w:pPr>
              <w:pStyle w:val="Tablas"/>
              <w:rPr>
                <w:b/>
                <w:bCs w:val="0"/>
                <w:sz w:val="18"/>
                <w:szCs w:val="18"/>
              </w:rPr>
            </w:pPr>
            <w:r w:rsidRPr="00EC2801">
              <w:rPr>
                <w:b/>
                <w:bCs w:val="0"/>
                <w:sz w:val="18"/>
                <w:szCs w:val="18"/>
              </w:rPr>
              <w:t>Factor mortalidad</w:t>
            </w:r>
          </w:p>
        </w:tc>
        <w:tc>
          <w:tcPr>
            <w:tcW w:w="574" w:type="pct"/>
            <w:tcBorders>
              <w:top w:val="nil"/>
              <w:left w:val="nil"/>
              <w:bottom w:val="single" w:sz="4" w:space="0" w:color="auto"/>
              <w:right w:val="single" w:sz="4" w:space="0" w:color="auto"/>
            </w:tcBorders>
            <w:shd w:val="clear" w:color="auto" w:fill="auto"/>
            <w:noWrap/>
            <w:vAlign w:val="center"/>
            <w:hideMark/>
          </w:tcPr>
          <w:p w14:paraId="4BC8675F" w14:textId="77777777" w:rsidR="00EC2801" w:rsidRPr="00EC2801" w:rsidRDefault="00EC2801" w:rsidP="00EC2801">
            <w:pPr>
              <w:pStyle w:val="Tablas"/>
              <w:rPr>
                <w:b/>
                <w:bCs w:val="0"/>
                <w:sz w:val="18"/>
                <w:szCs w:val="18"/>
              </w:rPr>
            </w:pPr>
            <w:r w:rsidRPr="00EC2801">
              <w:rPr>
                <w:b/>
                <w:bCs w:val="0"/>
                <w:sz w:val="18"/>
                <w:szCs w:val="18"/>
              </w:rPr>
              <w:t>Factor viudez</w:t>
            </w:r>
          </w:p>
        </w:tc>
        <w:tc>
          <w:tcPr>
            <w:tcW w:w="654" w:type="pct"/>
            <w:tcBorders>
              <w:top w:val="nil"/>
              <w:left w:val="nil"/>
              <w:bottom w:val="single" w:sz="4" w:space="0" w:color="auto"/>
              <w:right w:val="single" w:sz="8" w:space="0" w:color="auto"/>
            </w:tcBorders>
            <w:shd w:val="clear" w:color="auto" w:fill="auto"/>
            <w:noWrap/>
            <w:vAlign w:val="center"/>
            <w:hideMark/>
          </w:tcPr>
          <w:p w14:paraId="62328A57" w14:textId="77777777" w:rsidR="00EC2801" w:rsidRPr="00EC2801" w:rsidRDefault="00EC2801" w:rsidP="00EC2801">
            <w:pPr>
              <w:pStyle w:val="Tablas"/>
              <w:rPr>
                <w:b/>
                <w:bCs w:val="0"/>
                <w:sz w:val="18"/>
                <w:szCs w:val="18"/>
              </w:rPr>
            </w:pPr>
            <w:r w:rsidRPr="00EC2801">
              <w:rPr>
                <w:b/>
                <w:bCs w:val="0"/>
                <w:sz w:val="18"/>
                <w:szCs w:val="18"/>
              </w:rPr>
              <w:t>Factor invalidez</w:t>
            </w:r>
          </w:p>
        </w:tc>
        <w:tc>
          <w:tcPr>
            <w:tcW w:w="717" w:type="pct"/>
            <w:tcBorders>
              <w:top w:val="nil"/>
              <w:left w:val="nil"/>
              <w:bottom w:val="single" w:sz="4" w:space="0" w:color="auto"/>
              <w:right w:val="single" w:sz="4" w:space="0" w:color="auto"/>
            </w:tcBorders>
            <w:shd w:val="clear" w:color="auto" w:fill="auto"/>
            <w:noWrap/>
            <w:vAlign w:val="center"/>
            <w:hideMark/>
          </w:tcPr>
          <w:p w14:paraId="47F21BD9" w14:textId="77777777" w:rsidR="00EC2801" w:rsidRPr="00EC2801" w:rsidRDefault="00EC2801" w:rsidP="00EC2801">
            <w:pPr>
              <w:pStyle w:val="Tablas"/>
              <w:rPr>
                <w:b/>
                <w:bCs w:val="0"/>
                <w:sz w:val="18"/>
                <w:szCs w:val="18"/>
              </w:rPr>
            </w:pPr>
            <w:r w:rsidRPr="00EC2801">
              <w:rPr>
                <w:b/>
                <w:bCs w:val="0"/>
                <w:sz w:val="18"/>
                <w:szCs w:val="18"/>
              </w:rPr>
              <w:t>Factor mortalidad</w:t>
            </w:r>
          </w:p>
        </w:tc>
        <w:tc>
          <w:tcPr>
            <w:tcW w:w="574" w:type="pct"/>
            <w:tcBorders>
              <w:top w:val="nil"/>
              <w:left w:val="nil"/>
              <w:bottom w:val="single" w:sz="4" w:space="0" w:color="auto"/>
              <w:right w:val="single" w:sz="4" w:space="0" w:color="auto"/>
            </w:tcBorders>
            <w:shd w:val="clear" w:color="auto" w:fill="auto"/>
            <w:noWrap/>
            <w:vAlign w:val="center"/>
            <w:hideMark/>
          </w:tcPr>
          <w:p w14:paraId="2E23316B" w14:textId="77777777" w:rsidR="00EC2801" w:rsidRPr="00EC2801" w:rsidRDefault="00EC2801" w:rsidP="00EC2801">
            <w:pPr>
              <w:pStyle w:val="Tablas"/>
              <w:rPr>
                <w:b/>
                <w:bCs w:val="0"/>
                <w:sz w:val="18"/>
                <w:szCs w:val="18"/>
              </w:rPr>
            </w:pPr>
            <w:r w:rsidRPr="00EC2801">
              <w:rPr>
                <w:b/>
                <w:bCs w:val="0"/>
                <w:sz w:val="18"/>
                <w:szCs w:val="18"/>
              </w:rPr>
              <w:t>Factor viudez</w:t>
            </w:r>
          </w:p>
        </w:tc>
        <w:tc>
          <w:tcPr>
            <w:tcW w:w="654" w:type="pct"/>
            <w:tcBorders>
              <w:top w:val="nil"/>
              <w:left w:val="nil"/>
              <w:bottom w:val="single" w:sz="4" w:space="0" w:color="auto"/>
              <w:right w:val="single" w:sz="8" w:space="0" w:color="auto"/>
            </w:tcBorders>
            <w:shd w:val="clear" w:color="auto" w:fill="auto"/>
            <w:noWrap/>
            <w:vAlign w:val="center"/>
            <w:hideMark/>
          </w:tcPr>
          <w:p w14:paraId="172BAAB1" w14:textId="77777777" w:rsidR="00EC2801" w:rsidRPr="00EC2801" w:rsidRDefault="00EC2801" w:rsidP="00EC2801">
            <w:pPr>
              <w:pStyle w:val="Tablas"/>
              <w:rPr>
                <w:b/>
                <w:bCs w:val="0"/>
                <w:sz w:val="18"/>
                <w:szCs w:val="18"/>
              </w:rPr>
            </w:pPr>
            <w:r w:rsidRPr="00EC2801">
              <w:rPr>
                <w:b/>
                <w:bCs w:val="0"/>
                <w:sz w:val="18"/>
                <w:szCs w:val="18"/>
              </w:rPr>
              <w:t>Factor invalidez</w:t>
            </w:r>
          </w:p>
        </w:tc>
      </w:tr>
      <w:tr w:rsidR="00EC2801" w:rsidRPr="00EC2801" w14:paraId="29B5E955"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2372A1A" w14:textId="77777777" w:rsidR="00EC2801" w:rsidRPr="00EC2801" w:rsidRDefault="00EC2801" w:rsidP="00EC2801">
            <w:pPr>
              <w:pStyle w:val="Tablas"/>
              <w:rPr>
                <w:sz w:val="18"/>
                <w:szCs w:val="18"/>
              </w:rPr>
            </w:pPr>
            <w:r w:rsidRPr="00EC2801">
              <w:rPr>
                <w:sz w:val="18"/>
                <w:szCs w:val="18"/>
              </w:rPr>
              <w:t>15</w:t>
            </w:r>
          </w:p>
        </w:tc>
        <w:tc>
          <w:tcPr>
            <w:tcW w:w="722" w:type="pct"/>
            <w:tcBorders>
              <w:top w:val="nil"/>
              <w:left w:val="single" w:sz="8" w:space="0" w:color="auto"/>
              <w:bottom w:val="single" w:sz="4" w:space="0" w:color="auto"/>
              <w:right w:val="nil"/>
            </w:tcBorders>
            <w:shd w:val="clear" w:color="auto" w:fill="auto"/>
            <w:noWrap/>
            <w:vAlign w:val="bottom"/>
            <w:hideMark/>
          </w:tcPr>
          <w:p w14:paraId="6956DC92" w14:textId="77777777" w:rsidR="00EC2801" w:rsidRPr="00EC2801" w:rsidRDefault="00EC2801" w:rsidP="00EC2801">
            <w:pPr>
              <w:pStyle w:val="Tablas"/>
              <w:rPr>
                <w:sz w:val="18"/>
                <w:szCs w:val="18"/>
              </w:rPr>
            </w:pPr>
            <w:r w:rsidRPr="00EC2801">
              <w:rPr>
                <w:sz w:val="18"/>
                <w:szCs w:val="18"/>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458AA10" w14:textId="77777777" w:rsidR="00EC2801" w:rsidRPr="00EC2801" w:rsidRDefault="00EC2801" w:rsidP="00EC2801">
            <w:pPr>
              <w:pStyle w:val="Tablas"/>
              <w:rPr>
                <w:sz w:val="18"/>
                <w:szCs w:val="18"/>
              </w:rPr>
            </w:pPr>
            <w:r w:rsidRPr="00EC2801">
              <w:rPr>
                <w:sz w:val="18"/>
                <w:szCs w:val="18"/>
              </w:rPr>
              <w:t>0.00045</w:t>
            </w:r>
          </w:p>
        </w:tc>
        <w:tc>
          <w:tcPr>
            <w:tcW w:w="574" w:type="pct"/>
            <w:tcBorders>
              <w:top w:val="nil"/>
              <w:left w:val="nil"/>
              <w:bottom w:val="single" w:sz="4" w:space="0" w:color="auto"/>
              <w:right w:val="single" w:sz="4" w:space="0" w:color="auto"/>
            </w:tcBorders>
            <w:shd w:val="clear" w:color="auto" w:fill="auto"/>
            <w:noWrap/>
            <w:vAlign w:val="bottom"/>
            <w:hideMark/>
          </w:tcPr>
          <w:p w14:paraId="188101E1"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2831D4F4"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1AC361AB" w14:textId="77777777" w:rsidR="00EC2801" w:rsidRPr="00EC2801" w:rsidRDefault="00EC2801" w:rsidP="00EC2801">
            <w:pPr>
              <w:pStyle w:val="Tablas"/>
              <w:rPr>
                <w:sz w:val="18"/>
                <w:szCs w:val="18"/>
              </w:rPr>
            </w:pPr>
            <w:r w:rsidRPr="00EC2801">
              <w:rPr>
                <w:sz w:val="18"/>
                <w:szCs w:val="18"/>
              </w:rPr>
              <w:t>0.00018</w:t>
            </w:r>
          </w:p>
        </w:tc>
        <w:tc>
          <w:tcPr>
            <w:tcW w:w="574" w:type="pct"/>
            <w:tcBorders>
              <w:top w:val="nil"/>
              <w:left w:val="nil"/>
              <w:bottom w:val="single" w:sz="4" w:space="0" w:color="auto"/>
              <w:right w:val="single" w:sz="4" w:space="0" w:color="auto"/>
            </w:tcBorders>
            <w:shd w:val="clear" w:color="auto" w:fill="auto"/>
            <w:noWrap/>
            <w:vAlign w:val="bottom"/>
            <w:hideMark/>
          </w:tcPr>
          <w:p w14:paraId="5486AC78"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4D935F25" w14:textId="77777777" w:rsidR="00EC2801" w:rsidRPr="00EC2801" w:rsidRDefault="00EC2801" w:rsidP="00EC2801">
            <w:pPr>
              <w:pStyle w:val="Tablas"/>
              <w:rPr>
                <w:sz w:val="18"/>
                <w:szCs w:val="18"/>
              </w:rPr>
            </w:pPr>
            <w:r w:rsidRPr="00EC2801">
              <w:rPr>
                <w:sz w:val="18"/>
                <w:szCs w:val="18"/>
              </w:rPr>
              <w:t>0.00190</w:t>
            </w:r>
          </w:p>
        </w:tc>
      </w:tr>
      <w:tr w:rsidR="00EC2801" w:rsidRPr="00EC2801" w14:paraId="3CF8AE7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42C52205" w14:textId="77777777" w:rsidR="00EC2801" w:rsidRPr="00EC2801" w:rsidRDefault="00EC2801" w:rsidP="00EC2801">
            <w:pPr>
              <w:pStyle w:val="Tablas"/>
              <w:rPr>
                <w:sz w:val="18"/>
                <w:szCs w:val="18"/>
              </w:rPr>
            </w:pPr>
            <w:r w:rsidRPr="00EC2801">
              <w:rPr>
                <w:sz w:val="18"/>
                <w:szCs w:val="18"/>
              </w:rPr>
              <w:t>16</w:t>
            </w:r>
          </w:p>
        </w:tc>
        <w:tc>
          <w:tcPr>
            <w:tcW w:w="722" w:type="pct"/>
            <w:tcBorders>
              <w:top w:val="nil"/>
              <w:left w:val="single" w:sz="8" w:space="0" w:color="auto"/>
              <w:bottom w:val="single" w:sz="4" w:space="0" w:color="auto"/>
              <w:right w:val="nil"/>
            </w:tcBorders>
            <w:shd w:val="clear" w:color="auto" w:fill="auto"/>
            <w:noWrap/>
            <w:vAlign w:val="bottom"/>
            <w:hideMark/>
          </w:tcPr>
          <w:p w14:paraId="1FB6DFE0" w14:textId="77777777" w:rsidR="00EC2801" w:rsidRPr="00EC2801" w:rsidRDefault="00EC2801" w:rsidP="00EC2801">
            <w:pPr>
              <w:pStyle w:val="Tablas"/>
              <w:rPr>
                <w:sz w:val="18"/>
                <w:szCs w:val="18"/>
              </w:rPr>
            </w:pPr>
            <w:r w:rsidRPr="00EC2801">
              <w:rPr>
                <w:sz w:val="18"/>
                <w:szCs w:val="18"/>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5B767D8" w14:textId="77777777" w:rsidR="00EC2801" w:rsidRPr="00EC2801" w:rsidRDefault="00EC2801" w:rsidP="00EC2801">
            <w:pPr>
              <w:pStyle w:val="Tablas"/>
              <w:rPr>
                <w:sz w:val="18"/>
                <w:szCs w:val="18"/>
              </w:rPr>
            </w:pPr>
            <w:r w:rsidRPr="00EC2801">
              <w:rPr>
                <w:sz w:val="18"/>
                <w:szCs w:val="18"/>
              </w:rPr>
              <w:t>0.00055</w:t>
            </w:r>
          </w:p>
        </w:tc>
        <w:tc>
          <w:tcPr>
            <w:tcW w:w="574" w:type="pct"/>
            <w:tcBorders>
              <w:top w:val="nil"/>
              <w:left w:val="nil"/>
              <w:bottom w:val="single" w:sz="4" w:space="0" w:color="auto"/>
              <w:right w:val="single" w:sz="4" w:space="0" w:color="auto"/>
            </w:tcBorders>
            <w:shd w:val="clear" w:color="auto" w:fill="auto"/>
            <w:noWrap/>
            <w:vAlign w:val="bottom"/>
            <w:hideMark/>
          </w:tcPr>
          <w:p w14:paraId="2817B0A6"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2FE0885A"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53DBB970" w14:textId="77777777" w:rsidR="00EC2801" w:rsidRPr="00EC2801" w:rsidRDefault="00EC2801" w:rsidP="00EC2801">
            <w:pPr>
              <w:pStyle w:val="Tablas"/>
              <w:rPr>
                <w:sz w:val="18"/>
                <w:szCs w:val="18"/>
              </w:rPr>
            </w:pPr>
            <w:r w:rsidRPr="00EC2801">
              <w:rPr>
                <w:sz w:val="18"/>
                <w:szCs w:val="18"/>
              </w:rPr>
              <w:t>0.00019</w:t>
            </w:r>
          </w:p>
        </w:tc>
        <w:tc>
          <w:tcPr>
            <w:tcW w:w="574" w:type="pct"/>
            <w:tcBorders>
              <w:top w:val="nil"/>
              <w:left w:val="nil"/>
              <w:bottom w:val="single" w:sz="4" w:space="0" w:color="auto"/>
              <w:right w:val="single" w:sz="4" w:space="0" w:color="auto"/>
            </w:tcBorders>
            <w:shd w:val="clear" w:color="auto" w:fill="auto"/>
            <w:noWrap/>
            <w:vAlign w:val="bottom"/>
            <w:hideMark/>
          </w:tcPr>
          <w:p w14:paraId="2F65E83D"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738B2ADF" w14:textId="77777777" w:rsidR="00EC2801" w:rsidRPr="00EC2801" w:rsidRDefault="00EC2801" w:rsidP="00EC2801">
            <w:pPr>
              <w:pStyle w:val="Tablas"/>
              <w:rPr>
                <w:sz w:val="18"/>
                <w:szCs w:val="18"/>
              </w:rPr>
            </w:pPr>
            <w:r w:rsidRPr="00EC2801">
              <w:rPr>
                <w:sz w:val="18"/>
                <w:szCs w:val="18"/>
              </w:rPr>
              <w:t>0.00190</w:t>
            </w:r>
          </w:p>
        </w:tc>
      </w:tr>
      <w:tr w:rsidR="00EC2801" w:rsidRPr="00EC2801" w14:paraId="4C45D169"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B4AC675" w14:textId="77777777" w:rsidR="00EC2801" w:rsidRPr="00EC2801" w:rsidRDefault="00EC2801" w:rsidP="00EC2801">
            <w:pPr>
              <w:pStyle w:val="Tablas"/>
              <w:rPr>
                <w:sz w:val="18"/>
                <w:szCs w:val="18"/>
              </w:rPr>
            </w:pPr>
            <w:r w:rsidRPr="00EC2801">
              <w:rPr>
                <w:sz w:val="18"/>
                <w:szCs w:val="18"/>
              </w:rPr>
              <w:t>17</w:t>
            </w:r>
          </w:p>
        </w:tc>
        <w:tc>
          <w:tcPr>
            <w:tcW w:w="722" w:type="pct"/>
            <w:tcBorders>
              <w:top w:val="nil"/>
              <w:left w:val="single" w:sz="8" w:space="0" w:color="auto"/>
              <w:bottom w:val="single" w:sz="4" w:space="0" w:color="auto"/>
              <w:right w:val="nil"/>
            </w:tcBorders>
            <w:shd w:val="clear" w:color="auto" w:fill="auto"/>
            <w:noWrap/>
            <w:vAlign w:val="bottom"/>
            <w:hideMark/>
          </w:tcPr>
          <w:p w14:paraId="6EAC3032" w14:textId="77777777" w:rsidR="00EC2801" w:rsidRPr="00EC2801" w:rsidRDefault="00EC2801" w:rsidP="00EC2801">
            <w:pPr>
              <w:pStyle w:val="Tablas"/>
              <w:rPr>
                <w:sz w:val="18"/>
                <w:szCs w:val="18"/>
              </w:rPr>
            </w:pPr>
            <w:r w:rsidRPr="00EC2801">
              <w:rPr>
                <w:sz w:val="18"/>
                <w:szCs w:val="18"/>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EC1E91F" w14:textId="77777777" w:rsidR="00EC2801" w:rsidRPr="00EC2801" w:rsidRDefault="00EC2801" w:rsidP="00EC2801">
            <w:pPr>
              <w:pStyle w:val="Tablas"/>
              <w:rPr>
                <w:sz w:val="18"/>
                <w:szCs w:val="18"/>
              </w:rPr>
            </w:pPr>
            <w:r w:rsidRPr="00EC2801">
              <w:rPr>
                <w:sz w:val="18"/>
                <w:szCs w:val="18"/>
              </w:rPr>
              <w:t>0.00063</w:t>
            </w:r>
          </w:p>
        </w:tc>
        <w:tc>
          <w:tcPr>
            <w:tcW w:w="574" w:type="pct"/>
            <w:tcBorders>
              <w:top w:val="nil"/>
              <w:left w:val="nil"/>
              <w:bottom w:val="single" w:sz="4" w:space="0" w:color="auto"/>
              <w:right w:val="single" w:sz="4" w:space="0" w:color="auto"/>
            </w:tcBorders>
            <w:shd w:val="clear" w:color="auto" w:fill="auto"/>
            <w:noWrap/>
            <w:vAlign w:val="bottom"/>
            <w:hideMark/>
          </w:tcPr>
          <w:p w14:paraId="501926F3"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6FF80633"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1912CF23" w14:textId="77777777" w:rsidR="00EC2801" w:rsidRPr="00EC2801" w:rsidRDefault="00EC2801" w:rsidP="00EC2801">
            <w:pPr>
              <w:pStyle w:val="Tablas"/>
              <w:rPr>
                <w:sz w:val="18"/>
                <w:szCs w:val="18"/>
              </w:rPr>
            </w:pPr>
            <w:r w:rsidRPr="00EC2801">
              <w:rPr>
                <w:sz w:val="18"/>
                <w:szCs w:val="18"/>
              </w:rPr>
              <w:t>0.00020</w:t>
            </w:r>
          </w:p>
        </w:tc>
        <w:tc>
          <w:tcPr>
            <w:tcW w:w="574" w:type="pct"/>
            <w:tcBorders>
              <w:top w:val="nil"/>
              <w:left w:val="nil"/>
              <w:bottom w:val="single" w:sz="4" w:space="0" w:color="auto"/>
              <w:right w:val="single" w:sz="4" w:space="0" w:color="auto"/>
            </w:tcBorders>
            <w:shd w:val="clear" w:color="auto" w:fill="auto"/>
            <w:noWrap/>
            <w:vAlign w:val="bottom"/>
            <w:hideMark/>
          </w:tcPr>
          <w:p w14:paraId="01A127E4"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1E8415D2" w14:textId="77777777" w:rsidR="00EC2801" w:rsidRPr="00EC2801" w:rsidRDefault="00EC2801" w:rsidP="00EC2801">
            <w:pPr>
              <w:pStyle w:val="Tablas"/>
              <w:rPr>
                <w:sz w:val="18"/>
                <w:szCs w:val="18"/>
              </w:rPr>
            </w:pPr>
            <w:r w:rsidRPr="00EC2801">
              <w:rPr>
                <w:sz w:val="18"/>
                <w:szCs w:val="18"/>
              </w:rPr>
              <w:t>0.00190</w:t>
            </w:r>
          </w:p>
        </w:tc>
      </w:tr>
      <w:tr w:rsidR="00EC2801" w:rsidRPr="00EC2801" w14:paraId="382DE374"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D7F905C" w14:textId="77777777" w:rsidR="00EC2801" w:rsidRPr="00EC2801" w:rsidRDefault="00EC2801" w:rsidP="00EC2801">
            <w:pPr>
              <w:pStyle w:val="Tablas"/>
              <w:rPr>
                <w:sz w:val="18"/>
                <w:szCs w:val="18"/>
              </w:rPr>
            </w:pPr>
            <w:r w:rsidRPr="00EC2801">
              <w:rPr>
                <w:sz w:val="18"/>
                <w:szCs w:val="18"/>
              </w:rPr>
              <w:t>18</w:t>
            </w:r>
          </w:p>
        </w:tc>
        <w:tc>
          <w:tcPr>
            <w:tcW w:w="722" w:type="pct"/>
            <w:tcBorders>
              <w:top w:val="nil"/>
              <w:left w:val="single" w:sz="8" w:space="0" w:color="auto"/>
              <w:bottom w:val="single" w:sz="4" w:space="0" w:color="auto"/>
              <w:right w:val="nil"/>
            </w:tcBorders>
            <w:shd w:val="clear" w:color="auto" w:fill="auto"/>
            <w:noWrap/>
            <w:vAlign w:val="bottom"/>
            <w:hideMark/>
          </w:tcPr>
          <w:p w14:paraId="11D1E81A" w14:textId="77777777" w:rsidR="00EC2801" w:rsidRPr="00EC2801" w:rsidRDefault="00EC2801" w:rsidP="00EC2801">
            <w:pPr>
              <w:pStyle w:val="Tablas"/>
              <w:rPr>
                <w:sz w:val="18"/>
                <w:szCs w:val="18"/>
              </w:rPr>
            </w:pPr>
            <w:r w:rsidRPr="00EC2801">
              <w:rPr>
                <w:sz w:val="18"/>
                <w:szCs w:val="18"/>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CC1D648" w14:textId="77777777" w:rsidR="00EC2801" w:rsidRPr="00EC2801" w:rsidRDefault="00EC2801" w:rsidP="00EC2801">
            <w:pPr>
              <w:pStyle w:val="Tablas"/>
              <w:rPr>
                <w:sz w:val="18"/>
                <w:szCs w:val="18"/>
              </w:rPr>
            </w:pPr>
            <w:r w:rsidRPr="00EC2801">
              <w:rPr>
                <w:sz w:val="18"/>
                <w:szCs w:val="18"/>
              </w:rPr>
              <w:t>0.00071</w:t>
            </w:r>
          </w:p>
        </w:tc>
        <w:tc>
          <w:tcPr>
            <w:tcW w:w="574" w:type="pct"/>
            <w:tcBorders>
              <w:top w:val="nil"/>
              <w:left w:val="nil"/>
              <w:bottom w:val="single" w:sz="4" w:space="0" w:color="auto"/>
              <w:right w:val="single" w:sz="4" w:space="0" w:color="auto"/>
            </w:tcBorders>
            <w:shd w:val="clear" w:color="auto" w:fill="auto"/>
            <w:noWrap/>
            <w:vAlign w:val="bottom"/>
            <w:hideMark/>
          </w:tcPr>
          <w:p w14:paraId="734661C5"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6E21A5B2"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1BDE837F" w14:textId="77777777" w:rsidR="00EC2801" w:rsidRPr="00EC2801" w:rsidRDefault="00EC2801" w:rsidP="00EC2801">
            <w:pPr>
              <w:pStyle w:val="Tablas"/>
              <w:rPr>
                <w:sz w:val="18"/>
                <w:szCs w:val="18"/>
              </w:rPr>
            </w:pPr>
            <w:r w:rsidRPr="00EC2801">
              <w:rPr>
                <w:sz w:val="18"/>
                <w:szCs w:val="18"/>
              </w:rPr>
              <w:t>0.00022</w:t>
            </w:r>
          </w:p>
        </w:tc>
        <w:tc>
          <w:tcPr>
            <w:tcW w:w="574" w:type="pct"/>
            <w:tcBorders>
              <w:top w:val="nil"/>
              <w:left w:val="nil"/>
              <w:bottom w:val="single" w:sz="4" w:space="0" w:color="auto"/>
              <w:right w:val="single" w:sz="4" w:space="0" w:color="auto"/>
            </w:tcBorders>
            <w:shd w:val="clear" w:color="auto" w:fill="auto"/>
            <w:noWrap/>
            <w:vAlign w:val="bottom"/>
            <w:hideMark/>
          </w:tcPr>
          <w:p w14:paraId="42674CEB"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0FFEAC8A" w14:textId="77777777" w:rsidR="00EC2801" w:rsidRPr="00EC2801" w:rsidRDefault="00EC2801" w:rsidP="00EC2801">
            <w:pPr>
              <w:pStyle w:val="Tablas"/>
              <w:rPr>
                <w:sz w:val="18"/>
                <w:szCs w:val="18"/>
              </w:rPr>
            </w:pPr>
            <w:r w:rsidRPr="00EC2801">
              <w:rPr>
                <w:sz w:val="18"/>
                <w:szCs w:val="18"/>
              </w:rPr>
              <w:t>0.00190</w:t>
            </w:r>
          </w:p>
        </w:tc>
      </w:tr>
      <w:tr w:rsidR="00EC2801" w:rsidRPr="00EC2801" w14:paraId="3BC476EE"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37BB141" w14:textId="77777777" w:rsidR="00EC2801" w:rsidRPr="00EC2801" w:rsidRDefault="00EC2801" w:rsidP="00EC2801">
            <w:pPr>
              <w:pStyle w:val="Tablas"/>
              <w:rPr>
                <w:sz w:val="18"/>
                <w:szCs w:val="18"/>
              </w:rPr>
            </w:pPr>
            <w:r w:rsidRPr="00EC2801">
              <w:rPr>
                <w:sz w:val="18"/>
                <w:szCs w:val="18"/>
              </w:rPr>
              <w:t>19</w:t>
            </w:r>
          </w:p>
        </w:tc>
        <w:tc>
          <w:tcPr>
            <w:tcW w:w="722" w:type="pct"/>
            <w:tcBorders>
              <w:top w:val="nil"/>
              <w:left w:val="single" w:sz="8" w:space="0" w:color="auto"/>
              <w:bottom w:val="single" w:sz="4" w:space="0" w:color="auto"/>
              <w:right w:val="nil"/>
            </w:tcBorders>
            <w:shd w:val="clear" w:color="auto" w:fill="auto"/>
            <w:noWrap/>
            <w:vAlign w:val="bottom"/>
            <w:hideMark/>
          </w:tcPr>
          <w:p w14:paraId="4B4BFBD4" w14:textId="77777777" w:rsidR="00EC2801" w:rsidRPr="00EC2801" w:rsidRDefault="00EC2801" w:rsidP="00EC2801">
            <w:pPr>
              <w:pStyle w:val="Tablas"/>
              <w:rPr>
                <w:sz w:val="18"/>
                <w:szCs w:val="18"/>
              </w:rPr>
            </w:pPr>
            <w:r w:rsidRPr="00EC2801">
              <w:rPr>
                <w:sz w:val="18"/>
                <w:szCs w:val="18"/>
              </w:rPr>
              <w:t> </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D08DF77" w14:textId="77777777" w:rsidR="00EC2801" w:rsidRPr="00EC2801" w:rsidRDefault="00EC2801" w:rsidP="00EC2801">
            <w:pPr>
              <w:pStyle w:val="Tablas"/>
              <w:rPr>
                <w:sz w:val="18"/>
                <w:szCs w:val="18"/>
              </w:rPr>
            </w:pPr>
            <w:r w:rsidRPr="00EC2801">
              <w:rPr>
                <w:sz w:val="18"/>
                <w:szCs w:val="18"/>
              </w:rPr>
              <w:t>0.00079</w:t>
            </w:r>
          </w:p>
        </w:tc>
        <w:tc>
          <w:tcPr>
            <w:tcW w:w="574" w:type="pct"/>
            <w:tcBorders>
              <w:top w:val="nil"/>
              <w:left w:val="nil"/>
              <w:bottom w:val="single" w:sz="4" w:space="0" w:color="auto"/>
              <w:right w:val="single" w:sz="4" w:space="0" w:color="auto"/>
            </w:tcBorders>
            <w:shd w:val="clear" w:color="auto" w:fill="auto"/>
            <w:noWrap/>
            <w:vAlign w:val="bottom"/>
            <w:hideMark/>
          </w:tcPr>
          <w:p w14:paraId="18719DD7"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59C11121"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5EBAF887" w14:textId="77777777" w:rsidR="00EC2801" w:rsidRPr="00EC2801" w:rsidRDefault="00EC2801" w:rsidP="00EC2801">
            <w:pPr>
              <w:pStyle w:val="Tablas"/>
              <w:rPr>
                <w:sz w:val="18"/>
                <w:szCs w:val="18"/>
              </w:rPr>
            </w:pPr>
            <w:r w:rsidRPr="00EC2801">
              <w:rPr>
                <w:sz w:val="18"/>
                <w:szCs w:val="18"/>
              </w:rPr>
              <w:t>0.00023</w:t>
            </w:r>
          </w:p>
        </w:tc>
        <w:tc>
          <w:tcPr>
            <w:tcW w:w="574" w:type="pct"/>
            <w:tcBorders>
              <w:top w:val="nil"/>
              <w:left w:val="nil"/>
              <w:bottom w:val="single" w:sz="4" w:space="0" w:color="auto"/>
              <w:right w:val="single" w:sz="4" w:space="0" w:color="auto"/>
            </w:tcBorders>
            <w:shd w:val="clear" w:color="auto" w:fill="auto"/>
            <w:noWrap/>
            <w:vAlign w:val="bottom"/>
            <w:hideMark/>
          </w:tcPr>
          <w:p w14:paraId="45DD2F34"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5168C7C3" w14:textId="77777777" w:rsidR="00EC2801" w:rsidRPr="00EC2801" w:rsidRDefault="00EC2801" w:rsidP="00EC2801">
            <w:pPr>
              <w:pStyle w:val="Tablas"/>
              <w:rPr>
                <w:sz w:val="18"/>
                <w:szCs w:val="18"/>
              </w:rPr>
            </w:pPr>
            <w:r w:rsidRPr="00EC2801">
              <w:rPr>
                <w:sz w:val="18"/>
                <w:szCs w:val="18"/>
              </w:rPr>
              <w:t>0.00190</w:t>
            </w:r>
          </w:p>
        </w:tc>
      </w:tr>
      <w:tr w:rsidR="00EC2801" w:rsidRPr="00EC2801" w14:paraId="261DEF1B"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B13624C" w14:textId="77777777" w:rsidR="00EC2801" w:rsidRPr="00EC2801" w:rsidRDefault="00EC2801" w:rsidP="00EC2801">
            <w:pPr>
              <w:pStyle w:val="Tablas"/>
              <w:rPr>
                <w:sz w:val="18"/>
                <w:szCs w:val="18"/>
              </w:rPr>
            </w:pPr>
            <w:r w:rsidRPr="00EC2801">
              <w:rPr>
                <w:sz w:val="18"/>
                <w:szCs w:val="18"/>
              </w:rPr>
              <w:t>20</w:t>
            </w:r>
          </w:p>
        </w:tc>
        <w:tc>
          <w:tcPr>
            <w:tcW w:w="722" w:type="pct"/>
            <w:tcBorders>
              <w:top w:val="nil"/>
              <w:left w:val="single" w:sz="8" w:space="0" w:color="auto"/>
              <w:bottom w:val="single" w:sz="4" w:space="0" w:color="auto"/>
              <w:right w:val="nil"/>
            </w:tcBorders>
            <w:shd w:val="clear" w:color="auto" w:fill="auto"/>
            <w:noWrap/>
            <w:vAlign w:val="bottom"/>
            <w:hideMark/>
          </w:tcPr>
          <w:p w14:paraId="31AEF5A5" w14:textId="77777777" w:rsidR="00EC2801" w:rsidRPr="00EC2801" w:rsidRDefault="00EC2801" w:rsidP="00EC2801">
            <w:pPr>
              <w:pStyle w:val="Tablas"/>
              <w:rPr>
                <w:sz w:val="18"/>
                <w:szCs w:val="18"/>
              </w:rPr>
            </w:pPr>
            <w:r w:rsidRPr="00EC2801">
              <w:rPr>
                <w:sz w:val="18"/>
                <w:szCs w:val="18"/>
              </w:rPr>
              <w:t>0.0987</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012947C" w14:textId="77777777" w:rsidR="00EC2801" w:rsidRPr="00EC2801" w:rsidRDefault="00EC2801" w:rsidP="00EC2801">
            <w:pPr>
              <w:pStyle w:val="Tablas"/>
              <w:rPr>
                <w:sz w:val="18"/>
                <w:szCs w:val="18"/>
              </w:rPr>
            </w:pPr>
            <w:r w:rsidRPr="00EC2801">
              <w:rPr>
                <w:sz w:val="18"/>
                <w:szCs w:val="18"/>
              </w:rPr>
              <w:t>0.00087</w:t>
            </w:r>
          </w:p>
        </w:tc>
        <w:tc>
          <w:tcPr>
            <w:tcW w:w="574" w:type="pct"/>
            <w:tcBorders>
              <w:top w:val="nil"/>
              <w:left w:val="nil"/>
              <w:bottom w:val="single" w:sz="4" w:space="0" w:color="auto"/>
              <w:right w:val="single" w:sz="4" w:space="0" w:color="auto"/>
            </w:tcBorders>
            <w:shd w:val="clear" w:color="auto" w:fill="auto"/>
            <w:noWrap/>
            <w:vAlign w:val="bottom"/>
            <w:hideMark/>
          </w:tcPr>
          <w:p w14:paraId="03D70ED9"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6C615E57" w14:textId="77777777" w:rsidR="00EC2801" w:rsidRPr="00EC2801" w:rsidRDefault="00EC2801" w:rsidP="00EC2801">
            <w:pPr>
              <w:pStyle w:val="Tablas"/>
              <w:rPr>
                <w:sz w:val="18"/>
                <w:szCs w:val="18"/>
              </w:rPr>
            </w:pPr>
            <w:r w:rsidRPr="00EC2801">
              <w:rPr>
                <w:sz w:val="18"/>
                <w:szCs w:val="18"/>
              </w:rPr>
              <w:t>0.00413</w:t>
            </w:r>
          </w:p>
        </w:tc>
        <w:tc>
          <w:tcPr>
            <w:tcW w:w="717" w:type="pct"/>
            <w:tcBorders>
              <w:top w:val="nil"/>
              <w:left w:val="nil"/>
              <w:bottom w:val="single" w:sz="4" w:space="0" w:color="auto"/>
              <w:right w:val="single" w:sz="4" w:space="0" w:color="auto"/>
            </w:tcBorders>
            <w:shd w:val="clear" w:color="auto" w:fill="auto"/>
            <w:noWrap/>
            <w:vAlign w:val="bottom"/>
            <w:hideMark/>
          </w:tcPr>
          <w:p w14:paraId="6E6D22B1" w14:textId="77777777" w:rsidR="00EC2801" w:rsidRPr="00EC2801" w:rsidRDefault="00EC2801" w:rsidP="00EC2801">
            <w:pPr>
              <w:pStyle w:val="Tablas"/>
              <w:rPr>
                <w:sz w:val="18"/>
                <w:szCs w:val="18"/>
              </w:rPr>
            </w:pPr>
            <w:r w:rsidRPr="00EC2801">
              <w:rPr>
                <w:sz w:val="18"/>
                <w:szCs w:val="18"/>
              </w:rPr>
              <w:t>0.00024</w:t>
            </w:r>
          </w:p>
        </w:tc>
        <w:tc>
          <w:tcPr>
            <w:tcW w:w="574" w:type="pct"/>
            <w:tcBorders>
              <w:top w:val="nil"/>
              <w:left w:val="nil"/>
              <w:bottom w:val="single" w:sz="4" w:space="0" w:color="auto"/>
              <w:right w:val="single" w:sz="4" w:space="0" w:color="auto"/>
            </w:tcBorders>
            <w:shd w:val="clear" w:color="auto" w:fill="auto"/>
            <w:noWrap/>
            <w:vAlign w:val="bottom"/>
            <w:hideMark/>
          </w:tcPr>
          <w:p w14:paraId="6BD8E080"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7A29869B" w14:textId="77777777" w:rsidR="00EC2801" w:rsidRPr="00EC2801" w:rsidRDefault="00EC2801" w:rsidP="00EC2801">
            <w:pPr>
              <w:pStyle w:val="Tablas"/>
              <w:rPr>
                <w:sz w:val="18"/>
                <w:szCs w:val="18"/>
              </w:rPr>
            </w:pPr>
            <w:r w:rsidRPr="00EC2801">
              <w:rPr>
                <w:sz w:val="18"/>
                <w:szCs w:val="18"/>
              </w:rPr>
              <w:t>0.00190</w:t>
            </w:r>
          </w:p>
        </w:tc>
      </w:tr>
      <w:tr w:rsidR="00EC2801" w:rsidRPr="00EC2801" w14:paraId="0395B426"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56AAFF4" w14:textId="77777777" w:rsidR="00EC2801" w:rsidRPr="00EC2801" w:rsidRDefault="00EC2801" w:rsidP="00EC2801">
            <w:pPr>
              <w:pStyle w:val="Tablas"/>
              <w:rPr>
                <w:sz w:val="18"/>
                <w:szCs w:val="18"/>
              </w:rPr>
            </w:pPr>
            <w:r w:rsidRPr="00EC2801">
              <w:rPr>
                <w:sz w:val="18"/>
                <w:szCs w:val="18"/>
              </w:rPr>
              <w:t>21</w:t>
            </w:r>
          </w:p>
        </w:tc>
        <w:tc>
          <w:tcPr>
            <w:tcW w:w="722" w:type="pct"/>
            <w:tcBorders>
              <w:top w:val="nil"/>
              <w:left w:val="single" w:sz="8" w:space="0" w:color="auto"/>
              <w:bottom w:val="single" w:sz="4" w:space="0" w:color="auto"/>
              <w:right w:val="nil"/>
            </w:tcBorders>
            <w:shd w:val="clear" w:color="auto" w:fill="auto"/>
            <w:noWrap/>
            <w:vAlign w:val="bottom"/>
            <w:hideMark/>
          </w:tcPr>
          <w:p w14:paraId="48ED18FA" w14:textId="77777777" w:rsidR="00EC2801" w:rsidRPr="00EC2801" w:rsidRDefault="00EC2801" w:rsidP="00EC2801">
            <w:pPr>
              <w:pStyle w:val="Tablas"/>
              <w:rPr>
                <w:sz w:val="18"/>
                <w:szCs w:val="18"/>
              </w:rPr>
            </w:pPr>
            <w:r w:rsidRPr="00EC2801">
              <w:rPr>
                <w:sz w:val="18"/>
                <w:szCs w:val="18"/>
              </w:rPr>
              <w:t>0.1328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AE419E4" w14:textId="77777777" w:rsidR="00EC2801" w:rsidRPr="00EC2801" w:rsidRDefault="00EC2801" w:rsidP="00EC2801">
            <w:pPr>
              <w:pStyle w:val="Tablas"/>
              <w:rPr>
                <w:sz w:val="18"/>
                <w:szCs w:val="18"/>
              </w:rPr>
            </w:pPr>
            <w:r w:rsidRPr="00EC2801">
              <w:rPr>
                <w:sz w:val="18"/>
                <w:szCs w:val="18"/>
              </w:rPr>
              <w:t>0.00094</w:t>
            </w:r>
          </w:p>
        </w:tc>
        <w:tc>
          <w:tcPr>
            <w:tcW w:w="574" w:type="pct"/>
            <w:tcBorders>
              <w:top w:val="nil"/>
              <w:left w:val="nil"/>
              <w:bottom w:val="single" w:sz="4" w:space="0" w:color="auto"/>
              <w:right w:val="single" w:sz="4" w:space="0" w:color="auto"/>
            </w:tcBorders>
            <w:shd w:val="clear" w:color="auto" w:fill="auto"/>
            <w:noWrap/>
            <w:vAlign w:val="bottom"/>
            <w:hideMark/>
          </w:tcPr>
          <w:p w14:paraId="2BC22F53"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539E416B" w14:textId="77777777" w:rsidR="00EC2801" w:rsidRPr="00EC2801" w:rsidRDefault="00EC2801" w:rsidP="00EC2801">
            <w:pPr>
              <w:pStyle w:val="Tablas"/>
              <w:rPr>
                <w:sz w:val="18"/>
                <w:szCs w:val="18"/>
              </w:rPr>
            </w:pPr>
            <w:r w:rsidRPr="00EC2801">
              <w:rPr>
                <w:sz w:val="18"/>
                <w:szCs w:val="18"/>
              </w:rPr>
              <w:t>0.00433</w:t>
            </w:r>
          </w:p>
        </w:tc>
        <w:tc>
          <w:tcPr>
            <w:tcW w:w="717" w:type="pct"/>
            <w:tcBorders>
              <w:top w:val="nil"/>
              <w:left w:val="nil"/>
              <w:bottom w:val="single" w:sz="4" w:space="0" w:color="auto"/>
              <w:right w:val="single" w:sz="4" w:space="0" w:color="auto"/>
            </w:tcBorders>
            <w:shd w:val="clear" w:color="auto" w:fill="auto"/>
            <w:noWrap/>
            <w:vAlign w:val="bottom"/>
            <w:hideMark/>
          </w:tcPr>
          <w:p w14:paraId="79407D89" w14:textId="77777777" w:rsidR="00EC2801" w:rsidRPr="00EC2801" w:rsidRDefault="00EC2801" w:rsidP="00EC2801">
            <w:pPr>
              <w:pStyle w:val="Tablas"/>
              <w:rPr>
                <w:sz w:val="18"/>
                <w:szCs w:val="18"/>
              </w:rPr>
            </w:pPr>
            <w:r w:rsidRPr="00EC2801">
              <w:rPr>
                <w:sz w:val="18"/>
                <w:szCs w:val="18"/>
              </w:rPr>
              <w:t>0.00026</w:t>
            </w:r>
          </w:p>
        </w:tc>
        <w:tc>
          <w:tcPr>
            <w:tcW w:w="574" w:type="pct"/>
            <w:tcBorders>
              <w:top w:val="nil"/>
              <w:left w:val="nil"/>
              <w:bottom w:val="single" w:sz="4" w:space="0" w:color="auto"/>
              <w:right w:val="single" w:sz="4" w:space="0" w:color="auto"/>
            </w:tcBorders>
            <w:shd w:val="clear" w:color="auto" w:fill="auto"/>
            <w:noWrap/>
            <w:vAlign w:val="bottom"/>
            <w:hideMark/>
          </w:tcPr>
          <w:p w14:paraId="3A1CDE8A"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00923206" w14:textId="77777777" w:rsidR="00EC2801" w:rsidRPr="00EC2801" w:rsidRDefault="00EC2801" w:rsidP="00EC2801">
            <w:pPr>
              <w:pStyle w:val="Tablas"/>
              <w:rPr>
                <w:sz w:val="18"/>
                <w:szCs w:val="18"/>
              </w:rPr>
            </w:pPr>
            <w:r w:rsidRPr="00EC2801">
              <w:rPr>
                <w:sz w:val="18"/>
                <w:szCs w:val="18"/>
              </w:rPr>
              <w:t>0.00200</w:t>
            </w:r>
          </w:p>
        </w:tc>
      </w:tr>
      <w:tr w:rsidR="00EC2801" w:rsidRPr="00EC2801" w14:paraId="1DFA4591"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12CD07A" w14:textId="77777777" w:rsidR="00EC2801" w:rsidRPr="00EC2801" w:rsidRDefault="00EC2801" w:rsidP="00EC2801">
            <w:pPr>
              <w:pStyle w:val="Tablas"/>
              <w:rPr>
                <w:sz w:val="18"/>
                <w:szCs w:val="18"/>
              </w:rPr>
            </w:pPr>
            <w:r w:rsidRPr="00EC2801">
              <w:rPr>
                <w:sz w:val="18"/>
                <w:szCs w:val="18"/>
              </w:rPr>
              <w:t>22</w:t>
            </w:r>
          </w:p>
        </w:tc>
        <w:tc>
          <w:tcPr>
            <w:tcW w:w="722" w:type="pct"/>
            <w:tcBorders>
              <w:top w:val="nil"/>
              <w:left w:val="single" w:sz="8" w:space="0" w:color="auto"/>
              <w:bottom w:val="single" w:sz="4" w:space="0" w:color="auto"/>
              <w:right w:val="nil"/>
            </w:tcBorders>
            <w:shd w:val="clear" w:color="auto" w:fill="auto"/>
            <w:noWrap/>
            <w:vAlign w:val="bottom"/>
            <w:hideMark/>
          </w:tcPr>
          <w:p w14:paraId="4F469FE9" w14:textId="77777777" w:rsidR="00EC2801" w:rsidRPr="00EC2801" w:rsidRDefault="00EC2801" w:rsidP="00EC2801">
            <w:pPr>
              <w:pStyle w:val="Tablas"/>
              <w:rPr>
                <w:sz w:val="18"/>
                <w:szCs w:val="18"/>
              </w:rPr>
            </w:pPr>
            <w:r w:rsidRPr="00EC2801">
              <w:rPr>
                <w:sz w:val="18"/>
                <w:szCs w:val="18"/>
              </w:rPr>
              <w:t>0.1658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371820D" w14:textId="77777777" w:rsidR="00EC2801" w:rsidRPr="00EC2801" w:rsidRDefault="00EC2801" w:rsidP="00EC2801">
            <w:pPr>
              <w:pStyle w:val="Tablas"/>
              <w:rPr>
                <w:sz w:val="18"/>
                <w:szCs w:val="18"/>
              </w:rPr>
            </w:pPr>
            <w:r w:rsidRPr="00EC2801">
              <w:rPr>
                <w:sz w:val="18"/>
                <w:szCs w:val="18"/>
              </w:rPr>
              <w:t>0.00100</w:t>
            </w:r>
          </w:p>
        </w:tc>
        <w:tc>
          <w:tcPr>
            <w:tcW w:w="574" w:type="pct"/>
            <w:tcBorders>
              <w:top w:val="nil"/>
              <w:left w:val="nil"/>
              <w:bottom w:val="single" w:sz="4" w:space="0" w:color="auto"/>
              <w:right w:val="single" w:sz="4" w:space="0" w:color="auto"/>
            </w:tcBorders>
            <w:shd w:val="clear" w:color="auto" w:fill="auto"/>
            <w:noWrap/>
            <w:vAlign w:val="bottom"/>
            <w:hideMark/>
          </w:tcPr>
          <w:p w14:paraId="14970B23"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0192EC19" w14:textId="77777777" w:rsidR="00EC2801" w:rsidRPr="00EC2801" w:rsidRDefault="00EC2801" w:rsidP="00EC2801">
            <w:pPr>
              <w:pStyle w:val="Tablas"/>
              <w:rPr>
                <w:sz w:val="18"/>
                <w:szCs w:val="18"/>
              </w:rPr>
            </w:pPr>
            <w:r w:rsidRPr="00EC2801">
              <w:rPr>
                <w:sz w:val="18"/>
                <w:szCs w:val="18"/>
              </w:rPr>
              <w:t>0.00454</w:t>
            </w:r>
          </w:p>
        </w:tc>
        <w:tc>
          <w:tcPr>
            <w:tcW w:w="717" w:type="pct"/>
            <w:tcBorders>
              <w:top w:val="nil"/>
              <w:left w:val="nil"/>
              <w:bottom w:val="single" w:sz="4" w:space="0" w:color="auto"/>
              <w:right w:val="single" w:sz="4" w:space="0" w:color="auto"/>
            </w:tcBorders>
            <w:shd w:val="clear" w:color="auto" w:fill="auto"/>
            <w:noWrap/>
            <w:vAlign w:val="bottom"/>
            <w:hideMark/>
          </w:tcPr>
          <w:p w14:paraId="7C783F43" w14:textId="77777777" w:rsidR="00EC2801" w:rsidRPr="00EC2801" w:rsidRDefault="00EC2801" w:rsidP="00EC2801">
            <w:pPr>
              <w:pStyle w:val="Tablas"/>
              <w:rPr>
                <w:sz w:val="18"/>
                <w:szCs w:val="18"/>
              </w:rPr>
            </w:pPr>
            <w:r w:rsidRPr="00EC2801">
              <w:rPr>
                <w:sz w:val="18"/>
                <w:szCs w:val="18"/>
              </w:rPr>
              <w:t>0.00028</w:t>
            </w:r>
          </w:p>
        </w:tc>
        <w:tc>
          <w:tcPr>
            <w:tcW w:w="574" w:type="pct"/>
            <w:tcBorders>
              <w:top w:val="nil"/>
              <w:left w:val="nil"/>
              <w:bottom w:val="single" w:sz="4" w:space="0" w:color="auto"/>
              <w:right w:val="single" w:sz="4" w:space="0" w:color="auto"/>
            </w:tcBorders>
            <w:shd w:val="clear" w:color="auto" w:fill="auto"/>
            <w:noWrap/>
            <w:vAlign w:val="bottom"/>
            <w:hideMark/>
          </w:tcPr>
          <w:p w14:paraId="2C1FF8C9"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6197F762" w14:textId="77777777" w:rsidR="00EC2801" w:rsidRPr="00EC2801" w:rsidRDefault="00EC2801" w:rsidP="00EC2801">
            <w:pPr>
              <w:pStyle w:val="Tablas"/>
              <w:rPr>
                <w:sz w:val="18"/>
                <w:szCs w:val="18"/>
              </w:rPr>
            </w:pPr>
            <w:r w:rsidRPr="00EC2801">
              <w:rPr>
                <w:sz w:val="18"/>
                <w:szCs w:val="18"/>
              </w:rPr>
              <w:t>0.00212</w:t>
            </w:r>
          </w:p>
        </w:tc>
      </w:tr>
      <w:tr w:rsidR="00EC2801" w:rsidRPr="00EC2801" w14:paraId="7270D2FB"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54B92C9" w14:textId="77777777" w:rsidR="00EC2801" w:rsidRPr="00EC2801" w:rsidRDefault="00EC2801" w:rsidP="00EC2801">
            <w:pPr>
              <w:pStyle w:val="Tablas"/>
              <w:rPr>
                <w:sz w:val="18"/>
                <w:szCs w:val="18"/>
              </w:rPr>
            </w:pPr>
            <w:r w:rsidRPr="00EC2801">
              <w:rPr>
                <w:sz w:val="18"/>
                <w:szCs w:val="18"/>
              </w:rPr>
              <w:t>23</w:t>
            </w:r>
          </w:p>
        </w:tc>
        <w:tc>
          <w:tcPr>
            <w:tcW w:w="722" w:type="pct"/>
            <w:tcBorders>
              <w:top w:val="nil"/>
              <w:left w:val="single" w:sz="8" w:space="0" w:color="auto"/>
              <w:bottom w:val="single" w:sz="4" w:space="0" w:color="auto"/>
              <w:right w:val="nil"/>
            </w:tcBorders>
            <w:shd w:val="clear" w:color="auto" w:fill="auto"/>
            <w:noWrap/>
            <w:vAlign w:val="bottom"/>
            <w:hideMark/>
          </w:tcPr>
          <w:p w14:paraId="5F4AEAF4" w14:textId="77777777" w:rsidR="00EC2801" w:rsidRPr="00EC2801" w:rsidRDefault="00EC2801" w:rsidP="00EC2801">
            <w:pPr>
              <w:pStyle w:val="Tablas"/>
              <w:rPr>
                <w:sz w:val="18"/>
                <w:szCs w:val="18"/>
              </w:rPr>
            </w:pPr>
            <w:r w:rsidRPr="00EC2801">
              <w:rPr>
                <w:sz w:val="18"/>
                <w:szCs w:val="18"/>
              </w:rPr>
              <w:t>0.1978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8248CD9" w14:textId="77777777" w:rsidR="00EC2801" w:rsidRPr="00EC2801" w:rsidRDefault="00EC2801" w:rsidP="00EC2801">
            <w:pPr>
              <w:pStyle w:val="Tablas"/>
              <w:rPr>
                <w:sz w:val="18"/>
                <w:szCs w:val="18"/>
              </w:rPr>
            </w:pPr>
            <w:r w:rsidRPr="00EC2801">
              <w:rPr>
                <w:sz w:val="18"/>
                <w:szCs w:val="18"/>
              </w:rPr>
              <w:t>0.00106</w:t>
            </w:r>
          </w:p>
        </w:tc>
        <w:tc>
          <w:tcPr>
            <w:tcW w:w="574" w:type="pct"/>
            <w:tcBorders>
              <w:top w:val="nil"/>
              <w:left w:val="nil"/>
              <w:bottom w:val="single" w:sz="4" w:space="0" w:color="auto"/>
              <w:right w:val="single" w:sz="4" w:space="0" w:color="auto"/>
            </w:tcBorders>
            <w:shd w:val="clear" w:color="auto" w:fill="auto"/>
            <w:noWrap/>
            <w:vAlign w:val="bottom"/>
            <w:hideMark/>
          </w:tcPr>
          <w:p w14:paraId="0D3C447D"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5C1C3937" w14:textId="77777777" w:rsidR="00EC2801" w:rsidRPr="00EC2801" w:rsidRDefault="00EC2801" w:rsidP="00EC2801">
            <w:pPr>
              <w:pStyle w:val="Tablas"/>
              <w:rPr>
                <w:sz w:val="18"/>
                <w:szCs w:val="18"/>
              </w:rPr>
            </w:pPr>
            <w:r w:rsidRPr="00EC2801">
              <w:rPr>
                <w:sz w:val="18"/>
                <w:szCs w:val="18"/>
              </w:rPr>
              <w:t>0.00476</w:t>
            </w:r>
          </w:p>
        </w:tc>
        <w:tc>
          <w:tcPr>
            <w:tcW w:w="717" w:type="pct"/>
            <w:tcBorders>
              <w:top w:val="nil"/>
              <w:left w:val="nil"/>
              <w:bottom w:val="single" w:sz="4" w:space="0" w:color="auto"/>
              <w:right w:val="single" w:sz="4" w:space="0" w:color="auto"/>
            </w:tcBorders>
            <w:shd w:val="clear" w:color="auto" w:fill="auto"/>
            <w:noWrap/>
            <w:vAlign w:val="bottom"/>
            <w:hideMark/>
          </w:tcPr>
          <w:p w14:paraId="41CBC999" w14:textId="77777777" w:rsidR="00EC2801" w:rsidRPr="00EC2801" w:rsidRDefault="00EC2801" w:rsidP="00EC2801">
            <w:pPr>
              <w:pStyle w:val="Tablas"/>
              <w:rPr>
                <w:sz w:val="18"/>
                <w:szCs w:val="18"/>
              </w:rPr>
            </w:pPr>
            <w:r w:rsidRPr="00EC2801">
              <w:rPr>
                <w:sz w:val="18"/>
                <w:szCs w:val="18"/>
              </w:rPr>
              <w:t>0.00029</w:t>
            </w:r>
          </w:p>
        </w:tc>
        <w:tc>
          <w:tcPr>
            <w:tcW w:w="574" w:type="pct"/>
            <w:tcBorders>
              <w:top w:val="nil"/>
              <w:left w:val="nil"/>
              <w:bottom w:val="single" w:sz="4" w:space="0" w:color="auto"/>
              <w:right w:val="single" w:sz="4" w:space="0" w:color="auto"/>
            </w:tcBorders>
            <w:shd w:val="clear" w:color="auto" w:fill="auto"/>
            <w:noWrap/>
            <w:vAlign w:val="bottom"/>
            <w:hideMark/>
          </w:tcPr>
          <w:p w14:paraId="4201CB86"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59E99E75" w14:textId="77777777" w:rsidR="00EC2801" w:rsidRPr="00EC2801" w:rsidRDefault="00EC2801" w:rsidP="00EC2801">
            <w:pPr>
              <w:pStyle w:val="Tablas"/>
              <w:rPr>
                <w:sz w:val="18"/>
                <w:szCs w:val="18"/>
              </w:rPr>
            </w:pPr>
            <w:r w:rsidRPr="00EC2801">
              <w:rPr>
                <w:sz w:val="18"/>
                <w:szCs w:val="18"/>
              </w:rPr>
              <w:t>0.00224</w:t>
            </w:r>
          </w:p>
        </w:tc>
      </w:tr>
      <w:tr w:rsidR="00EC2801" w:rsidRPr="00EC2801" w14:paraId="5AEF7340"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D5AD746" w14:textId="77777777" w:rsidR="00EC2801" w:rsidRPr="00EC2801" w:rsidRDefault="00EC2801" w:rsidP="00EC2801">
            <w:pPr>
              <w:pStyle w:val="Tablas"/>
              <w:rPr>
                <w:sz w:val="18"/>
                <w:szCs w:val="18"/>
              </w:rPr>
            </w:pPr>
            <w:r w:rsidRPr="00EC2801">
              <w:rPr>
                <w:sz w:val="18"/>
                <w:szCs w:val="18"/>
              </w:rPr>
              <w:t>24</w:t>
            </w:r>
          </w:p>
        </w:tc>
        <w:tc>
          <w:tcPr>
            <w:tcW w:w="722" w:type="pct"/>
            <w:tcBorders>
              <w:top w:val="nil"/>
              <w:left w:val="single" w:sz="8" w:space="0" w:color="auto"/>
              <w:bottom w:val="single" w:sz="4" w:space="0" w:color="auto"/>
              <w:right w:val="nil"/>
            </w:tcBorders>
            <w:shd w:val="clear" w:color="auto" w:fill="auto"/>
            <w:noWrap/>
            <w:vAlign w:val="bottom"/>
            <w:hideMark/>
          </w:tcPr>
          <w:p w14:paraId="51018E71" w14:textId="77777777" w:rsidR="00EC2801" w:rsidRPr="00EC2801" w:rsidRDefault="00EC2801" w:rsidP="00EC2801">
            <w:pPr>
              <w:pStyle w:val="Tablas"/>
              <w:rPr>
                <w:sz w:val="18"/>
                <w:szCs w:val="18"/>
              </w:rPr>
            </w:pPr>
            <w:r w:rsidRPr="00EC2801">
              <w:rPr>
                <w:sz w:val="18"/>
                <w:szCs w:val="18"/>
              </w:rPr>
              <w:t>0.2287</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3C26230" w14:textId="77777777" w:rsidR="00EC2801" w:rsidRPr="00EC2801" w:rsidRDefault="00EC2801" w:rsidP="00EC2801">
            <w:pPr>
              <w:pStyle w:val="Tablas"/>
              <w:rPr>
                <w:sz w:val="18"/>
                <w:szCs w:val="18"/>
              </w:rPr>
            </w:pPr>
            <w:r w:rsidRPr="00EC2801">
              <w:rPr>
                <w:sz w:val="18"/>
                <w:szCs w:val="18"/>
              </w:rPr>
              <w:t>0.00110</w:t>
            </w:r>
          </w:p>
        </w:tc>
        <w:tc>
          <w:tcPr>
            <w:tcW w:w="574" w:type="pct"/>
            <w:tcBorders>
              <w:top w:val="nil"/>
              <w:left w:val="nil"/>
              <w:bottom w:val="single" w:sz="4" w:space="0" w:color="auto"/>
              <w:right w:val="single" w:sz="4" w:space="0" w:color="auto"/>
            </w:tcBorders>
            <w:shd w:val="clear" w:color="auto" w:fill="auto"/>
            <w:noWrap/>
            <w:vAlign w:val="bottom"/>
            <w:hideMark/>
          </w:tcPr>
          <w:p w14:paraId="133D9CD0"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3DB59514" w14:textId="77777777" w:rsidR="00EC2801" w:rsidRPr="00EC2801" w:rsidRDefault="00EC2801" w:rsidP="00EC2801">
            <w:pPr>
              <w:pStyle w:val="Tablas"/>
              <w:rPr>
                <w:sz w:val="18"/>
                <w:szCs w:val="18"/>
              </w:rPr>
            </w:pPr>
            <w:r w:rsidRPr="00EC2801">
              <w:rPr>
                <w:sz w:val="18"/>
                <w:szCs w:val="18"/>
              </w:rPr>
              <w:t>0.00498</w:t>
            </w:r>
          </w:p>
        </w:tc>
        <w:tc>
          <w:tcPr>
            <w:tcW w:w="717" w:type="pct"/>
            <w:tcBorders>
              <w:top w:val="nil"/>
              <w:left w:val="nil"/>
              <w:bottom w:val="single" w:sz="4" w:space="0" w:color="auto"/>
              <w:right w:val="single" w:sz="4" w:space="0" w:color="auto"/>
            </w:tcBorders>
            <w:shd w:val="clear" w:color="auto" w:fill="auto"/>
            <w:noWrap/>
            <w:vAlign w:val="bottom"/>
            <w:hideMark/>
          </w:tcPr>
          <w:p w14:paraId="7A24FEF9" w14:textId="77777777" w:rsidR="00EC2801" w:rsidRPr="00EC2801" w:rsidRDefault="00EC2801" w:rsidP="00EC2801">
            <w:pPr>
              <w:pStyle w:val="Tablas"/>
              <w:rPr>
                <w:sz w:val="18"/>
                <w:szCs w:val="18"/>
              </w:rPr>
            </w:pPr>
            <w:r w:rsidRPr="00EC2801">
              <w:rPr>
                <w:sz w:val="18"/>
                <w:szCs w:val="18"/>
              </w:rPr>
              <w:t>0.00031</w:t>
            </w:r>
          </w:p>
        </w:tc>
        <w:tc>
          <w:tcPr>
            <w:tcW w:w="574" w:type="pct"/>
            <w:tcBorders>
              <w:top w:val="nil"/>
              <w:left w:val="nil"/>
              <w:bottom w:val="single" w:sz="4" w:space="0" w:color="auto"/>
              <w:right w:val="single" w:sz="4" w:space="0" w:color="auto"/>
            </w:tcBorders>
            <w:shd w:val="clear" w:color="auto" w:fill="auto"/>
            <w:noWrap/>
            <w:vAlign w:val="bottom"/>
            <w:hideMark/>
          </w:tcPr>
          <w:p w14:paraId="78568712"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2A88BE0B" w14:textId="77777777" w:rsidR="00EC2801" w:rsidRPr="00EC2801" w:rsidRDefault="00EC2801" w:rsidP="00EC2801">
            <w:pPr>
              <w:pStyle w:val="Tablas"/>
              <w:rPr>
                <w:sz w:val="18"/>
                <w:szCs w:val="18"/>
              </w:rPr>
            </w:pPr>
            <w:r w:rsidRPr="00EC2801">
              <w:rPr>
                <w:sz w:val="18"/>
                <w:szCs w:val="18"/>
              </w:rPr>
              <w:t>0.00237</w:t>
            </w:r>
          </w:p>
        </w:tc>
      </w:tr>
      <w:tr w:rsidR="00EC2801" w:rsidRPr="00EC2801" w14:paraId="564DA844"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F25547D" w14:textId="77777777" w:rsidR="00EC2801" w:rsidRPr="00EC2801" w:rsidRDefault="00EC2801" w:rsidP="00EC2801">
            <w:pPr>
              <w:pStyle w:val="Tablas"/>
              <w:rPr>
                <w:sz w:val="18"/>
                <w:szCs w:val="18"/>
              </w:rPr>
            </w:pPr>
            <w:r w:rsidRPr="00EC2801">
              <w:rPr>
                <w:sz w:val="18"/>
                <w:szCs w:val="18"/>
              </w:rPr>
              <w:t>25</w:t>
            </w:r>
          </w:p>
        </w:tc>
        <w:tc>
          <w:tcPr>
            <w:tcW w:w="722" w:type="pct"/>
            <w:tcBorders>
              <w:top w:val="nil"/>
              <w:left w:val="single" w:sz="8" w:space="0" w:color="auto"/>
              <w:bottom w:val="single" w:sz="4" w:space="0" w:color="auto"/>
              <w:right w:val="nil"/>
            </w:tcBorders>
            <w:shd w:val="clear" w:color="auto" w:fill="auto"/>
            <w:noWrap/>
            <w:vAlign w:val="bottom"/>
            <w:hideMark/>
          </w:tcPr>
          <w:p w14:paraId="46270B03" w14:textId="77777777" w:rsidR="00EC2801" w:rsidRPr="00EC2801" w:rsidRDefault="00EC2801" w:rsidP="00EC2801">
            <w:pPr>
              <w:pStyle w:val="Tablas"/>
              <w:rPr>
                <w:sz w:val="18"/>
                <w:szCs w:val="18"/>
              </w:rPr>
            </w:pPr>
            <w:r w:rsidRPr="00EC2801">
              <w:rPr>
                <w:sz w:val="18"/>
                <w:szCs w:val="18"/>
              </w:rPr>
              <w:t>0.2585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2DE567E" w14:textId="77777777" w:rsidR="00EC2801" w:rsidRPr="00EC2801" w:rsidRDefault="00EC2801" w:rsidP="00EC2801">
            <w:pPr>
              <w:pStyle w:val="Tablas"/>
              <w:rPr>
                <w:sz w:val="18"/>
                <w:szCs w:val="18"/>
              </w:rPr>
            </w:pPr>
            <w:r w:rsidRPr="00EC2801">
              <w:rPr>
                <w:sz w:val="18"/>
                <w:szCs w:val="18"/>
              </w:rPr>
              <w:t>0.00114</w:t>
            </w:r>
          </w:p>
        </w:tc>
        <w:tc>
          <w:tcPr>
            <w:tcW w:w="574" w:type="pct"/>
            <w:tcBorders>
              <w:top w:val="nil"/>
              <w:left w:val="nil"/>
              <w:bottom w:val="single" w:sz="4" w:space="0" w:color="auto"/>
              <w:right w:val="single" w:sz="4" w:space="0" w:color="auto"/>
            </w:tcBorders>
            <w:shd w:val="clear" w:color="auto" w:fill="auto"/>
            <w:noWrap/>
            <w:vAlign w:val="bottom"/>
            <w:hideMark/>
          </w:tcPr>
          <w:p w14:paraId="06A908E7"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1DC73354" w14:textId="77777777" w:rsidR="00EC2801" w:rsidRPr="00EC2801" w:rsidRDefault="00EC2801" w:rsidP="00EC2801">
            <w:pPr>
              <w:pStyle w:val="Tablas"/>
              <w:rPr>
                <w:sz w:val="18"/>
                <w:szCs w:val="18"/>
              </w:rPr>
            </w:pPr>
            <w:r w:rsidRPr="00EC2801">
              <w:rPr>
                <w:sz w:val="18"/>
                <w:szCs w:val="18"/>
              </w:rPr>
              <w:t>0.00522</w:t>
            </w:r>
          </w:p>
        </w:tc>
        <w:tc>
          <w:tcPr>
            <w:tcW w:w="717" w:type="pct"/>
            <w:tcBorders>
              <w:top w:val="nil"/>
              <w:left w:val="nil"/>
              <w:bottom w:val="single" w:sz="4" w:space="0" w:color="auto"/>
              <w:right w:val="single" w:sz="4" w:space="0" w:color="auto"/>
            </w:tcBorders>
            <w:shd w:val="clear" w:color="auto" w:fill="auto"/>
            <w:noWrap/>
            <w:vAlign w:val="bottom"/>
            <w:hideMark/>
          </w:tcPr>
          <w:p w14:paraId="7E08D3D6" w14:textId="77777777" w:rsidR="00EC2801" w:rsidRPr="00EC2801" w:rsidRDefault="00EC2801" w:rsidP="00EC2801">
            <w:pPr>
              <w:pStyle w:val="Tablas"/>
              <w:rPr>
                <w:sz w:val="18"/>
                <w:szCs w:val="18"/>
              </w:rPr>
            </w:pPr>
            <w:r w:rsidRPr="00EC2801">
              <w:rPr>
                <w:sz w:val="18"/>
                <w:szCs w:val="18"/>
              </w:rPr>
              <w:t>0.00033</w:t>
            </w:r>
          </w:p>
        </w:tc>
        <w:tc>
          <w:tcPr>
            <w:tcW w:w="574" w:type="pct"/>
            <w:tcBorders>
              <w:top w:val="nil"/>
              <w:left w:val="nil"/>
              <w:bottom w:val="single" w:sz="4" w:space="0" w:color="auto"/>
              <w:right w:val="single" w:sz="4" w:space="0" w:color="auto"/>
            </w:tcBorders>
            <w:shd w:val="clear" w:color="auto" w:fill="auto"/>
            <w:noWrap/>
            <w:vAlign w:val="bottom"/>
            <w:hideMark/>
          </w:tcPr>
          <w:p w14:paraId="33B3AD08"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0F01E227" w14:textId="77777777" w:rsidR="00EC2801" w:rsidRPr="00EC2801" w:rsidRDefault="00EC2801" w:rsidP="00EC2801">
            <w:pPr>
              <w:pStyle w:val="Tablas"/>
              <w:rPr>
                <w:sz w:val="18"/>
                <w:szCs w:val="18"/>
              </w:rPr>
            </w:pPr>
            <w:r w:rsidRPr="00EC2801">
              <w:rPr>
                <w:sz w:val="18"/>
                <w:szCs w:val="18"/>
              </w:rPr>
              <w:t>0.00250</w:t>
            </w:r>
          </w:p>
        </w:tc>
      </w:tr>
      <w:tr w:rsidR="00EC2801" w:rsidRPr="00EC2801" w14:paraId="6A4622E1"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C3D1815" w14:textId="77777777" w:rsidR="00EC2801" w:rsidRPr="00EC2801" w:rsidRDefault="00EC2801" w:rsidP="00EC2801">
            <w:pPr>
              <w:pStyle w:val="Tablas"/>
              <w:rPr>
                <w:sz w:val="18"/>
                <w:szCs w:val="18"/>
              </w:rPr>
            </w:pPr>
            <w:r w:rsidRPr="00EC2801">
              <w:rPr>
                <w:sz w:val="18"/>
                <w:szCs w:val="18"/>
              </w:rPr>
              <w:t>26</w:t>
            </w:r>
          </w:p>
        </w:tc>
        <w:tc>
          <w:tcPr>
            <w:tcW w:w="722" w:type="pct"/>
            <w:tcBorders>
              <w:top w:val="nil"/>
              <w:left w:val="single" w:sz="8" w:space="0" w:color="auto"/>
              <w:bottom w:val="single" w:sz="4" w:space="0" w:color="auto"/>
              <w:right w:val="nil"/>
            </w:tcBorders>
            <w:shd w:val="clear" w:color="auto" w:fill="auto"/>
            <w:noWrap/>
            <w:vAlign w:val="bottom"/>
            <w:hideMark/>
          </w:tcPr>
          <w:p w14:paraId="4ED1E699" w14:textId="77777777" w:rsidR="00EC2801" w:rsidRPr="00EC2801" w:rsidRDefault="00EC2801" w:rsidP="00EC2801">
            <w:pPr>
              <w:pStyle w:val="Tablas"/>
              <w:rPr>
                <w:sz w:val="18"/>
                <w:szCs w:val="18"/>
              </w:rPr>
            </w:pPr>
            <w:r w:rsidRPr="00EC2801">
              <w:rPr>
                <w:sz w:val="18"/>
                <w:szCs w:val="18"/>
              </w:rPr>
              <w:t>0.2872</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58856EB" w14:textId="77777777" w:rsidR="00EC2801" w:rsidRPr="00EC2801" w:rsidRDefault="00EC2801" w:rsidP="00EC2801">
            <w:pPr>
              <w:pStyle w:val="Tablas"/>
              <w:rPr>
                <w:sz w:val="18"/>
                <w:szCs w:val="18"/>
              </w:rPr>
            </w:pPr>
            <w:r w:rsidRPr="00EC2801">
              <w:rPr>
                <w:sz w:val="18"/>
                <w:szCs w:val="18"/>
              </w:rPr>
              <w:t>0.00118</w:t>
            </w:r>
          </w:p>
        </w:tc>
        <w:tc>
          <w:tcPr>
            <w:tcW w:w="574" w:type="pct"/>
            <w:tcBorders>
              <w:top w:val="nil"/>
              <w:left w:val="nil"/>
              <w:bottom w:val="single" w:sz="4" w:space="0" w:color="auto"/>
              <w:right w:val="single" w:sz="4" w:space="0" w:color="auto"/>
            </w:tcBorders>
            <w:shd w:val="clear" w:color="auto" w:fill="auto"/>
            <w:noWrap/>
            <w:vAlign w:val="bottom"/>
            <w:hideMark/>
          </w:tcPr>
          <w:p w14:paraId="3A7B5F52"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2A04A07C" w14:textId="77777777" w:rsidR="00EC2801" w:rsidRPr="00EC2801" w:rsidRDefault="00EC2801" w:rsidP="00EC2801">
            <w:pPr>
              <w:pStyle w:val="Tablas"/>
              <w:rPr>
                <w:sz w:val="18"/>
                <w:szCs w:val="18"/>
              </w:rPr>
            </w:pPr>
            <w:r w:rsidRPr="00EC2801">
              <w:rPr>
                <w:sz w:val="18"/>
                <w:szCs w:val="18"/>
              </w:rPr>
              <w:t>0.00548</w:t>
            </w:r>
          </w:p>
        </w:tc>
        <w:tc>
          <w:tcPr>
            <w:tcW w:w="717" w:type="pct"/>
            <w:tcBorders>
              <w:top w:val="nil"/>
              <w:left w:val="nil"/>
              <w:bottom w:val="single" w:sz="4" w:space="0" w:color="auto"/>
              <w:right w:val="single" w:sz="4" w:space="0" w:color="auto"/>
            </w:tcBorders>
            <w:shd w:val="clear" w:color="auto" w:fill="auto"/>
            <w:noWrap/>
            <w:vAlign w:val="bottom"/>
            <w:hideMark/>
          </w:tcPr>
          <w:p w14:paraId="0E8D8AC5" w14:textId="77777777" w:rsidR="00EC2801" w:rsidRPr="00EC2801" w:rsidRDefault="00EC2801" w:rsidP="00EC2801">
            <w:pPr>
              <w:pStyle w:val="Tablas"/>
              <w:rPr>
                <w:sz w:val="18"/>
                <w:szCs w:val="18"/>
              </w:rPr>
            </w:pPr>
            <w:r w:rsidRPr="00EC2801">
              <w:rPr>
                <w:sz w:val="18"/>
                <w:szCs w:val="18"/>
              </w:rPr>
              <w:t>0.00035</w:t>
            </w:r>
          </w:p>
        </w:tc>
        <w:tc>
          <w:tcPr>
            <w:tcW w:w="574" w:type="pct"/>
            <w:tcBorders>
              <w:top w:val="nil"/>
              <w:left w:val="nil"/>
              <w:bottom w:val="single" w:sz="4" w:space="0" w:color="auto"/>
              <w:right w:val="single" w:sz="4" w:space="0" w:color="auto"/>
            </w:tcBorders>
            <w:shd w:val="clear" w:color="auto" w:fill="auto"/>
            <w:noWrap/>
            <w:vAlign w:val="bottom"/>
            <w:hideMark/>
          </w:tcPr>
          <w:p w14:paraId="6711533F"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1EB3941F" w14:textId="77777777" w:rsidR="00EC2801" w:rsidRPr="00EC2801" w:rsidRDefault="00EC2801" w:rsidP="00EC2801">
            <w:pPr>
              <w:pStyle w:val="Tablas"/>
              <w:rPr>
                <w:sz w:val="18"/>
                <w:szCs w:val="18"/>
              </w:rPr>
            </w:pPr>
            <w:r w:rsidRPr="00EC2801">
              <w:rPr>
                <w:sz w:val="18"/>
                <w:szCs w:val="18"/>
              </w:rPr>
              <w:t>0.00264</w:t>
            </w:r>
          </w:p>
        </w:tc>
      </w:tr>
      <w:tr w:rsidR="00EC2801" w:rsidRPr="00EC2801" w14:paraId="0DC403A7"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FB505BB" w14:textId="77777777" w:rsidR="00EC2801" w:rsidRPr="00EC2801" w:rsidRDefault="00EC2801" w:rsidP="00EC2801">
            <w:pPr>
              <w:pStyle w:val="Tablas"/>
              <w:rPr>
                <w:sz w:val="18"/>
                <w:szCs w:val="18"/>
              </w:rPr>
            </w:pPr>
            <w:r w:rsidRPr="00EC2801">
              <w:rPr>
                <w:sz w:val="18"/>
                <w:szCs w:val="18"/>
              </w:rPr>
              <w:t>27</w:t>
            </w:r>
          </w:p>
        </w:tc>
        <w:tc>
          <w:tcPr>
            <w:tcW w:w="722" w:type="pct"/>
            <w:tcBorders>
              <w:top w:val="nil"/>
              <w:left w:val="single" w:sz="8" w:space="0" w:color="auto"/>
              <w:bottom w:val="single" w:sz="4" w:space="0" w:color="auto"/>
              <w:right w:val="nil"/>
            </w:tcBorders>
            <w:shd w:val="clear" w:color="auto" w:fill="auto"/>
            <w:noWrap/>
            <w:vAlign w:val="bottom"/>
            <w:hideMark/>
          </w:tcPr>
          <w:p w14:paraId="7EA9914D" w14:textId="77777777" w:rsidR="00EC2801" w:rsidRPr="00EC2801" w:rsidRDefault="00EC2801" w:rsidP="00EC2801">
            <w:pPr>
              <w:pStyle w:val="Tablas"/>
              <w:rPr>
                <w:sz w:val="18"/>
                <w:szCs w:val="18"/>
              </w:rPr>
            </w:pPr>
            <w:r w:rsidRPr="00EC2801">
              <w:rPr>
                <w:sz w:val="18"/>
                <w:szCs w:val="18"/>
              </w:rPr>
              <w:t>0.3149</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A3823EB" w14:textId="77777777" w:rsidR="00EC2801" w:rsidRPr="00EC2801" w:rsidRDefault="00EC2801" w:rsidP="00EC2801">
            <w:pPr>
              <w:pStyle w:val="Tablas"/>
              <w:rPr>
                <w:sz w:val="18"/>
                <w:szCs w:val="18"/>
              </w:rPr>
            </w:pPr>
            <w:r w:rsidRPr="00EC2801">
              <w:rPr>
                <w:sz w:val="18"/>
                <w:szCs w:val="18"/>
              </w:rPr>
              <w:t>0.00121</w:t>
            </w:r>
          </w:p>
        </w:tc>
        <w:tc>
          <w:tcPr>
            <w:tcW w:w="574" w:type="pct"/>
            <w:tcBorders>
              <w:top w:val="nil"/>
              <w:left w:val="nil"/>
              <w:bottom w:val="single" w:sz="4" w:space="0" w:color="auto"/>
              <w:right w:val="single" w:sz="4" w:space="0" w:color="auto"/>
            </w:tcBorders>
            <w:shd w:val="clear" w:color="auto" w:fill="auto"/>
            <w:noWrap/>
            <w:vAlign w:val="bottom"/>
            <w:hideMark/>
          </w:tcPr>
          <w:p w14:paraId="66C6CC67"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739C8A0B" w14:textId="77777777" w:rsidR="00EC2801" w:rsidRPr="00EC2801" w:rsidRDefault="00EC2801" w:rsidP="00EC2801">
            <w:pPr>
              <w:pStyle w:val="Tablas"/>
              <w:rPr>
                <w:sz w:val="18"/>
                <w:szCs w:val="18"/>
              </w:rPr>
            </w:pPr>
            <w:r w:rsidRPr="00EC2801">
              <w:rPr>
                <w:sz w:val="18"/>
                <w:szCs w:val="18"/>
              </w:rPr>
              <w:t>0.00574</w:t>
            </w:r>
          </w:p>
        </w:tc>
        <w:tc>
          <w:tcPr>
            <w:tcW w:w="717" w:type="pct"/>
            <w:tcBorders>
              <w:top w:val="nil"/>
              <w:left w:val="nil"/>
              <w:bottom w:val="single" w:sz="4" w:space="0" w:color="auto"/>
              <w:right w:val="single" w:sz="4" w:space="0" w:color="auto"/>
            </w:tcBorders>
            <w:shd w:val="clear" w:color="auto" w:fill="auto"/>
            <w:noWrap/>
            <w:vAlign w:val="bottom"/>
            <w:hideMark/>
          </w:tcPr>
          <w:p w14:paraId="5768C726" w14:textId="77777777" w:rsidR="00EC2801" w:rsidRPr="00EC2801" w:rsidRDefault="00EC2801" w:rsidP="00EC2801">
            <w:pPr>
              <w:pStyle w:val="Tablas"/>
              <w:rPr>
                <w:sz w:val="18"/>
                <w:szCs w:val="18"/>
              </w:rPr>
            </w:pPr>
            <w:r w:rsidRPr="00EC2801">
              <w:rPr>
                <w:sz w:val="18"/>
                <w:szCs w:val="18"/>
              </w:rPr>
              <w:t>0.00037</w:t>
            </w:r>
          </w:p>
        </w:tc>
        <w:tc>
          <w:tcPr>
            <w:tcW w:w="574" w:type="pct"/>
            <w:tcBorders>
              <w:top w:val="nil"/>
              <w:left w:val="nil"/>
              <w:bottom w:val="single" w:sz="4" w:space="0" w:color="auto"/>
              <w:right w:val="single" w:sz="4" w:space="0" w:color="auto"/>
            </w:tcBorders>
            <w:shd w:val="clear" w:color="auto" w:fill="auto"/>
            <w:noWrap/>
            <w:vAlign w:val="bottom"/>
            <w:hideMark/>
          </w:tcPr>
          <w:p w14:paraId="69ACE015"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281D7952" w14:textId="77777777" w:rsidR="00EC2801" w:rsidRPr="00EC2801" w:rsidRDefault="00EC2801" w:rsidP="00EC2801">
            <w:pPr>
              <w:pStyle w:val="Tablas"/>
              <w:rPr>
                <w:sz w:val="18"/>
                <w:szCs w:val="18"/>
              </w:rPr>
            </w:pPr>
            <w:r w:rsidRPr="00EC2801">
              <w:rPr>
                <w:sz w:val="18"/>
                <w:szCs w:val="18"/>
              </w:rPr>
              <w:t>0.00279</w:t>
            </w:r>
          </w:p>
        </w:tc>
      </w:tr>
      <w:tr w:rsidR="00EC2801" w:rsidRPr="00EC2801" w14:paraId="7F6178C7"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33CCCE5F" w14:textId="77777777" w:rsidR="00EC2801" w:rsidRPr="00EC2801" w:rsidRDefault="00EC2801" w:rsidP="00EC2801">
            <w:pPr>
              <w:pStyle w:val="Tablas"/>
              <w:rPr>
                <w:sz w:val="18"/>
                <w:szCs w:val="18"/>
              </w:rPr>
            </w:pPr>
            <w:r w:rsidRPr="00EC2801">
              <w:rPr>
                <w:sz w:val="18"/>
                <w:szCs w:val="18"/>
              </w:rPr>
              <w:t>28</w:t>
            </w:r>
          </w:p>
        </w:tc>
        <w:tc>
          <w:tcPr>
            <w:tcW w:w="722" w:type="pct"/>
            <w:tcBorders>
              <w:top w:val="nil"/>
              <w:left w:val="single" w:sz="8" w:space="0" w:color="auto"/>
              <w:bottom w:val="single" w:sz="4" w:space="0" w:color="auto"/>
              <w:right w:val="nil"/>
            </w:tcBorders>
            <w:shd w:val="clear" w:color="auto" w:fill="auto"/>
            <w:noWrap/>
            <w:vAlign w:val="bottom"/>
            <w:hideMark/>
          </w:tcPr>
          <w:p w14:paraId="5315EEE6" w14:textId="77777777" w:rsidR="00EC2801" w:rsidRPr="00EC2801" w:rsidRDefault="00EC2801" w:rsidP="00EC2801">
            <w:pPr>
              <w:pStyle w:val="Tablas"/>
              <w:rPr>
                <w:sz w:val="18"/>
                <w:szCs w:val="18"/>
              </w:rPr>
            </w:pPr>
            <w:r w:rsidRPr="00EC2801">
              <w:rPr>
                <w:sz w:val="18"/>
                <w:szCs w:val="18"/>
              </w:rPr>
              <w:t>0.3414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B7AC5F9" w14:textId="77777777" w:rsidR="00EC2801" w:rsidRPr="00EC2801" w:rsidRDefault="00EC2801" w:rsidP="00EC2801">
            <w:pPr>
              <w:pStyle w:val="Tablas"/>
              <w:rPr>
                <w:sz w:val="18"/>
                <w:szCs w:val="18"/>
              </w:rPr>
            </w:pPr>
            <w:r w:rsidRPr="00EC2801">
              <w:rPr>
                <w:sz w:val="18"/>
                <w:szCs w:val="18"/>
              </w:rPr>
              <w:t>0.00125</w:t>
            </w:r>
          </w:p>
        </w:tc>
        <w:tc>
          <w:tcPr>
            <w:tcW w:w="574" w:type="pct"/>
            <w:tcBorders>
              <w:top w:val="nil"/>
              <w:left w:val="nil"/>
              <w:bottom w:val="single" w:sz="4" w:space="0" w:color="auto"/>
              <w:right w:val="single" w:sz="4" w:space="0" w:color="auto"/>
            </w:tcBorders>
            <w:shd w:val="clear" w:color="auto" w:fill="auto"/>
            <w:noWrap/>
            <w:vAlign w:val="bottom"/>
            <w:hideMark/>
          </w:tcPr>
          <w:p w14:paraId="0009A1D3"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0C91D041" w14:textId="77777777" w:rsidR="00EC2801" w:rsidRPr="00EC2801" w:rsidRDefault="00EC2801" w:rsidP="00EC2801">
            <w:pPr>
              <w:pStyle w:val="Tablas"/>
              <w:rPr>
                <w:sz w:val="18"/>
                <w:szCs w:val="18"/>
              </w:rPr>
            </w:pPr>
            <w:r w:rsidRPr="00EC2801">
              <w:rPr>
                <w:sz w:val="18"/>
                <w:szCs w:val="18"/>
              </w:rPr>
              <w:t>0.00602</w:t>
            </w:r>
          </w:p>
        </w:tc>
        <w:tc>
          <w:tcPr>
            <w:tcW w:w="717" w:type="pct"/>
            <w:tcBorders>
              <w:top w:val="nil"/>
              <w:left w:val="nil"/>
              <w:bottom w:val="single" w:sz="4" w:space="0" w:color="auto"/>
              <w:right w:val="single" w:sz="4" w:space="0" w:color="auto"/>
            </w:tcBorders>
            <w:shd w:val="clear" w:color="auto" w:fill="auto"/>
            <w:noWrap/>
            <w:vAlign w:val="bottom"/>
            <w:hideMark/>
          </w:tcPr>
          <w:p w14:paraId="50EF14B9" w14:textId="77777777" w:rsidR="00EC2801" w:rsidRPr="00EC2801" w:rsidRDefault="00EC2801" w:rsidP="00EC2801">
            <w:pPr>
              <w:pStyle w:val="Tablas"/>
              <w:rPr>
                <w:sz w:val="18"/>
                <w:szCs w:val="18"/>
              </w:rPr>
            </w:pPr>
            <w:r w:rsidRPr="00EC2801">
              <w:rPr>
                <w:sz w:val="18"/>
                <w:szCs w:val="18"/>
              </w:rPr>
              <w:t>0.00039</w:t>
            </w:r>
          </w:p>
        </w:tc>
        <w:tc>
          <w:tcPr>
            <w:tcW w:w="574" w:type="pct"/>
            <w:tcBorders>
              <w:top w:val="nil"/>
              <w:left w:val="nil"/>
              <w:bottom w:val="single" w:sz="4" w:space="0" w:color="auto"/>
              <w:right w:val="single" w:sz="4" w:space="0" w:color="auto"/>
            </w:tcBorders>
            <w:shd w:val="clear" w:color="auto" w:fill="auto"/>
            <w:noWrap/>
            <w:vAlign w:val="bottom"/>
            <w:hideMark/>
          </w:tcPr>
          <w:p w14:paraId="7EFACCCC"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768FA2B2" w14:textId="77777777" w:rsidR="00EC2801" w:rsidRPr="00EC2801" w:rsidRDefault="00EC2801" w:rsidP="00EC2801">
            <w:pPr>
              <w:pStyle w:val="Tablas"/>
              <w:rPr>
                <w:sz w:val="18"/>
                <w:szCs w:val="18"/>
              </w:rPr>
            </w:pPr>
            <w:r w:rsidRPr="00EC2801">
              <w:rPr>
                <w:sz w:val="18"/>
                <w:szCs w:val="18"/>
              </w:rPr>
              <w:t>0.00295</w:t>
            </w:r>
          </w:p>
        </w:tc>
      </w:tr>
      <w:tr w:rsidR="00EC2801" w:rsidRPr="00EC2801" w14:paraId="36DD686B"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9635CB5" w14:textId="77777777" w:rsidR="00EC2801" w:rsidRPr="00EC2801" w:rsidRDefault="00EC2801" w:rsidP="00EC2801">
            <w:pPr>
              <w:pStyle w:val="Tablas"/>
              <w:rPr>
                <w:sz w:val="18"/>
                <w:szCs w:val="18"/>
              </w:rPr>
            </w:pPr>
            <w:r w:rsidRPr="00EC2801">
              <w:rPr>
                <w:sz w:val="18"/>
                <w:szCs w:val="18"/>
              </w:rPr>
              <w:t>29</w:t>
            </w:r>
          </w:p>
        </w:tc>
        <w:tc>
          <w:tcPr>
            <w:tcW w:w="722" w:type="pct"/>
            <w:tcBorders>
              <w:top w:val="nil"/>
              <w:left w:val="single" w:sz="8" w:space="0" w:color="auto"/>
              <w:bottom w:val="single" w:sz="4" w:space="0" w:color="auto"/>
              <w:right w:val="nil"/>
            </w:tcBorders>
            <w:shd w:val="clear" w:color="auto" w:fill="auto"/>
            <w:noWrap/>
            <w:vAlign w:val="bottom"/>
            <w:hideMark/>
          </w:tcPr>
          <w:p w14:paraId="53E873AE" w14:textId="77777777" w:rsidR="00EC2801" w:rsidRPr="00EC2801" w:rsidRDefault="00EC2801" w:rsidP="00EC2801">
            <w:pPr>
              <w:pStyle w:val="Tablas"/>
              <w:rPr>
                <w:sz w:val="18"/>
                <w:szCs w:val="18"/>
              </w:rPr>
            </w:pPr>
            <w:r w:rsidRPr="00EC2801">
              <w:rPr>
                <w:sz w:val="18"/>
                <w:szCs w:val="18"/>
              </w:rPr>
              <w:t>0.3669</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7AAB195" w14:textId="77777777" w:rsidR="00EC2801" w:rsidRPr="00EC2801" w:rsidRDefault="00EC2801" w:rsidP="00EC2801">
            <w:pPr>
              <w:pStyle w:val="Tablas"/>
              <w:rPr>
                <w:sz w:val="18"/>
                <w:szCs w:val="18"/>
              </w:rPr>
            </w:pPr>
            <w:r w:rsidRPr="00EC2801">
              <w:rPr>
                <w:sz w:val="18"/>
                <w:szCs w:val="18"/>
              </w:rPr>
              <w:t>0.00128</w:t>
            </w:r>
          </w:p>
        </w:tc>
        <w:tc>
          <w:tcPr>
            <w:tcW w:w="574" w:type="pct"/>
            <w:tcBorders>
              <w:top w:val="nil"/>
              <w:left w:val="nil"/>
              <w:bottom w:val="single" w:sz="4" w:space="0" w:color="auto"/>
              <w:right w:val="single" w:sz="4" w:space="0" w:color="auto"/>
            </w:tcBorders>
            <w:shd w:val="clear" w:color="auto" w:fill="auto"/>
            <w:noWrap/>
            <w:vAlign w:val="bottom"/>
            <w:hideMark/>
          </w:tcPr>
          <w:p w14:paraId="0A6B4CAA"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5168DDB0" w14:textId="77777777" w:rsidR="00EC2801" w:rsidRPr="00EC2801" w:rsidRDefault="00EC2801" w:rsidP="00EC2801">
            <w:pPr>
              <w:pStyle w:val="Tablas"/>
              <w:rPr>
                <w:sz w:val="18"/>
                <w:szCs w:val="18"/>
              </w:rPr>
            </w:pPr>
            <w:r w:rsidRPr="00EC2801">
              <w:rPr>
                <w:sz w:val="18"/>
                <w:szCs w:val="18"/>
              </w:rPr>
              <w:t>0.00630</w:t>
            </w:r>
          </w:p>
        </w:tc>
        <w:tc>
          <w:tcPr>
            <w:tcW w:w="717" w:type="pct"/>
            <w:tcBorders>
              <w:top w:val="nil"/>
              <w:left w:val="nil"/>
              <w:bottom w:val="single" w:sz="4" w:space="0" w:color="auto"/>
              <w:right w:val="single" w:sz="4" w:space="0" w:color="auto"/>
            </w:tcBorders>
            <w:shd w:val="clear" w:color="auto" w:fill="auto"/>
            <w:noWrap/>
            <w:vAlign w:val="bottom"/>
            <w:hideMark/>
          </w:tcPr>
          <w:p w14:paraId="3F0D912A" w14:textId="77777777" w:rsidR="00EC2801" w:rsidRPr="00EC2801" w:rsidRDefault="00EC2801" w:rsidP="00EC2801">
            <w:pPr>
              <w:pStyle w:val="Tablas"/>
              <w:rPr>
                <w:sz w:val="18"/>
                <w:szCs w:val="18"/>
              </w:rPr>
            </w:pPr>
            <w:r w:rsidRPr="00EC2801">
              <w:rPr>
                <w:sz w:val="18"/>
                <w:szCs w:val="18"/>
              </w:rPr>
              <w:t>0.00041</w:t>
            </w:r>
          </w:p>
        </w:tc>
        <w:tc>
          <w:tcPr>
            <w:tcW w:w="574" w:type="pct"/>
            <w:tcBorders>
              <w:top w:val="nil"/>
              <w:left w:val="nil"/>
              <w:bottom w:val="single" w:sz="4" w:space="0" w:color="auto"/>
              <w:right w:val="single" w:sz="4" w:space="0" w:color="auto"/>
            </w:tcBorders>
            <w:shd w:val="clear" w:color="auto" w:fill="auto"/>
            <w:noWrap/>
            <w:vAlign w:val="bottom"/>
            <w:hideMark/>
          </w:tcPr>
          <w:p w14:paraId="0686C523" w14:textId="77777777" w:rsidR="00EC2801" w:rsidRPr="00EC2801" w:rsidRDefault="00EC2801" w:rsidP="00EC2801">
            <w:pPr>
              <w:pStyle w:val="Tablas"/>
              <w:rPr>
                <w:sz w:val="18"/>
                <w:szCs w:val="18"/>
              </w:rPr>
            </w:pPr>
            <w:r w:rsidRPr="00EC2801">
              <w:rPr>
                <w:sz w:val="18"/>
                <w:szCs w:val="18"/>
              </w:rPr>
              <w:t>0.00003</w:t>
            </w:r>
          </w:p>
        </w:tc>
        <w:tc>
          <w:tcPr>
            <w:tcW w:w="654" w:type="pct"/>
            <w:tcBorders>
              <w:top w:val="nil"/>
              <w:left w:val="nil"/>
              <w:bottom w:val="single" w:sz="4" w:space="0" w:color="auto"/>
              <w:right w:val="single" w:sz="8" w:space="0" w:color="auto"/>
            </w:tcBorders>
            <w:shd w:val="clear" w:color="auto" w:fill="auto"/>
            <w:noWrap/>
            <w:vAlign w:val="bottom"/>
            <w:hideMark/>
          </w:tcPr>
          <w:p w14:paraId="7B459120" w14:textId="77777777" w:rsidR="00EC2801" w:rsidRPr="00EC2801" w:rsidRDefault="00EC2801" w:rsidP="00EC2801">
            <w:pPr>
              <w:pStyle w:val="Tablas"/>
              <w:rPr>
                <w:sz w:val="18"/>
                <w:szCs w:val="18"/>
              </w:rPr>
            </w:pPr>
            <w:r w:rsidRPr="00EC2801">
              <w:rPr>
                <w:sz w:val="18"/>
                <w:szCs w:val="18"/>
              </w:rPr>
              <w:t>0.00312</w:t>
            </w:r>
          </w:p>
        </w:tc>
      </w:tr>
      <w:tr w:rsidR="00EC2801" w:rsidRPr="00EC2801" w14:paraId="4F144813"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6FBAB02" w14:textId="77777777" w:rsidR="00EC2801" w:rsidRPr="00EC2801" w:rsidRDefault="00EC2801" w:rsidP="00EC2801">
            <w:pPr>
              <w:pStyle w:val="Tablas"/>
              <w:rPr>
                <w:sz w:val="18"/>
                <w:szCs w:val="18"/>
              </w:rPr>
            </w:pPr>
            <w:r w:rsidRPr="00EC2801">
              <w:rPr>
                <w:sz w:val="18"/>
                <w:szCs w:val="18"/>
              </w:rPr>
              <w:t>30</w:t>
            </w:r>
          </w:p>
        </w:tc>
        <w:tc>
          <w:tcPr>
            <w:tcW w:w="722" w:type="pct"/>
            <w:tcBorders>
              <w:top w:val="nil"/>
              <w:left w:val="single" w:sz="8" w:space="0" w:color="auto"/>
              <w:bottom w:val="single" w:sz="4" w:space="0" w:color="auto"/>
              <w:right w:val="nil"/>
            </w:tcBorders>
            <w:shd w:val="clear" w:color="auto" w:fill="auto"/>
            <w:noWrap/>
            <w:vAlign w:val="bottom"/>
            <w:hideMark/>
          </w:tcPr>
          <w:p w14:paraId="5FDC5945" w14:textId="77777777" w:rsidR="00EC2801" w:rsidRPr="00EC2801" w:rsidRDefault="00EC2801" w:rsidP="00EC2801">
            <w:pPr>
              <w:pStyle w:val="Tablas"/>
              <w:rPr>
                <w:sz w:val="18"/>
                <w:szCs w:val="18"/>
              </w:rPr>
            </w:pPr>
            <w:r w:rsidRPr="00EC2801">
              <w:rPr>
                <w:sz w:val="18"/>
                <w:szCs w:val="18"/>
              </w:rPr>
              <w:t>0.3913</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3599B56" w14:textId="77777777" w:rsidR="00EC2801" w:rsidRPr="00EC2801" w:rsidRDefault="00EC2801" w:rsidP="00EC2801">
            <w:pPr>
              <w:pStyle w:val="Tablas"/>
              <w:rPr>
                <w:sz w:val="18"/>
                <w:szCs w:val="18"/>
              </w:rPr>
            </w:pPr>
            <w:r w:rsidRPr="00EC2801">
              <w:rPr>
                <w:sz w:val="18"/>
                <w:szCs w:val="18"/>
              </w:rPr>
              <w:t>0.00130</w:t>
            </w:r>
          </w:p>
        </w:tc>
        <w:tc>
          <w:tcPr>
            <w:tcW w:w="574" w:type="pct"/>
            <w:tcBorders>
              <w:top w:val="nil"/>
              <w:left w:val="nil"/>
              <w:bottom w:val="single" w:sz="4" w:space="0" w:color="auto"/>
              <w:right w:val="single" w:sz="4" w:space="0" w:color="auto"/>
            </w:tcBorders>
            <w:shd w:val="clear" w:color="auto" w:fill="auto"/>
            <w:noWrap/>
            <w:vAlign w:val="bottom"/>
            <w:hideMark/>
          </w:tcPr>
          <w:p w14:paraId="3FA901F7"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51BD44C2" w14:textId="77777777" w:rsidR="00EC2801" w:rsidRPr="00EC2801" w:rsidRDefault="00EC2801" w:rsidP="00EC2801">
            <w:pPr>
              <w:pStyle w:val="Tablas"/>
              <w:rPr>
                <w:sz w:val="18"/>
                <w:szCs w:val="18"/>
              </w:rPr>
            </w:pPr>
            <w:r w:rsidRPr="00EC2801">
              <w:rPr>
                <w:sz w:val="18"/>
                <w:szCs w:val="18"/>
              </w:rPr>
              <w:t>0.00661</w:t>
            </w:r>
          </w:p>
        </w:tc>
        <w:tc>
          <w:tcPr>
            <w:tcW w:w="717" w:type="pct"/>
            <w:tcBorders>
              <w:top w:val="nil"/>
              <w:left w:val="nil"/>
              <w:bottom w:val="single" w:sz="4" w:space="0" w:color="auto"/>
              <w:right w:val="single" w:sz="4" w:space="0" w:color="auto"/>
            </w:tcBorders>
            <w:shd w:val="clear" w:color="auto" w:fill="auto"/>
            <w:noWrap/>
            <w:vAlign w:val="bottom"/>
            <w:hideMark/>
          </w:tcPr>
          <w:p w14:paraId="6503B31F" w14:textId="77777777" w:rsidR="00EC2801" w:rsidRPr="00EC2801" w:rsidRDefault="00EC2801" w:rsidP="00EC2801">
            <w:pPr>
              <w:pStyle w:val="Tablas"/>
              <w:rPr>
                <w:sz w:val="18"/>
                <w:szCs w:val="18"/>
              </w:rPr>
            </w:pPr>
            <w:r w:rsidRPr="00EC2801">
              <w:rPr>
                <w:sz w:val="18"/>
                <w:szCs w:val="18"/>
              </w:rPr>
              <w:t>0.00043</w:t>
            </w:r>
          </w:p>
        </w:tc>
        <w:tc>
          <w:tcPr>
            <w:tcW w:w="574" w:type="pct"/>
            <w:tcBorders>
              <w:top w:val="nil"/>
              <w:left w:val="nil"/>
              <w:bottom w:val="single" w:sz="4" w:space="0" w:color="auto"/>
              <w:right w:val="single" w:sz="4" w:space="0" w:color="auto"/>
            </w:tcBorders>
            <w:shd w:val="clear" w:color="auto" w:fill="auto"/>
            <w:noWrap/>
            <w:vAlign w:val="bottom"/>
            <w:hideMark/>
          </w:tcPr>
          <w:p w14:paraId="59FB94A3" w14:textId="77777777" w:rsidR="00EC2801" w:rsidRPr="00EC2801" w:rsidRDefault="00EC2801" w:rsidP="00EC2801">
            <w:pPr>
              <w:pStyle w:val="Tablas"/>
              <w:rPr>
                <w:sz w:val="18"/>
                <w:szCs w:val="18"/>
              </w:rPr>
            </w:pPr>
            <w:r w:rsidRPr="00EC2801">
              <w:rPr>
                <w:sz w:val="18"/>
                <w:szCs w:val="18"/>
              </w:rPr>
              <w:t>0.00004</w:t>
            </w:r>
          </w:p>
        </w:tc>
        <w:tc>
          <w:tcPr>
            <w:tcW w:w="654" w:type="pct"/>
            <w:tcBorders>
              <w:top w:val="nil"/>
              <w:left w:val="nil"/>
              <w:bottom w:val="single" w:sz="4" w:space="0" w:color="auto"/>
              <w:right w:val="single" w:sz="8" w:space="0" w:color="auto"/>
            </w:tcBorders>
            <w:shd w:val="clear" w:color="auto" w:fill="auto"/>
            <w:noWrap/>
            <w:vAlign w:val="bottom"/>
            <w:hideMark/>
          </w:tcPr>
          <w:p w14:paraId="23820C08" w14:textId="77777777" w:rsidR="00EC2801" w:rsidRPr="00EC2801" w:rsidRDefault="00EC2801" w:rsidP="00EC2801">
            <w:pPr>
              <w:pStyle w:val="Tablas"/>
              <w:rPr>
                <w:sz w:val="18"/>
                <w:szCs w:val="18"/>
              </w:rPr>
            </w:pPr>
            <w:r w:rsidRPr="00EC2801">
              <w:rPr>
                <w:sz w:val="18"/>
                <w:szCs w:val="18"/>
              </w:rPr>
              <w:t>0.00330</w:t>
            </w:r>
          </w:p>
        </w:tc>
      </w:tr>
      <w:tr w:rsidR="00EC2801" w:rsidRPr="00EC2801" w14:paraId="659A13F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81DF172" w14:textId="77777777" w:rsidR="00EC2801" w:rsidRPr="00EC2801" w:rsidRDefault="00EC2801" w:rsidP="00EC2801">
            <w:pPr>
              <w:pStyle w:val="Tablas"/>
              <w:rPr>
                <w:sz w:val="18"/>
                <w:szCs w:val="18"/>
              </w:rPr>
            </w:pPr>
            <w:r w:rsidRPr="00EC2801">
              <w:rPr>
                <w:sz w:val="18"/>
                <w:szCs w:val="18"/>
              </w:rPr>
              <w:t>31</w:t>
            </w:r>
          </w:p>
        </w:tc>
        <w:tc>
          <w:tcPr>
            <w:tcW w:w="722" w:type="pct"/>
            <w:tcBorders>
              <w:top w:val="nil"/>
              <w:left w:val="single" w:sz="8" w:space="0" w:color="auto"/>
              <w:bottom w:val="single" w:sz="4" w:space="0" w:color="auto"/>
              <w:right w:val="nil"/>
            </w:tcBorders>
            <w:shd w:val="clear" w:color="auto" w:fill="auto"/>
            <w:noWrap/>
            <w:vAlign w:val="bottom"/>
            <w:hideMark/>
          </w:tcPr>
          <w:p w14:paraId="0FC47583" w14:textId="77777777" w:rsidR="00EC2801" w:rsidRPr="00EC2801" w:rsidRDefault="00EC2801" w:rsidP="00EC2801">
            <w:pPr>
              <w:pStyle w:val="Tablas"/>
              <w:rPr>
                <w:sz w:val="18"/>
                <w:szCs w:val="18"/>
              </w:rPr>
            </w:pPr>
            <w:r w:rsidRPr="00EC2801">
              <w:rPr>
                <w:sz w:val="18"/>
                <w:szCs w:val="18"/>
              </w:rPr>
              <w:t>0.4147</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EDCE6EC" w14:textId="77777777" w:rsidR="00EC2801" w:rsidRPr="00EC2801" w:rsidRDefault="00EC2801" w:rsidP="00EC2801">
            <w:pPr>
              <w:pStyle w:val="Tablas"/>
              <w:rPr>
                <w:sz w:val="18"/>
                <w:szCs w:val="18"/>
              </w:rPr>
            </w:pPr>
            <w:r w:rsidRPr="00EC2801">
              <w:rPr>
                <w:sz w:val="18"/>
                <w:szCs w:val="18"/>
              </w:rPr>
              <w:t>0.00133</w:t>
            </w:r>
          </w:p>
        </w:tc>
        <w:tc>
          <w:tcPr>
            <w:tcW w:w="574" w:type="pct"/>
            <w:tcBorders>
              <w:top w:val="nil"/>
              <w:left w:val="nil"/>
              <w:bottom w:val="single" w:sz="4" w:space="0" w:color="auto"/>
              <w:right w:val="single" w:sz="4" w:space="0" w:color="auto"/>
            </w:tcBorders>
            <w:shd w:val="clear" w:color="auto" w:fill="auto"/>
            <w:noWrap/>
            <w:vAlign w:val="bottom"/>
            <w:hideMark/>
          </w:tcPr>
          <w:p w14:paraId="7B93DEBF" w14:textId="77777777" w:rsidR="00EC2801" w:rsidRPr="00EC2801" w:rsidRDefault="00EC2801" w:rsidP="00EC2801">
            <w:pPr>
              <w:pStyle w:val="Tablas"/>
              <w:rPr>
                <w:sz w:val="18"/>
                <w:szCs w:val="18"/>
              </w:rPr>
            </w:pPr>
            <w:r w:rsidRPr="00EC2801">
              <w:rPr>
                <w:sz w:val="18"/>
                <w:szCs w:val="18"/>
              </w:rPr>
              <w:t>0.00002</w:t>
            </w:r>
          </w:p>
        </w:tc>
        <w:tc>
          <w:tcPr>
            <w:tcW w:w="654" w:type="pct"/>
            <w:tcBorders>
              <w:top w:val="nil"/>
              <w:left w:val="nil"/>
              <w:bottom w:val="single" w:sz="4" w:space="0" w:color="auto"/>
              <w:right w:val="single" w:sz="8" w:space="0" w:color="auto"/>
            </w:tcBorders>
            <w:shd w:val="clear" w:color="auto" w:fill="auto"/>
            <w:noWrap/>
            <w:vAlign w:val="bottom"/>
            <w:hideMark/>
          </w:tcPr>
          <w:p w14:paraId="72D53EB1" w14:textId="77777777" w:rsidR="00EC2801" w:rsidRPr="00EC2801" w:rsidRDefault="00EC2801" w:rsidP="00EC2801">
            <w:pPr>
              <w:pStyle w:val="Tablas"/>
              <w:rPr>
                <w:sz w:val="18"/>
                <w:szCs w:val="18"/>
              </w:rPr>
            </w:pPr>
            <w:r w:rsidRPr="00EC2801">
              <w:rPr>
                <w:sz w:val="18"/>
                <w:szCs w:val="18"/>
              </w:rPr>
              <w:t>0.00693</w:t>
            </w:r>
          </w:p>
        </w:tc>
        <w:tc>
          <w:tcPr>
            <w:tcW w:w="717" w:type="pct"/>
            <w:tcBorders>
              <w:top w:val="nil"/>
              <w:left w:val="nil"/>
              <w:bottom w:val="single" w:sz="4" w:space="0" w:color="auto"/>
              <w:right w:val="single" w:sz="4" w:space="0" w:color="auto"/>
            </w:tcBorders>
            <w:shd w:val="clear" w:color="auto" w:fill="auto"/>
            <w:noWrap/>
            <w:vAlign w:val="bottom"/>
            <w:hideMark/>
          </w:tcPr>
          <w:p w14:paraId="79D30F7F" w14:textId="77777777" w:rsidR="00EC2801" w:rsidRPr="00EC2801" w:rsidRDefault="00EC2801" w:rsidP="00EC2801">
            <w:pPr>
              <w:pStyle w:val="Tablas"/>
              <w:rPr>
                <w:sz w:val="18"/>
                <w:szCs w:val="18"/>
              </w:rPr>
            </w:pPr>
            <w:r w:rsidRPr="00EC2801">
              <w:rPr>
                <w:sz w:val="18"/>
                <w:szCs w:val="18"/>
              </w:rPr>
              <w:t>0.00045</w:t>
            </w:r>
          </w:p>
        </w:tc>
        <w:tc>
          <w:tcPr>
            <w:tcW w:w="574" w:type="pct"/>
            <w:tcBorders>
              <w:top w:val="nil"/>
              <w:left w:val="nil"/>
              <w:bottom w:val="single" w:sz="4" w:space="0" w:color="auto"/>
              <w:right w:val="single" w:sz="4" w:space="0" w:color="auto"/>
            </w:tcBorders>
            <w:shd w:val="clear" w:color="auto" w:fill="auto"/>
            <w:noWrap/>
            <w:vAlign w:val="bottom"/>
            <w:hideMark/>
          </w:tcPr>
          <w:p w14:paraId="31067D70" w14:textId="77777777" w:rsidR="00EC2801" w:rsidRPr="00EC2801" w:rsidRDefault="00EC2801" w:rsidP="00EC2801">
            <w:pPr>
              <w:pStyle w:val="Tablas"/>
              <w:rPr>
                <w:sz w:val="18"/>
                <w:szCs w:val="18"/>
              </w:rPr>
            </w:pPr>
            <w:r w:rsidRPr="00EC2801">
              <w:rPr>
                <w:sz w:val="18"/>
                <w:szCs w:val="18"/>
              </w:rPr>
              <w:t>0.00005</w:t>
            </w:r>
          </w:p>
        </w:tc>
        <w:tc>
          <w:tcPr>
            <w:tcW w:w="654" w:type="pct"/>
            <w:tcBorders>
              <w:top w:val="nil"/>
              <w:left w:val="nil"/>
              <w:bottom w:val="single" w:sz="4" w:space="0" w:color="auto"/>
              <w:right w:val="single" w:sz="8" w:space="0" w:color="auto"/>
            </w:tcBorders>
            <w:shd w:val="clear" w:color="auto" w:fill="auto"/>
            <w:noWrap/>
            <w:vAlign w:val="bottom"/>
            <w:hideMark/>
          </w:tcPr>
          <w:p w14:paraId="610706BB" w14:textId="77777777" w:rsidR="00EC2801" w:rsidRPr="00EC2801" w:rsidRDefault="00EC2801" w:rsidP="00EC2801">
            <w:pPr>
              <w:pStyle w:val="Tablas"/>
              <w:rPr>
                <w:sz w:val="18"/>
                <w:szCs w:val="18"/>
              </w:rPr>
            </w:pPr>
            <w:r w:rsidRPr="00EC2801">
              <w:rPr>
                <w:sz w:val="18"/>
                <w:szCs w:val="18"/>
              </w:rPr>
              <w:t>0.00349</w:t>
            </w:r>
          </w:p>
        </w:tc>
      </w:tr>
      <w:tr w:rsidR="00EC2801" w:rsidRPr="00EC2801" w14:paraId="64C9E9D0"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2FDCBDE" w14:textId="77777777" w:rsidR="00EC2801" w:rsidRPr="00EC2801" w:rsidRDefault="00EC2801" w:rsidP="00EC2801">
            <w:pPr>
              <w:pStyle w:val="Tablas"/>
              <w:rPr>
                <w:sz w:val="18"/>
                <w:szCs w:val="18"/>
              </w:rPr>
            </w:pPr>
            <w:r w:rsidRPr="00EC2801">
              <w:rPr>
                <w:sz w:val="18"/>
                <w:szCs w:val="18"/>
              </w:rPr>
              <w:t>32</w:t>
            </w:r>
          </w:p>
        </w:tc>
        <w:tc>
          <w:tcPr>
            <w:tcW w:w="722" w:type="pct"/>
            <w:tcBorders>
              <w:top w:val="nil"/>
              <w:left w:val="single" w:sz="8" w:space="0" w:color="auto"/>
              <w:bottom w:val="single" w:sz="4" w:space="0" w:color="auto"/>
              <w:right w:val="nil"/>
            </w:tcBorders>
            <w:shd w:val="clear" w:color="auto" w:fill="auto"/>
            <w:noWrap/>
            <w:vAlign w:val="bottom"/>
            <w:hideMark/>
          </w:tcPr>
          <w:p w14:paraId="3D82E043" w14:textId="77777777" w:rsidR="00EC2801" w:rsidRPr="00EC2801" w:rsidRDefault="00EC2801" w:rsidP="00EC2801">
            <w:pPr>
              <w:pStyle w:val="Tablas"/>
              <w:rPr>
                <w:sz w:val="18"/>
                <w:szCs w:val="18"/>
              </w:rPr>
            </w:pPr>
            <w:r w:rsidRPr="00EC2801">
              <w:rPr>
                <w:sz w:val="18"/>
                <w:szCs w:val="18"/>
              </w:rPr>
              <w:t>0.4369</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0E2314C" w14:textId="77777777" w:rsidR="00EC2801" w:rsidRPr="00EC2801" w:rsidRDefault="00EC2801" w:rsidP="00EC2801">
            <w:pPr>
              <w:pStyle w:val="Tablas"/>
              <w:rPr>
                <w:sz w:val="18"/>
                <w:szCs w:val="18"/>
              </w:rPr>
            </w:pPr>
            <w:r w:rsidRPr="00EC2801">
              <w:rPr>
                <w:sz w:val="18"/>
                <w:szCs w:val="18"/>
              </w:rPr>
              <w:t>0.00137</w:t>
            </w:r>
          </w:p>
        </w:tc>
        <w:tc>
          <w:tcPr>
            <w:tcW w:w="574" w:type="pct"/>
            <w:tcBorders>
              <w:top w:val="nil"/>
              <w:left w:val="nil"/>
              <w:bottom w:val="single" w:sz="4" w:space="0" w:color="auto"/>
              <w:right w:val="single" w:sz="4" w:space="0" w:color="auto"/>
            </w:tcBorders>
            <w:shd w:val="clear" w:color="auto" w:fill="auto"/>
            <w:noWrap/>
            <w:vAlign w:val="bottom"/>
            <w:hideMark/>
          </w:tcPr>
          <w:p w14:paraId="608A0AF9" w14:textId="77777777" w:rsidR="00EC2801" w:rsidRPr="00EC2801" w:rsidRDefault="00EC2801" w:rsidP="00EC2801">
            <w:pPr>
              <w:pStyle w:val="Tablas"/>
              <w:rPr>
                <w:sz w:val="18"/>
                <w:szCs w:val="18"/>
              </w:rPr>
            </w:pPr>
            <w:r w:rsidRPr="00EC2801">
              <w:rPr>
                <w:sz w:val="18"/>
                <w:szCs w:val="18"/>
              </w:rPr>
              <w:t>0.00003</w:t>
            </w:r>
          </w:p>
        </w:tc>
        <w:tc>
          <w:tcPr>
            <w:tcW w:w="654" w:type="pct"/>
            <w:tcBorders>
              <w:top w:val="nil"/>
              <w:left w:val="nil"/>
              <w:bottom w:val="single" w:sz="4" w:space="0" w:color="auto"/>
              <w:right w:val="single" w:sz="8" w:space="0" w:color="auto"/>
            </w:tcBorders>
            <w:shd w:val="clear" w:color="auto" w:fill="auto"/>
            <w:noWrap/>
            <w:vAlign w:val="bottom"/>
            <w:hideMark/>
          </w:tcPr>
          <w:p w14:paraId="2AD3CE8C" w14:textId="77777777" w:rsidR="00EC2801" w:rsidRPr="00EC2801" w:rsidRDefault="00EC2801" w:rsidP="00EC2801">
            <w:pPr>
              <w:pStyle w:val="Tablas"/>
              <w:rPr>
                <w:sz w:val="18"/>
                <w:szCs w:val="18"/>
              </w:rPr>
            </w:pPr>
            <w:r w:rsidRPr="00EC2801">
              <w:rPr>
                <w:sz w:val="18"/>
                <w:szCs w:val="18"/>
              </w:rPr>
              <w:t>0.00726</w:t>
            </w:r>
          </w:p>
        </w:tc>
        <w:tc>
          <w:tcPr>
            <w:tcW w:w="717" w:type="pct"/>
            <w:tcBorders>
              <w:top w:val="nil"/>
              <w:left w:val="nil"/>
              <w:bottom w:val="single" w:sz="4" w:space="0" w:color="auto"/>
              <w:right w:val="single" w:sz="4" w:space="0" w:color="auto"/>
            </w:tcBorders>
            <w:shd w:val="clear" w:color="auto" w:fill="auto"/>
            <w:noWrap/>
            <w:vAlign w:val="bottom"/>
            <w:hideMark/>
          </w:tcPr>
          <w:p w14:paraId="1AA78D67" w14:textId="77777777" w:rsidR="00EC2801" w:rsidRPr="00EC2801" w:rsidRDefault="00EC2801" w:rsidP="00EC2801">
            <w:pPr>
              <w:pStyle w:val="Tablas"/>
              <w:rPr>
                <w:sz w:val="18"/>
                <w:szCs w:val="18"/>
              </w:rPr>
            </w:pPr>
            <w:r w:rsidRPr="00EC2801">
              <w:rPr>
                <w:sz w:val="18"/>
                <w:szCs w:val="18"/>
              </w:rPr>
              <w:t>0.00048</w:t>
            </w:r>
          </w:p>
        </w:tc>
        <w:tc>
          <w:tcPr>
            <w:tcW w:w="574" w:type="pct"/>
            <w:tcBorders>
              <w:top w:val="nil"/>
              <w:left w:val="nil"/>
              <w:bottom w:val="single" w:sz="4" w:space="0" w:color="auto"/>
              <w:right w:val="single" w:sz="4" w:space="0" w:color="auto"/>
            </w:tcBorders>
            <w:shd w:val="clear" w:color="auto" w:fill="auto"/>
            <w:noWrap/>
            <w:vAlign w:val="bottom"/>
            <w:hideMark/>
          </w:tcPr>
          <w:p w14:paraId="28E87944" w14:textId="77777777" w:rsidR="00EC2801" w:rsidRPr="00EC2801" w:rsidRDefault="00EC2801" w:rsidP="00EC2801">
            <w:pPr>
              <w:pStyle w:val="Tablas"/>
              <w:rPr>
                <w:sz w:val="18"/>
                <w:szCs w:val="18"/>
              </w:rPr>
            </w:pPr>
            <w:r w:rsidRPr="00EC2801">
              <w:rPr>
                <w:sz w:val="18"/>
                <w:szCs w:val="18"/>
              </w:rPr>
              <w:t>0.00006</w:t>
            </w:r>
          </w:p>
        </w:tc>
        <w:tc>
          <w:tcPr>
            <w:tcW w:w="654" w:type="pct"/>
            <w:tcBorders>
              <w:top w:val="nil"/>
              <w:left w:val="nil"/>
              <w:bottom w:val="single" w:sz="4" w:space="0" w:color="auto"/>
              <w:right w:val="single" w:sz="8" w:space="0" w:color="auto"/>
            </w:tcBorders>
            <w:shd w:val="clear" w:color="auto" w:fill="auto"/>
            <w:noWrap/>
            <w:vAlign w:val="bottom"/>
            <w:hideMark/>
          </w:tcPr>
          <w:p w14:paraId="7980FF2A" w14:textId="77777777" w:rsidR="00EC2801" w:rsidRPr="00EC2801" w:rsidRDefault="00EC2801" w:rsidP="00EC2801">
            <w:pPr>
              <w:pStyle w:val="Tablas"/>
              <w:rPr>
                <w:sz w:val="18"/>
                <w:szCs w:val="18"/>
              </w:rPr>
            </w:pPr>
            <w:r w:rsidRPr="00EC2801">
              <w:rPr>
                <w:sz w:val="18"/>
                <w:szCs w:val="18"/>
              </w:rPr>
              <w:t>0.00369</w:t>
            </w:r>
          </w:p>
        </w:tc>
      </w:tr>
      <w:tr w:rsidR="00EC2801" w:rsidRPr="00EC2801" w14:paraId="1104147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311BBEA2" w14:textId="77777777" w:rsidR="00EC2801" w:rsidRPr="00EC2801" w:rsidRDefault="00EC2801" w:rsidP="00EC2801">
            <w:pPr>
              <w:pStyle w:val="Tablas"/>
              <w:rPr>
                <w:sz w:val="18"/>
                <w:szCs w:val="18"/>
              </w:rPr>
            </w:pPr>
            <w:r w:rsidRPr="00EC2801">
              <w:rPr>
                <w:sz w:val="18"/>
                <w:szCs w:val="18"/>
              </w:rPr>
              <w:t>33</w:t>
            </w:r>
          </w:p>
        </w:tc>
        <w:tc>
          <w:tcPr>
            <w:tcW w:w="722" w:type="pct"/>
            <w:tcBorders>
              <w:top w:val="nil"/>
              <w:left w:val="single" w:sz="8" w:space="0" w:color="auto"/>
              <w:bottom w:val="single" w:sz="4" w:space="0" w:color="auto"/>
              <w:right w:val="nil"/>
            </w:tcBorders>
            <w:shd w:val="clear" w:color="auto" w:fill="auto"/>
            <w:noWrap/>
            <w:vAlign w:val="bottom"/>
            <w:hideMark/>
          </w:tcPr>
          <w:p w14:paraId="106D202D" w14:textId="77777777" w:rsidR="00EC2801" w:rsidRPr="00EC2801" w:rsidRDefault="00EC2801" w:rsidP="00EC2801">
            <w:pPr>
              <w:pStyle w:val="Tablas"/>
              <w:rPr>
                <w:sz w:val="18"/>
                <w:szCs w:val="18"/>
              </w:rPr>
            </w:pPr>
            <w:r w:rsidRPr="00EC2801">
              <w:rPr>
                <w:sz w:val="18"/>
                <w:szCs w:val="18"/>
              </w:rPr>
              <w:t>0.4581</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5781139" w14:textId="77777777" w:rsidR="00EC2801" w:rsidRPr="00EC2801" w:rsidRDefault="00EC2801" w:rsidP="00EC2801">
            <w:pPr>
              <w:pStyle w:val="Tablas"/>
              <w:rPr>
                <w:sz w:val="18"/>
                <w:szCs w:val="18"/>
              </w:rPr>
            </w:pPr>
            <w:r w:rsidRPr="00EC2801">
              <w:rPr>
                <w:sz w:val="18"/>
                <w:szCs w:val="18"/>
              </w:rPr>
              <w:t>0.00141</w:t>
            </w:r>
          </w:p>
        </w:tc>
        <w:tc>
          <w:tcPr>
            <w:tcW w:w="574" w:type="pct"/>
            <w:tcBorders>
              <w:top w:val="nil"/>
              <w:left w:val="nil"/>
              <w:bottom w:val="single" w:sz="4" w:space="0" w:color="auto"/>
              <w:right w:val="single" w:sz="4" w:space="0" w:color="auto"/>
            </w:tcBorders>
            <w:shd w:val="clear" w:color="auto" w:fill="auto"/>
            <w:noWrap/>
            <w:vAlign w:val="bottom"/>
            <w:hideMark/>
          </w:tcPr>
          <w:p w14:paraId="2A399E5C" w14:textId="77777777" w:rsidR="00EC2801" w:rsidRPr="00EC2801" w:rsidRDefault="00EC2801" w:rsidP="00EC2801">
            <w:pPr>
              <w:pStyle w:val="Tablas"/>
              <w:rPr>
                <w:sz w:val="18"/>
                <w:szCs w:val="18"/>
              </w:rPr>
            </w:pPr>
            <w:r w:rsidRPr="00EC2801">
              <w:rPr>
                <w:sz w:val="18"/>
                <w:szCs w:val="18"/>
              </w:rPr>
              <w:t>0.00003</w:t>
            </w:r>
          </w:p>
        </w:tc>
        <w:tc>
          <w:tcPr>
            <w:tcW w:w="654" w:type="pct"/>
            <w:tcBorders>
              <w:top w:val="nil"/>
              <w:left w:val="nil"/>
              <w:bottom w:val="single" w:sz="4" w:space="0" w:color="auto"/>
              <w:right w:val="single" w:sz="8" w:space="0" w:color="auto"/>
            </w:tcBorders>
            <w:shd w:val="clear" w:color="auto" w:fill="auto"/>
            <w:noWrap/>
            <w:vAlign w:val="bottom"/>
            <w:hideMark/>
          </w:tcPr>
          <w:p w14:paraId="7F7D036A" w14:textId="77777777" w:rsidR="00EC2801" w:rsidRPr="00EC2801" w:rsidRDefault="00EC2801" w:rsidP="00EC2801">
            <w:pPr>
              <w:pStyle w:val="Tablas"/>
              <w:rPr>
                <w:sz w:val="18"/>
                <w:szCs w:val="18"/>
              </w:rPr>
            </w:pPr>
            <w:r w:rsidRPr="00EC2801">
              <w:rPr>
                <w:sz w:val="18"/>
                <w:szCs w:val="18"/>
              </w:rPr>
              <w:t>0.00761</w:t>
            </w:r>
          </w:p>
        </w:tc>
        <w:tc>
          <w:tcPr>
            <w:tcW w:w="717" w:type="pct"/>
            <w:tcBorders>
              <w:top w:val="nil"/>
              <w:left w:val="nil"/>
              <w:bottom w:val="single" w:sz="4" w:space="0" w:color="auto"/>
              <w:right w:val="single" w:sz="4" w:space="0" w:color="auto"/>
            </w:tcBorders>
            <w:shd w:val="clear" w:color="auto" w:fill="auto"/>
            <w:noWrap/>
            <w:vAlign w:val="bottom"/>
            <w:hideMark/>
          </w:tcPr>
          <w:p w14:paraId="79F8EB19" w14:textId="77777777" w:rsidR="00EC2801" w:rsidRPr="00EC2801" w:rsidRDefault="00EC2801" w:rsidP="00EC2801">
            <w:pPr>
              <w:pStyle w:val="Tablas"/>
              <w:rPr>
                <w:sz w:val="18"/>
                <w:szCs w:val="18"/>
              </w:rPr>
            </w:pPr>
            <w:r w:rsidRPr="00EC2801">
              <w:rPr>
                <w:sz w:val="18"/>
                <w:szCs w:val="18"/>
              </w:rPr>
              <w:t>0.00051</w:t>
            </w:r>
          </w:p>
        </w:tc>
        <w:tc>
          <w:tcPr>
            <w:tcW w:w="574" w:type="pct"/>
            <w:tcBorders>
              <w:top w:val="nil"/>
              <w:left w:val="nil"/>
              <w:bottom w:val="single" w:sz="4" w:space="0" w:color="auto"/>
              <w:right w:val="single" w:sz="4" w:space="0" w:color="auto"/>
            </w:tcBorders>
            <w:shd w:val="clear" w:color="auto" w:fill="auto"/>
            <w:noWrap/>
            <w:vAlign w:val="bottom"/>
            <w:hideMark/>
          </w:tcPr>
          <w:p w14:paraId="5D600602" w14:textId="77777777" w:rsidR="00EC2801" w:rsidRPr="00EC2801" w:rsidRDefault="00EC2801" w:rsidP="00EC2801">
            <w:pPr>
              <w:pStyle w:val="Tablas"/>
              <w:rPr>
                <w:sz w:val="18"/>
                <w:szCs w:val="18"/>
              </w:rPr>
            </w:pPr>
            <w:r w:rsidRPr="00EC2801">
              <w:rPr>
                <w:sz w:val="18"/>
                <w:szCs w:val="18"/>
              </w:rPr>
              <w:t>0.00007</w:t>
            </w:r>
          </w:p>
        </w:tc>
        <w:tc>
          <w:tcPr>
            <w:tcW w:w="654" w:type="pct"/>
            <w:tcBorders>
              <w:top w:val="nil"/>
              <w:left w:val="nil"/>
              <w:bottom w:val="single" w:sz="4" w:space="0" w:color="auto"/>
              <w:right w:val="single" w:sz="8" w:space="0" w:color="auto"/>
            </w:tcBorders>
            <w:shd w:val="clear" w:color="auto" w:fill="auto"/>
            <w:noWrap/>
            <w:vAlign w:val="bottom"/>
            <w:hideMark/>
          </w:tcPr>
          <w:p w14:paraId="47D3522B" w14:textId="77777777" w:rsidR="00EC2801" w:rsidRPr="00EC2801" w:rsidRDefault="00EC2801" w:rsidP="00EC2801">
            <w:pPr>
              <w:pStyle w:val="Tablas"/>
              <w:rPr>
                <w:sz w:val="18"/>
                <w:szCs w:val="18"/>
              </w:rPr>
            </w:pPr>
            <w:r w:rsidRPr="00EC2801">
              <w:rPr>
                <w:sz w:val="18"/>
                <w:szCs w:val="18"/>
              </w:rPr>
              <w:t>0.00390</w:t>
            </w:r>
          </w:p>
        </w:tc>
      </w:tr>
      <w:tr w:rsidR="00EC2801" w:rsidRPr="00EC2801" w14:paraId="18F040EA"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492C338" w14:textId="77777777" w:rsidR="00EC2801" w:rsidRPr="00EC2801" w:rsidRDefault="00EC2801" w:rsidP="00EC2801">
            <w:pPr>
              <w:pStyle w:val="Tablas"/>
              <w:rPr>
                <w:sz w:val="18"/>
                <w:szCs w:val="18"/>
              </w:rPr>
            </w:pPr>
            <w:r w:rsidRPr="00EC2801">
              <w:rPr>
                <w:sz w:val="18"/>
                <w:szCs w:val="18"/>
              </w:rPr>
              <w:t>34</w:t>
            </w:r>
          </w:p>
        </w:tc>
        <w:tc>
          <w:tcPr>
            <w:tcW w:w="722" w:type="pct"/>
            <w:tcBorders>
              <w:top w:val="nil"/>
              <w:left w:val="single" w:sz="8" w:space="0" w:color="auto"/>
              <w:bottom w:val="single" w:sz="4" w:space="0" w:color="auto"/>
              <w:right w:val="nil"/>
            </w:tcBorders>
            <w:shd w:val="clear" w:color="auto" w:fill="auto"/>
            <w:noWrap/>
            <w:vAlign w:val="bottom"/>
            <w:hideMark/>
          </w:tcPr>
          <w:p w14:paraId="6D5823F1" w14:textId="77777777" w:rsidR="00EC2801" w:rsidRPr="00EC2801" w:rsidRDefault="00EC2801" w:rsidP="00EC2801">
            <w:pPr>
              <w:pStyle w:val="Tablas"/>
              <w:rPr>
                <w:sz w:val="18"/>
                <w:szCs w:val="18"/>
              </w:rPr>
            </w:pPr>
            <w:r w:rsidRPr="00EC2801">
              <w:rPr>
                <w:sz w:val="18"/>
                <w:szCs w:val="18"/>
              </w:rPr>
              <w:t>0.4782</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967C444" w14:textId="77777777" w:rsidR="00EC2801" w:rsidRPr="00EC2801" w:rsidRDefault="00EC2801" w:rsidP="00EC2801">
            <w:pPr>
              <w:pStyle w:val="Tablas"/>
              <w:rPr>
                <w:sz w:val="18"/>
                <w:szCs w:val="18"/>
              </w:rPr>
            </w:pPr>
            <w:r w:rsidRPr="00EC2801">
              <w:rPr>
                <w:sz w:val="18"/>
                <w:szCs w:val="18"/>
              </w:rPr>
              <w:t>0.00146</w:t>
            </w:r>
          </w:p>
        </w:tc>
        <w:tc>
          <w:tcPr>
            <w:tcW w:w="574" w:type="pct"/>
            <w:tcBorders>
              <w:top w:val="nil"/>
              <w:left w:val="nil"/>
              <w:bottom w:val="single" w:sz="4" w:space="0" w:color="auto"/>
              <w:right w:val="single" w:sz="4" w:space="0" w:color="auto"/>
            </w:tcBorders>
            <w:shd w:val="clear" w:color="auto" w:fill="auto"/>
            <w:noWrap/>
            <w:vAlign w:val="bottom"/>
            <w:hideMark/>
          </w:tcPr>
          <w:p w14:paraId="4CE15E50" w14:textId="77777777" w:rsidR="00EC2801" w:rsidRPr="00EC2801" w:rsidRDefault="00EC2801" w:rsidP="00EC2801">
            <w:pPr>
              <w:pStyle w:val="Tablas"/>
              <w:rPr>
                <w:sz w:val="18"/>
                <w:szCs w:val="18"/>
              </w:rPr>
            </w:pPr>
            <w:r w:rsidRPr="00EC2801">
              <w:rPr>
                <w:sz w:val="18"/>
                <w:szCs w:val="18"/>
              </w:rPr>
              <w:t>0.00004</w:t>
            </w:r>
          </w:p>
        </w:tc>
        <w:tc>
          <w:tcPr>
            <w:tcW w:w="654" w:type="pct"/>
            <w:tcBorders>
              <w:top w:val="nil"/>
              <w:left w:val="nil"/>
              <w:bottom w:val="single" w:sz="4" w:space="0" w:color="auto"/>
              <w:right w:val="single" w:sz="8" w:space="0" w:color="auto"/>
            </w:tcBorders>
            <w:shd w:val="clear" w:color="auto" w:fill="auto"/>
            <w:noWrap/>
            <w:vAlign w:val="bottom"/>
            <w:hideMark/>
          </w:tcPr>
          <w:p w14:paraId="7CEBF555" w14:textId="77777777" w:rsidR="00EC2801" w:rsidRPr="00EC2801" w:rsidRDefault="00EC2801" w:rsidP="00EC2801">
            <w:pPr>
              <w:pStyle w:val="Tablas"/>
              <w:rPr>
                <w:sz w:val="18"/>
                <w:szCs w:val="18"/>
              </w:rPr>
            </w:pPr>
            <w:r w:rsidRPr="00EC2801">
              <w:rPr>
                <w:sz w:val="18"/>
                <w:szCs w:val="18"/>
              </w:rPr>
              <w:t>0.00797</w:t>
            </w:r>
          </w:p>
        </w:tc>
        <w:tc>
          <w:tcPr>
            <w:tcW w:w="717" w:type="pct"/>
            <w:tcBorders>
              <w:top w:val="nil"/>
              <w:left w:val="nil"/>
              <w:bottom w:val="single" w:sz="4" w:space="0" w:color="auto"/>
              <w:right w:val="single" w:sz="4" w:space="0" w:color="auto"/>
            </w:tcBorders>
            <w:shd w:val="clear" w:color="auto" w:fill="auto"/>
            <w:noWrap/>
            <w:vAlign w:val="bottom"/>
            <w:hideMark/>
          </w:tcPr>
          <w:p w14:paraId="032FA8A8" w14:textId="77777777" w:rsidR="00EC2801" w:rsidRPr="00EC2801" w:rsidRDefault="00EC2801" w:rsidP="00EC2801">
            <w:pPr>
              <w:pStyle w:val="Tablas"/>
              <w:rPr>
                <w:sz w:val="18"/>
                <w:szCs w:val="18"/>
              </w:rPr>
            </w:pPr>
            <w:r w:rsidRPr="00EC2801">
              <w:rPr>
                <w:sz w:val="18"/>
                <w:szCs w:val="18"/>
              </w:rPr>
              <w:t>0.00054</w:t>
            </w:r>
          </w:p>
        </w:tc>
        <w:tc>
          <w:tcPr>
            <w:tcW w:w="574" w:type="pct"/>
            <w:tcBorders>
              <w:top w:val="nil"/>
              <w:left w:val="nil"/>
              <w:bottom w:val="single" w:sz="4" w:space="0" w:color="auto"/>
              <w:right w:val="single" w:sz="4" w:space="0" w:color="auto"/>
            </w:tcBorders>
            <w:shd w:val="clear" w:color="auto" w:fill="auto"/>
            <w:noWrap/>
            <w:vAlign w:val="bottom"/>
            <w:hideMark/>
          </w:tcPr>
          <w:p w14:paraId="5665E25D" w14:textId="77777777" w:rsidR="00EC2801" w:rsidRPr="00EC2801" w:rsidRDefault="00EC2801" w:rsidP="00EC2801">
            <w:pPr>
              <w:pStyle w:val="Tablas"/>
              <w:rPr>
                <w:sz w:val="18"/>
                <w:szCs w:val="18"/>
              </w:rPr>
            </w:pPr>
            <w:r w:rsidRPr="00EC2801">
              <w:rPr>
                <w:sz w:val="18"/>
                <w:szCs w:val="18"/>
              </w:rPr>
              <w:t>0.00009</w:t>
            </w:r>
          </w:p>
        </w:tc>
        <w:tc>
          <w:tcPr>
            <w:tcW w:w="654" w:type="pct"/>
            <w:tcBorders>
              <w:top w:val="nil"/>
              <w:left w:val="nil"/>
              <w:bottom w:val="single" w:sz="4" w:space="0" w:color="auto"/>
              <w:right w:val="single" w:sz="8" w:space="0" w:color="auto"/>
            </w:tcBorders>
            <w:shd w:val="clear" w:color="auto" w:fill="auto"/>
            <w:noWrap/>
            <w:vAlign w:val="bottom"/>
            <w:hideMark/>
          </w:tcPr>
          <w:p w14:paraId="1DA9DF82" w14:textId="77777777" w:rsidR="00EC2801" w:rsidRPr="00EC2801" w:rsidRDefault="00EC2801" w:rsidP="00EC2801">
            <w:pPr>
              <w:pStyle w:val="Tablas"/>
              <w:rPr>
                <w:sz w:val="18"/>
                <w:szCs w:val="18"/>
              </w:rPr>
            </w:pPr>
            <w:r w:rsidRPr="00EC2801">
              <w:rPr>
                <w:sz w:val="18"/>
                <w:szCs w:val="18"/>
              </w:rPr>
              <w:t>0.00412</w:t>
            </w:r>
          </w:p>
        </w:tc>
      </w:tr>
      <w:tr w:rsidR="00EC2801" w:rsidRPr="00EC2801" w14:paraId="73324CCF"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3F71DCF" w14:textId="77777777" w:rsidR="00EC2801" w:rsidRPr="00EC2801" w:rsidRDefault="00EC2801" w:rsidP="00EC2801">
            <w:pPr>
              <w:pStyle w:val="Tablas"/>
              <w:rPr>
                <w:sz w:val="18"/>
                <w:szCs w:val="18"/>
              </w:rPr>
            </w:pPr>
            <w:r w:rsidRPr="00EC2801">
              <w:rPr>
                <w:sz w:val="18"/>
                <w:szCs w:val="18"/>
              </w:rPr>
              <w:t>35</w:t>
            </w:r>
          </w:p>
        </w:tc>
        <w:tc>
          <w:tcPr>
            <w:tcW w:w="722" w:type="pct"/>
            <w:tcBorders>
              <w:top w:val="nil"/>
              <w:left w:val="single" w:sz="8" w:space="0" w:color="auto"/>
              <w:bottom w:val="single" w:sz="4" w:space="0" w:color="auto"/>
              <w:right w:val="nil"/>
            </w:tcBorders>
            <w:shd w:val="clear" w:color="auto" w:fill="auto"/>
            <w:noWrap/>
            <w:vAlign w:val="bottom"/>
            <w:hideMark/>
          </w:tcPr>
          <w:p w14:paraId="4A3F6F02" w14:textId="77777777" w:rsidR="00EC2801" w:rsidRPr="00EC2801" w:rsidRDefault="00EC2801" w:rsidP="00EC2801">
            <w:pPr>
              <w:pStyle w:val="Tablas"/>
              <w:rPr>
                <w:sz w:val="18"/>
                <w:szCs w:val="18"/>
              </w:rPr>
            </w:pPr>
            <w:r w:rsidRPr="00EC2801">
              <w:rPr>
                <w:sz w:val="18"/>
                <w:szCs w:val="18"/>
              </w:rPr>
              <w:t>0.4973</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E926D46" w14:textId="77777777" w:rsidR="00EC2801" w:rsidRPr="00EC2801" w:rsidRDefault="00EC2801" w:rsidP="00EC2801">
            <w:pPr>
              <w:pStyle w:val="Tablas"/>
              <w:rPr>
                <w:sz w:val="18"/>
                <w:szCs w:val="18"/>
              </w:rPr>
            </w:pPr>
            <w:r w:rsidRPr="00EC2801">
              <w:rPr>
                <w:sz w:val="18"/>
                <w:szCs w:val="18"/>
              </w:rPr>
              <w:t>0.00151</w:t>
            </w:r>
          </w:p>
        </w:tc>
        <w:tc>
          <w:tcPr>
            <w:tcW w:w="574" w:type="pct"/>
            <w:tcBorders>
              <w:top w:val="nil"/>
              <w:left w:val="nil"/>
              <w:bottom w:val="single" w:sz="4" w:space="0" w:color="auto"/>
              <w:right w:val="single" w:sz="4" w:space="0" w:color="auto"/>
            </w:tcBorders>
            <w:shd w:val="clear" w:color="auto" w:fill="auto"/>
            <w:noWrap/>
            <w:vAlign w:val="bottom"/>
            <w:hideMark/>
          </w:tcPr>
          <w:p w14:paraId="5277168E" w14:textId="77777777" w:rsidR="00EC2801" w:rsidRPr="00EC2801" w:rsidRDefault="00EC2801" w:rsidP="00EC2801">
            <w:pPr>
              <w:pStyle w:val="Tablas"/>
              <w:rPr>
                <w:sz w:val="18"/>
                <w:szCs w:val="18"/>
              </w:rPr>
            </w:pPr>
            <w:r w:rsidRPr="00EC2801">
              <w:rPr>
                <w:sz w:val="18"/>
                <w:szCs w:val="18"/>
              </w:rPr>
              <w:t>0.00005</w:t>
            </w:r>
          </w:p>
        </w:tc>
        <w:tc>
          <w:tcPr>
            <w:tcW w:w="654" w:type="pct"/>
            <w:tcBorders>
              <w:top w:val="nil"/>
              <w:left w:val="nil"/>
              <w:bottom w:val="single" w:sz="4" w:space="0" w:color="auto"/>
              <w:right w:val="single" w:sz="8" w:space="0" w:color="auto"/>
            </w:tcBorders>
            <w:shd w:val="clear" w:color="auto" w:fill="auto"/>
            <w:noWrap/>
            <w:vAlign w:val="bottom"/>
            <w:hideMark/>
          </w:tcPr>
          <w:p w14:paraId="3DA936CE" w14:textId="77777777" w:rsidR="00EC2801" w:rsidRPr="00EC2801" w:rsidRDefault="00EC2801" w:rsidP="00EC2801">
            <w:pPr>
              <w:pStyle w:val="Tablas"/>
              <w:rPr>
                <w:sz w:val="18"/>
                <w:szCs w:val="18"/>
              </w:rPr>
            </w:pPr>
            <w:r w:rsidRPr="00EC2801">
              <w:rPr>
                <w:sz w:val="18"/>
                <w:szCs w:val="18"/>
              </w:rPr>
              <w:t>0.00836</w:t>
            </w:r>
          </w:p>
        </w:tc>
        <w:tc>
          <w:tcPr>
            <w:tcW w:w="717" w:type="pct"/>
            <w:tcBorders>
              <w:top w:val="nil"/>
              <w:left w:val="nil"/>
              <w:bottom w:val="single" w:sz="4" w:space="0" w:color="auto"/>
              <w:right w:val="single" w:sz="4" w:space="0" w:color="auto"/>
            </w:tcBorders>
            <w:shd w:val="clear" w:color="auto" w:fill="auto"/>
            <w:noWrap/>
            <w:vAlign w:val="bottom"/>
            <w:hideMark/>
          </w:tcPr>
          <w:p w14:paraId="1FA841EC" w14:textId="77777777" w:rsidR="00EC2801" w:rsidRPr="00EC2801" w:rsidRDefault="00EC2801" w:rsidP="00EC2801">
            <w:pPr>
              <w:pStyle w:val="Tablas"/>
              <w:rPr>
                <w:sz w:val="18"/>
                <w:szCs w:val="18"/>
              </w:rPr>
            </w:pPr>
            <w:r w:rsidRPr="00EC2801">
              <w:rPr>
                <w:sz w:val="18"/>
                <w:szCs w:val="18"/>
              </w:rPr>
              <w:t>0.00057</w:t>
            </w:r>
          </w:p>
        </w:tc>
        <w:tc>
          <w:tcPr>
            <w:tcW w:w="574" w:type="pct"/>
            <w:tcBorders>
              <w:top w:val="nil"/>
              <w:left w:val="nil"/>
              <w:bottom w:val="single" w:sz="4" w:space="0" w:color="auto"/>
              <w:right w:val="single" w:sz="4" w:space="0" w:color="auto"/>
            </w:tcBorders>
            <w:shd w:val="clear" w:color="auto" w:fill="auto"/>
            <w:noWrap/>
            <w:vAlign w:val="bottom"/>
            <w:hideMark/>
          </w:tcPr>
          <w:p w14:paraId="14F5C059" w14:textId="77777777" w:rsidR="00EC2801" w:rsidRPr="00EC2801" w:rsidRDefault="00EC2801" w:rsidP="00EC2801">
            <w:pPr>
              <w:pStyle w:val="Tablas"/>
              <w:rPr>
                <w:sz w:val="18"/>
                <w:szCs w:val="18"/>
              </w:rPr>
            </w:pPr>
            <w:r w:rsidRPr="00EC2801">
              <w:rPr>
                <w:sz w:val="18"/>
                <w:szCs w:val="18"/>
              </w:rPr>
              <w:t>0.00011</w:t>
            </w:r>
          </w:p>
        </w:tc>
        <w:tc>
          <w:tcPr>
            <w:tcW w:w="654" w:type="pct"/>
            <w:tcBorders>
              <w:top w:val="nil"/>
              <w:left w:val="nil"/>
              <w:bottom w:val="single" w:sz="4" w:space="0" w:color="auto"/>
              <w:right w:val="single" w:sz="8" w:space="0" w:color="auto"/>
            </w:tcBorders>
            <w:shd w:val="clear" w:color="auto" w:fill="auto"/>
            <w:noWrap/>
            <w:vAlign w:val="bottom"/>
            <w:hideMark/>
          </w:tcPr>
          <w:p w14:paraId="32E0BFFE" w14:textId="77777777" w:rsidR="00EC2801" w:rsidRPr="00EC2801" w:rsidRDefault="00EC2801" w:rsidP="00EC2801">
            <w:pPr>
              <w:pStyle w:val="Tablas"/>
              <w:rPr>
                <w:sz w:val="18"/>
                <w:szCs w:val="18"/>
              </w:rPr>
            </w:pPr>
            <w:r w:rsidRPr="00EC2801">
              <w:rPr>
                <w:sz w:val="18"/>
                <w:szCs w:val="18"/>
              </w:rPr>
              <w:t>0.00435</w:t>
            </w:r>
          </w:p>
        </w:tc>
      </w:tr>
      <w:tr w:rsidR="00EC2801" w:rsidRPr="00EC2801" w14:paraId="683B1C15"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BB9A3B9" w14:textId="77777777" w:rsidR="00EC2801" w:rsidRPr="00EC2801" w:rsidRDefault="00EC2801" w:rsidP="00EC2801">
            <w:pPr>
              <w:pStyle w:val="Tablas"/>
              <w:rPr>
                <w:sz w:val="18"/>
                <w:szCs w:val="18"/>
              </w:rPr>
            </w:pPr>
            <w:r w:rsidRPr="00EC2801">
              <w:rPr>
                <w:sz w:val="18"/>
                <w:szCs w:val="18"/>
              </w:rPr>
              <w:t>36</w:t>
            </w:r>
          </w:p>
        </w:tc>
        <w:tc>
          <w:tcPr>
            <w:tcW w:w="722" w:type="pct"/>
            <w:tcBorders>
              <w:top w:val="nil"/>
              <w:left w:val="single" w:sz="8" w:space="0" w:color="auto"/>
              <w:bottom w:val="single" w:sz="4" w:space="0" w:color="auto"/>
              <w:right w:val="nil"/>
            </w:tcBorders>
            <w:shd w:val="clear" w:color="auto" w:fill="auto"/>
            <w:noWrap/>
            <w:vAlign w:val="bottom"/>
            <w:hideMark/>
          </w:tcPr>
          <w:p w14:paraId="4BCADA3B" w14:textId="77777777" w:rsidR="00EC2801" w:rsidRPr="00EC2801" w:rsidRDefault="00EC2801" w:rsidP="00EC2801">
            <w:pPr>
              <w:pStyle w:val="Tablas"/>
              <w:rPr>
                <w:sz w:val="18"/>
                <w:szCs w:val="18"/>
              </w:rPr>
            </w:pPr>
            <w:r w:rsidRPr="00EC2801">
              <w:rPr>
                <w:sz w:val="18"/>
                <w:szCs w:val="18"/>
              </w:rPr>
              <w:t>0.5152</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022E42C" w14:textId="77777777" w:rsidR="00EC2801" w:rsidRPr="00EC2801" w:rsidRDefault="00EC2801" w:rsidP="00EC2801">
            <w:pPr>
              <w:pStyle w:val="Tablas"/>
              <w:rPr>
                <w:sz w:val="18"/>
                <w:szCs w:val="18"/>
              </w:rPr>
            </w:pPr>
            <w:r w:rsidRPr="00EC2801">
              <w:rPr>
                <w:sz w:val="18"/>
                <w:szCs w:val="18"/>
              </w:rPr>
              <w:t>0.00156</w:t>
            </w:r>
          </w:p>
        </w:tc>
        <w:tc>
          <w:tcPr>
            <w:tcW w:w="574" w:type="pct"/>
            <w:tcBorders>
              <w:top w:val="nil"/>
              <w:left w:val="nil"/>
              <w:bottom w:val="single" w:sz="4" w:space="0" w:color="auto"/>
              <w:right w:val="single" w:sz="4" w:space="0" w:color="auto"/>
            </w:tcBorders>
            <w:shd w:val="clear" w:color="auto" w:fill="auto"/>
            <w:noWrap/>
            <w:vAlign w:val="bottom"/>
            <w:hideMark/>
          </w:tcPr>
          <w:p w14:paraId="1598448D" w14:textId="77777777" w:rsidR="00EC2801" w:rsidRPr="00EC2801" w:rsidRDefault="00EC2801" w:rsidP="00EC2801">
            <w:pPr>
              <w:pStyle w:val="Tablas"/>
              <w:rPr>
                <w:sz w:val="18"/>
                <w:szCs w:val="18"/>
              </w:rPr>
            </w:pPr>
            <w:r w:rsidRPr="00EC2801">
              <w:rPr>
                <w:sz w:val="18"/>
                <w:szCs w:val="18"/>
              </w:rPr>
              <w:t>0.00006</w:t>
            </w:r>
          </w:p>
        </w:tc>
        <w:tc>
          <w:tcPr>
            <w:tcW w:w="654" w:type="pct"/>
            <w:tcBorders>
              <w:top w:val="nil"/>
              <w:left w:val="nil"/>
              <w:bottom w:val="single" w:sz="4" w:space="0" w:color="auto"/>
              <w:right w:val="single" w:sz="8" w:space="0" w:color="auto"/>
            </w:tcBorders>
            <w:shd w:val="clear" w:color="auto" w:fill="auto"/>
            <w:noWrap/>
            <w:vAlign w:val="bottom"/>
            <w:hideMark/>
          </w:tcPr>
          <w:p w14:paraId="0D8AA387" w14:textId="77777777" w:rsidR="00EC2801" w:rsidRPr="00EC2801" w:rsidRDefault="00EC2801" w:rsidP="00EC2801">
            <w:pPr>
              <w:pStyle w:val="Tablas"/>
              <w:rPr>
                <w:sz w:val="18"/>
                <w:szCs w:val="18"/>
              </w:rPr>
            </w:pPr>
            <w:r w:rsidRPr="00EC2801">
              <w:rPr>
                <w:sz w:val="18"/>
                <w:szCs w:val="18"/>
              </w:rPr>
              <w:t>0.00876</w:t>
            </w:r>
          </w:p>
        </w:tc>
        <w:tc>
          <w:tcPr>
            <w:tcW w:w="717" w:type="pct"/>
            <w:tcBorders>
              <w:top w:val="nil"/>
              <w:left w:val="nil"/>
              <w:bottom w:val="single" w:sz="4" w:space="0" w:color="auto"/>
              <w:right w:val="single" w:sz="4" w:space="0" w:color="auto"/>
            </w:tcBorders>
            <w:shd w:val="clear" w:color="auto" w:fill="auto"/>
            <w:noWrap/>
            <w:vAlign w:val="bottom"/>
            <w:hideMark/>
          </w:tcPr>
          <w:p w14:paraId="1AB01E67" w14:textId="77777777" w:rsidR="00EC2801" w:rsidRPr="00EC2801" w:rsidRDefault="00EC2801" w:rsidP="00EC2801">
            <w:pPr>
              <w:pStyle w:val="Tablas"/>
              <w:rPr>
                <w:sz w:val="18"/>
                <w:szCs w:val="18"/>
              </w:rPr>
            </w:pPr>
            <w:r w:rsidRPr="00EC2801">
              <w:rPr>
                <w:sz w:val="18"/>
                <w:szCs w:val="18"/>
              </w:rPr>
              <w:t>0.00061</w:t>
            </w:r>
          </w:p>
        </w:tc>
        <w:tc>
          <w:tcPr>
            <w:tcW w:w="574" w:type="pct"/>
            <w:tcBorders>
              <w:top w:val="nil"/>
              <w:left w:val="nil"/>
              <w:bottom w:val="single" w:sz="4" w:space="0" w:color="auto"/>
              <w:right w:val="single" w:sz="4" w:space="0" w:color="auto"/>
            </w:tcBorders>
            <w:shd w:val="clear" w:color="auto" w:fill="auto"/>
            <w:noWrap/>
            <w:vAlign w:val="bottom"/>
            <w:hideMark/>
          </w:tcPr>
          <w:p w14:paraId="718B1D46" w14:textId="77777777" w:rsidR="00EC2801" w:rsidRPr="00EC2801" w:rsidRDefault="00EC2801" w:rsidP="00EC2801">
            <w:pPr>
              <w:pStyle w:val="Tablas"/>
              <w:rPr>
                <w:sz w:val="18"/>
                <w:szCs w:val="18"/>
              </w:rPr>
            </w:pPr>
            <w:r w:rsidRPr="00EC2801">
              <w:rPr>
                <w:sz w:val="18"/>
                <w:szCs w:val="18"/>
              </w:rPr>
              <w:t>0.00013</w:t>
            </w:r>
          </w:p>
        </w:tc>
        <w:tc>
          <w:tcPr>
            <w:tcW w:w="654" w:type="pct"/>
            <w:tcBorders>
              <w:top w:val="nil"/>
              <w:left w:val="nil"/>
              <w:bottom w:val="single" w:sz="4" w:space="0" w:color="auto"/>
              <w:right w:val="single" w:sz="8" w:space="0" w:color="auto"/>
            </w:tcBorders>
            <w:shd w:val="clear" w:color="auto" w:fill="auto"/>
            <w:noWrap/>
            <w:vAlign w:val="bottom"/>
            <w:hideMark/>
          </w:tcPr>
          <w:p w14:paraId="00EEE7B1" w14:textId="77777777" w:rsidR="00EC2801" w:rsidRPr="00EC2801" w:rsidRDefault="00EC2801" w:rsidP="00EC2801">
            <w:pPr>
              <w:pStyle w:val="Tablas"/>
              <w:rPr>
                <w:sz w:val="18"/>
                <w:szCs w:val="18"/>
              </w:rPr>
            </w:pPr>
            <w:r w:rsidRPr="00EC2801">
              <w:rPr>
                <w:sz w:val="18"/>
                <w:szCs w:val="18"/>
              </w:rPr>
              <w:t>0.00460</w:t>
            </w:r>
          </w:p>
        </w:tc>
      </w:tr>
      <w:tr w:rsidR="00EC2801" w:rsidRPr="00EC2801" w14:paraId="22F4F7B7" w14:textId="77777777" w:rsidTr="00EC2801">
        <w:trPr>
          <w:trHeight w:val="293"/>
        </w:trPr>
        <w:tc>
          <w:tcPr>
            <w:tcW w:w="388" w:type="pct"/>
            <w:tcBorders>
              <w:top w:val="nil"/>
              <w:left w:val="single" w:sz="8" w:space="0" w:color="auto"/>
              <w:bottom w:val="single" w:sz="4" w:space="0" w:color="auto"/>
              <w:right w:val="nil"/>
            </w:tcBorders>
            <w:shd w:val="clear" w:color="auto" w:fill="auto"/>
            <w:noWrap/>
            <w:vAlign w:val="bottom"/>
            <w:hideMark/>
          </w:tcPr>
          <w:p w14:paraId="3EB146F8" w14:textId="77777777" w:rsidR="00EC2801" w:rsidRPr="00EC2801" w:rsidRDefault="00EC2801" w:rsidP="00EC2801">
            <w:pPr>
              <w:pStyle w:val="Tablas"/>
              <w:rPr>
                <w:sz w:val="18"/>
                <w:szCs w:val="18"/>
              </w:rPr>
            </w:pPr>
            <w:r w:rsidRPr="00EC2801">
              <w:rPr>
                <w:sz w:val="18"/>
                <w:szCs w:val="18"/>
              </w:rPr>
              <w:t>37</w:t>
            </w:r>
          </w:p>
        </w:tc>
        <w:tc>
          <w:tcPr>
            <w:tcW w:w="722" w:type="pct"/>
            <w:tcBorders>
              <w:top w:val="nil"/>
              <w:left w:val="single" w:sz="8" w:space="0" w:color="auto"/>
              <w:bottom w:val="single" w:sz="4" w:space="0" w:color="auto"/>
              <w:right w:val="nil"/>
            </w:tcBorders>
            <w:shd w:val="clear" w:color="auto" w:fill="auto"/>
            <w:noWrap/>
            <w:vAlign w:val="bottom"/>
            <w:hideMark/>
          </w:tcPr>
          <w:p w14:paraId="31FC6845" w14:textId="77777777" w:rsidR="00EC2801" w:rsidRPr="00EC2801" w:rsidRDefault="00EC2801" w:rsidP="00EC2801">
            <w:pPr>
              <w:pStyle w:val="Tablas"/>
              <w:rPr>
                <w:sz w:val="18"/>
                <w:szCs w:val="18"/>
              </w:rPr>
            </w:pPr>
            <w:r w:rsidRPr="00EC2801">
              <w:rPr>
                <w:sz w:val="18"/>
                <w:szCs w:val="18"/>
              </w:rPr>
              <w:t>0.5321</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B38E02E" w14:textId="77777777" w:rsidR="00EC2801" w:rsidRPr="00EC2801" w:rsidRDefault="00EC2801" w:rsidP="00EC2801">
            <w:pPr>
              <w:pStyle w:val="Tablas"/>
              <w:rPr>
                <w:sz w:val="18"/>
                <w:szCs w:val="18"/>
              </w:rPr>
            </w:pPr>
            <w:r w:rsidRPr="00EC2801">
              <w:rPr>
                <w:sz w:val="18"/>
                <w:szCs w:val="18"/>
              </w:rPr>
              <w:t>0.00161</w:t>
            </w:r>
          </w:p>
        </w:tc>
        <w:tc>
          <w:tcPr>
            <w:tcW w:w="574" w:type="pct"/>
            <w:tcBorders>
              <w:top w:val="nil"/>
              <w:left w:val="nil"/>
              <w:bottom w:val="single" w:sz="4" w:space="0" w:color="auto"/>
              <w:right w:val="single" w:sz="4" w:space="0" w:color="auto"/>
            </w:tcBorders>
            <w:shd w:val="clear" w:color="auto" w:fill="auto"/>
            <w:noWrap/>
            <w:vAlign w:val="bottom"/>
            <w:hideMark/>
          </w:tcPr>
          <w:p w14:paraId="0FFD18A2" w14:textId="77777777" w:rsidR="00EC2801" w:rsidRPr="00EC2801" w:rsidRDefault="00EC2801" w:rsidP="00EC2801">
            <w:pPr>
              <w:pStyle w:val="Tablas"/>
              <w:rPr>
                <w:sz w:val="18"/>
                <w:szCs w:val="18"/>
              </w:rPr>
            </w:pPr>
            <w:r w:rsidRPr="00EC2801">
              <w:rPr>
                <w:sz w:val="18"/>
                <w:szCs w:val="18"/>
              </w:rPr>
              <w:t>0.00007</w:t>
            </w:r>
          </w:p>
        </w:tc>
        <w:tc>
          <w:tcPr>
            <w:tcW w:w="654" w:type="pct"/>
            <w:tcBorders>
              <w:top w:val="nil"/>
              <w:left w:val="nil"/>
              <w:bottom w:val="single" w:sz="4" w:space="0" w:color="auto"/>
              <w:right w:val="single" w:sz="8" w:space="0" w:color="auto"/>
            </w:tcBorders>
            <w:shd w:val="clear" w:color="auto" w:fill="auto"/>
            <w:noWrap/>
            <w:vAlign w:val="bottom"/>
            <w:hideMark/>
          </w:tcPr>
          <w:p w14:paraId="7BA6C31C" w14:textId="77777777" w:rsidR="00EC2801" w:rsidRPr="00EC2801" w:rsidRDefault="00EC2801" w:rsidP="00EC2801">
            <w:pPr>
              <w:pStyle w:val="Tablas"/>
              <w:rPr>
                <w:sz w:val="18"/>
                <w:szCs w:val="18"/>
              </w:rPr>
            </w:pPr>
            <w:r w:rsidRPr="00EC2801">
              <w:rPr>
                <w:sz w:val="18"/>
                <w:szCs w:val="18"/>
              </w:rPr>
              <w:t>0.00918</w:t>
            </w:r>
          </w:p>
        </w:tc>
        <w:tc>
          <w:tcPr>
            <w:tcW w:w="717" w:type="pct"/>
            <w:tcBorders>
              <w:top w:val="nil"/>
              <w:left w:val="nil"/>
              <w:bottom w:val="single" w:sz="4" w:space="0" w:color="auto"/>
              <w:right w:val="single" w:sz="4" w:space="0" w:color="auto"/>
            </w:tcBorders>
            <w:shd w:val="clear" w:color="auto" w:fill="auto"/>
            <w:noWrap/>
            <w:vAlign w:val="bottom"/>
            <w:hideMark/>
          </w:tcPr>
          <w:p w14:paraId="4797F538" w14:textId="77777777" w:rsidR="00EC2801" w:rsidRPr="00EC2801" w:rsidRDefault="00EC2801" w:rsidP="00EC2801">
            <w:pPr>
              <w:pStyle w:val="Tablas"/>
              <w:rPr>
                <w:sz w:val="18"/>
                <w:szCs w:val="18"/>
              </w:rPr>
            </w:pPr>
            <w:r w:rsidRPr="00EC2801">
              <w:rPr>
                <w:sz w:val="18"/>
                <w:szCs w:val="18"/>
              </w:rPr>
              <w:t>0.00065</w:t>
            </w:r>
          </w:p>
        </w:tc>
        <w:tc>
          <w:tcPr>
            <w:tcW w:w="574" w:type="pct"/>
            <w:tcBorders>
              <w:top w:val="nil"/>
              <w:left w:val="nil"/>
              <w:bottom w:val="single" w:sz="4" w:space="0" w:color="auto"/>
              <w:right w:val="single" w:sz="4" w:space="0" w:color="auto"/>
            </w:tcBorders>
            <w:shd w:val="clear" w:color="auto" w:fill="auto"/>
            <w:noWrap/>
            <w:vAlign w:val="bottom"/>
            <w:hideMark/>
          </w:tcPr>
          <w:p w14:paraId="2BA73C7D" w14:textId="77777777" w:rsidR="00EC2801" w:rsidRPr="00EC2801" w:rsidRDefault="00EC2801" w:rsidP="00EC2801">
            <w:pPr>
              <w:pStyle w:val="Tablas"/>
              <w:rPr>
                <w:sz w:val="18"/>
                <w:szCs w:val="18"/>
              </w:rPr>
            </w:pPr>
            <w:r w:rsidRPr="00EC2801">
              <w:rPr>
                <w:sz w:val="18"/>
                <w:szCs w:val="18"/>
              </w:rPr>
              <w:t>0.00015</w:t>
            </w:r>
          </w:p>
        </w:tc>
        <w:tc>
          <w:tcPr>
            <w:tcW w:w="654" w:type="pct"/>
            <w:tcBorders>
              <w:top w:val="nil"/>
              <w:left w:val="nil"/>
              <w:bottom w:val="single" w:sz="4" w:space="0" w:color="auto"/>
              <w:right w:val="single" w:sz="8" w:space="0" w:color="auto"/>
            </w:tcBorders>
            <w:shd w:val="clear" w:color="auto" w:fill="auto"/>
            <w:noWrap/>
            <w:vAlign w:val="bottom"/>
            <w:hideMark/>
          </w:tcPr>
          <w:p w14:paraId="49C84467" w14:textId="77777777" w:rsidR="00EC2801" w:rsidRPr="00EC2801" w:rsidRDefault="00EC2801" w:rsidP="00EC2801">
            <w:pPr>
              <w:pStyle w:val="Tablas"/>
              <w:rPr>
                <w:sz w:val="18"/>
                <w:szCs w:val="18"/>
              </w:rPr>
            </w:pPr>
            <w:r w:rsidRPr="00EC2801">
              <w:rPr>
                <w:sz w:val="18"/>
                <w:szCs w:val="18"/>
              </w:rPr>
              <w:t>0.00487</w:t>
            </w:r>
          </w:p>
        </w:tc>
      </w:tr>
      <w:tr w:rsidR="00EC2801" w:rsidRPr="00EC2801" w14:paraId="5DEA12B8"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ACFE838" w14:textId="77777777" w:rsidR="00EC2801" w:rsidRPr="00EC2801" w:rsidRDefault="00EC2801" w:rsidP="00EC2801">
            <w:pPr>
              <w:pStyle w:val="Tablas"/>
              <w:rPr>
                <w:sz w:val="18"/>
                <w:szCs w:val="18"/>
              </w:rPr>
            </w:pPr>
            <w:r w:rsidRPr="00EC2801">
              <w:rPr>
                <w:sz w:val="18"/>
                <w:szCs w:val="18"/>
              </w:rPr>
              <w:t>38</w:t>
            </w:r>
          </w:p>
        </w:tc>
        <w:tc>
          <w:tcPr>
            <w:tcW w:w="722" w:type="pct"/>
            <w:tcBorders>
              <w:top w:val="nil"/>
              <w:left w:val="single" w:sz="8" w:space="0" w:color="auto"/>
              <w:bottom w:val="single" w:sz="4" w:space="0" w:color="auto"/>
              <w:right w:val="nil"/>
            </w:tcBorders>
            <w:shd w:val="clear" w:color="auto" w:fill="auto"/>
            <w:noWrap/>
            <w:vAlign w:val="bottom"/>
            <w:hideMark/>
          </w:tcPr>
          <w:p w14:paraId="050C83CA" w14:textId="77777777" w:rsidR="00EC2801" w:rsidRPr="00EC2801" w:rsidRDefault="00EC2801" w:rsidP="00EC2801">
            <w:pPr>
              <w:pStyle w:val="Tablas"/>
              <w:rPr>
                <w:sz w:val="18"/>
                <w:szCs w:val="18"/>
              </w:rPr>
            </w:pPr>
            <w:r w:rsidRPr="00EC2801">
              <w:rPr>
                <w:sz w:val="18"/>
                <w:szCs w:val="18"/>
              </w:rPr>
              <w:t>0.5479</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C288EE2" w14:textId="77777777" w:rsidR="00EC2801" w:rsidRPr="00EC2801" w:rsidRDefault="00EC2801" w:rsidP="00EC2801">
            <w:pPr>
              <w:pStyle w:val="Tablas"/>
              <w:rPr>
                <w:sz w:val="18"/>
                <w:szCs w:val="18"/>
              </w:rPr>
            </w:pPr>
            <w:r w:rsidRPr="00EC2801">
              <w:rPr>
                <w:sz w:val="18"/>
                <w:szCs w:val="18"/>
              </w:rPr>
              <w:t>0.00165</w:t>
            </w:r>
          </w:p>
        </w:tc>
        <w:tc>
          <w:tcPr>
            <w:tcW w:w="574" w:type="pct"/>
            <w:tcBorders>
              <w:top w:val="nil"/>
              <w:left w:val="nil"/>
              <w:bottom w:val="single" w:sz="4" w:space="0" w:color="auto"/>
              <w:right w:val="single" w:sz="4" w:space="0" w:color="auto"/>
            </w:tcBorders>
            <w:shd w:val="clear" w:color="auto" w:fill="auto"/>
            <w:noWrap/>
            <w:vAlign w:val="bottom"/>
            <w:hideMark/>
          </w:tcPr>
          <w:p w14:paraId="4AFE5E46" w14:textId="77777777" w:rsidR="00EC2801" w:rsidRPr="00EC2801" w:rsidRDefault="00EC2801" w:rsidP="00EC2801">
            <w:pPr>
              <w:pStyle w:val="Tablas"/>
              <w:rPr>
                <w:sz w:val="18"/>
                <w:szCs w:val="18"/>
              </w:rPr>
            </w:pPr>
            <w:r w:rsidRPr="00EC2801">
              <w:rPr>
                <w:sz w:val="18"/>
                <w:szCs w:val="18"/>
              </w:rPr>
              <w:t>0.00009</w:t>
            </w:r>
          </w:p>
        </w:tc>
        <w:tc>
          <w:tcPr>
            <w:tcW w:w="654" w:type="pct"/>
            <w:tcBorders>
              <w:top w:val="nil"/>
              <w:left w:val="nil"/>
              <w:bottom w:val="single" w:sz="4" w:space="0" w:color="auto"/>
              <w:right w:val="single" w:sz="8" w:space="0" w:color="auto"/>
            </w:tcBorders>
            <w:shd w:val="clear" w:color="auto" w:fill="auto"/>
            <w:noWrap/>
            <w:vAlign w:val="bottom"/>
            <w:hideMark/>
          </w:tcPr>
          <w:p w14:paraId="1B738C08" w14:textId="77777777" w:rsidR="00EC2801" w:rsidRPr="00EC2801" w:rsidRDefault="00EC2801" w:rsidP="00EC2801">
            <w:pPr>
              <w:pStyle w:val="Tablas"/>
              <w:rPr>
                <w:sz w:val="18"/>
                <w:szCs w:val="18"/>
              </w:rPr>
            </w:pPr>
            <w:r w:rsidRPr="00EC2801">
              <w:rPr>
                <w:sz w:val="18"/>
                <w:szCs w:val="18"/>
              </w:rPr>
              <w:t>0.00962</w:t>
            </w:r>
          </w:p>
        </w:tc>
        <w:tc>
          <w:tcPr>
            <w:tcW w:w="717" w:type="pct"/>
            <w:tcBorders>
              <w:top w:val="nil"/>
              <w:left w:val="nil"/>
              <w:bottom w:val="single" w:sz="4" w:space="0" w:color="auto"/>
              <w:right w:val="single" w:sz="4" w:space="0" w:color="auto"/>
            </w:tcBorders>
            <w:shd w:val="clear" w:color="auto" w:fill="auto"/>
            <w:noWrap/>
            <w:vAlign w:val="bottom"/>
            <w:hideMark/>
          </w:tcPr>
          <w:p w14:paraId="3ACFD843" w14:textId="77777777" w:rsidR="00EC2801" w:rsidRPr="00EC2801" w:rsidRDefault="00EC2801" w:rsidP="00EC2801">
            <w:pPr>
              <w:pStyle w:val="Tablas"/>
              <w:rPr>
                <w:sz w:val="18"/>
                <w:szCs w:val="18"/>
              </w:rPr>
            </w:pPr>
            <w:r w:rsidRPr="00EC2801">
              <w:rPr>
                <w:sz w:val="18"/>
                <w:szCs w:val="18"/>
              </w:rPr>
              <w:t>0.00069</w:t>
            </w:r>
          </w:p>
        </w:tc>
        <w:tc>
          <w:tcPr>
            <w:tcW w:w="574" w:type="pct"/>
            <w:tcBorders>
              <w:top w:val="nil"/>
              <w:left w:val="nil"/>
              <w:bottom w:val="single" w:sz="4" w:space="0" w:color="auto"/>
              <w:right w:val="single" w:sz="4" w:space="0" w:color="auto"/>
            </w:tcBorders>
            <w:shd w:val="clear" w:color="auto" w:fill="auto"/>
            <w:noWrap/>
            <w:vAlign w:val="bottom"/>
            <w:hideMark/>
          </w:tcPr>
          <w:p w14:paraId="52A85582" w14:textId="77777777" w:rsidR="00EC2801" w:rsidRPr="00EC2801" w:rsidRDefault="00EC2801" w:rsidP="00EC2801">
            <w:pPr>
              <w:pStyle w:val="Tablas"/>
              <w:rPr>
                <w:sz w:val="18"/>
                <w:szCs w:val="18"/>
              </w:rPr>
            </w:pPr>
            <w:r w:rsidRPr="00EC2801">
              <w:rPr>
                <w:sz w:val="18"/>
                <w:szCs w:val="18"/>
              </w:rPr>
              <w:t>0.00018</w:t>
            </w:r>
          </w:p>
        </w:tc>
        <w:tc>
          <w:tcPr>
            <w:tcW w:w="654" w:type="pct"/>
            <w:tcBorders>
              <w:top w:val="nil"/>
              <w:left w:val="nil"/>
              <w:bottom w:val="single" w:sz="4" w:space="0" w:color="auto"/>
              <w:right w:val="single" w:sz="8" w:space="0" w:color="auto"/>
            </w:tcBorders>
            <w:shd w:val="clear" w:color="auto" w:fill="auto"/>
            <w:noWrap/>
            <w:vAlign w:val="bottom"/>
            <w:hideMark/>
          </w:tcPr>
          <w:p w14:paraId="1EE54DE5" w14:textId="77777777" w:rsidR="00EC2801" w:rsidRPr="00EC2801" w:rsidRDefault="00EC2801" w:rsidP="00EC2801">
            <w:pPr>
              <w:pStyle w:val="Tablas"/>
              <w:rPr>
                <w:sz w:val="18"/>
                <w:szCs w:val="18"/>
              </w:rPr>
            </w:pPr>
            <w:r w:rsidRPr="00EC2801">
              <w:rPr>
                <w:sz w:val="18"/>
                <w:szCs w:val="18"/>
              </w:rPr>
              <w:t>0.00514</w:t>
            </w:r>
          </w:p>
        </w:tc>
      </w:tr>
      <w:tr w:rsidR="00EC2801" w:rsidRPr="00EC2801" w14:paraId="4C68EE0D" w14:textId="77777777" w:rsidTr="00EC2801">
        <w:trPr>
          <w:trHeight w:val="293"/>
        </w:trPr>
        <w:tc>
          <w:tcPr>
            <w:tcW w:w="388" w:type="pct"/>
            <w:tcBorders>
              <w:top w:val="nil"/>
              <w:left w:val="single" w:sz="8" w:space="0" w:color="auto"/>
              <w:bottom w:val="single" w:sz="4" w:space="0" w:color="auto"/>
              <w:right w:val="nil"/>
            </w:tcBorders>
            <w:shd w:val="clear" w:color="auto" w:fill="auto"/>
            <w:noWrap/>
            <w:vAlign w:val="bottom"/>
            <w:hideMark/>
          </w:tcPr>
          <w:p w14:paraId="77DD1673" w14:textId="77777777" w:rsidR="00EC2801" w:rsidRPr="00EC2801" w:rsidRDefault="00EC2801" w:rsidP="00EC2801">
            <w:pPr>
              <w:pStyle w:val="Tablas"/>
              <w:rPr>
                <w:sz w:val="18"/>
                <w:szCs w:val="18"/>
              </w:rPr>
            </w:pPr>
            <w:r w:rsidRPr="00EC2801">
              <w:rPr>
                <w:sz w:val="18"/>
                <w:szCs w:val="18"/>
              </w:rPr>
              <w:t>39</w:t>
            </w:r>
          </w:p>
        </w:tc>
        <w:tc>
          <w:tcPr>
            <w:tcW w:w="722" w:type="pct"/>
            <w:tcBorders>
              <w:top w:val="nil"/>
              <w:left w:val="single" w:sz="8" w:space="0" w:color="auto"/>
              <w:bottom w:val="single" w:sz="4" w:space="0" w:color="auto"/>
              <w:right w:val="nil"/>
            </w:tcBorders>
            <w:shd w:val="clear" w:color="auto" w:fill="auto"/>
            <w:noWrap/>
            <w:vAlign w:val="bottom"/>
            <w:hideMark/>
          </w:tcPr>
          <w:p w14:paraId="77B33269" w14:textId="77777777" w:rsidR="00EC2801" w:rsidRPr="00EC2801" w:rsidRDefault="00EC2801" w:rsidP="00EC2801">
            <w:pPr>
              <w:pStyle w:val="Tablas"/>
              <w:rPr>
                <w:sz w:val="18"/>
                <w:szCs w:val="18"/>
              </w:rPr>
            </w:pPr>
            <w:r w:rsidRPr="00EC2801">
              <w:rPr>
                <w:sz w:val="18"/>
                <w:szCs w:val="18"/>
              </w:rPr>
              <w:t>0.5626</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0A1D112" w14:textId="77777777" w:rsidR="00EC2801" w:rsidRPr="00EC2801" w:rsidRDefault="00EC2801" w:rsidP="00EC2801">
            <w:pPr>
              <w:pStyle w:val="Tablas"/>
              <w:rPr>
                <w:sz w:val="18"/>
                <w:szCs w:val="18"/>
              </w:rPr>
            </w:pPr>
            <w:r w:rsidRPr="00EC2801">
              <w:rPr>
                <w:sz w:val="18"/>
                <w:szCs w:val="18"/>
              </w:rPr>
              <w:t>0.00169</w:t>
            </w:r>
          </w:p>
        </w:tc>
        <w:tc>
          <w:tcPr>
            <w:tcW w:w="574" w:type="pct"/>
            <w:tcBorders>
              <w:top w:val="nil"/>
              <w:left w:val="nil"/>
              <w:bottom w:val="single" w:sz="4" w:space="0" w:color="auto"/>
              <w:right w:val="single" w:sz="4" w:space="0" w:color="auto"/>
            </w:tcBorders>
            <w:shd w:val="clear" w:color="auto" w:fill="auto"/>
            <w:noWrap/>
            <w:vAlign w:val="bottom"/>
            <w:hideMark/>
          </w:tcPr>
          <w:p w14:paraId="4ADE5ACF" w14:textId="77777777" w:rsidR="00EC2801" w:rsidRPr="00EC2801" w:rsidRDefault="00EC2801" w:rsidP="00EC2801">
            <w:pPr>
              <w:pStyle w:val="Tablas"/>
              <w:rPr>
                <w:sz w:val="18"/>
                <w:szCs w:val="18"/>
              </w:rPr>
            </w:pPr>
            <w:r w:rsidRPr="00EC2801">
              <w:rPr>
                <w:sz w:val="18"/>
                <w:szCs w:val="18"/>
              </w:rPr>
              <w:t>0.00011</w:t>
            </w:r>
          </w:p>
        </w:tc>
        <w:tc>
          <w:tcPr>
            <w:tcW w:w="654" w:type="pct"/>
            <w:tcBorders>
              <w:top w:val="nil"/>
              <w:left w:val="nil"/>
              <w:bottom w:val="single" w:sz="4" w:space="0" w:color="auto"/>
              <w:right w:val="single" w:sz="8" w:space="0" w:color="auto"/>
            </w:tcBorders>
            <w:shd w:val="clear" w:color="auto" w:fill="auto"/>
            <w:noWrap/>
            <w:vAlign w:val="bottom"/>
            <w:hideMark/>
          </w:tcPr>
          <w:p w14:paraId="4F4E84AD" w14:textId="77777777" w:rsidR="00EC2801" w:rsidRPr="00EC2801" w:rsidRDefault="00EC2801" w:rsidP="00EC2801">
            <w:pPr>
              <w:pStyle w:val="Tablas"/>
              <w:rPr>
                <w:sz w:val="18"/>
                <w:szCs w:val="18"/>
              </w:rPr>
            </w:pPr>
            <w:r w:rsidRPr="00EC2801">
              <w:rPr>
                <w:sz w:val="18"/>
                <w:szCs w:val="18"/>
              </w:rPr>
              <w:t>0.01009</w:t>
            </w:r>
          </w:p>
        </w:tc>
        <w:tc>
          <w:tcPr>
            <w:tcW w:w="717" w:type="pct"/>
            <w:tcBorders>
              <w:top w:val="nil"/>
              <w:left w:val="nil"/>
              <w:bottom w:val="single" w:sz="4" w:space="0" w:color="auto"/>
              <w:right w:val="single" w:sz="4" w:space="0" w:color="auto"/>
            </w:tcBorders>
            <w:shd w:val="clear" w:color="auto" w:fill="auto"/>
            <w:noWrap/>
            <w:vAlign w:val="bottom"/>
            <w:hideMark/>
          </w:tcPr>
          <w:p w14:paraId="1244B3A6" w14:textId="77777777" w:rsidR="00EC2801" w:rsidRPr="00EC2801" w:rsidRDefault="00EC2801" w:rsidP="00EC2801">
            <w:pPr>
              <w:pStyle w:val="Tablas"/>
              <w:rPr>
                <w:sz w:val="18"/>
                <w:szCs w:val="18"/>
              </w:rPr>
            </w:pPr>
            <w:r w:rsidRPr="00EC2801">
              <w:rPr>
                <w:sz w:val="18"/>
                <w:szCs w:val="18"/>
              </w:rPr>
              <w:t>0.00073</w:t>
            </w:r>
          </w:p>
        </w:tc>
        <w:tc>
          <w:tcPr>
            <w:tcW w:w="574" w:type="pct"/>
            <w:tcBorders>
              <w:top w:val="nil"/>
              <w:left w:val="nil"/>
              <w:bottom w:val="single" w:sz="4" w:space="0" w:color="auto"/>
              <w:right w:val="single" w:sz="4" w:space="0" w:color="auto"/>
            </w:tcBorders>
            <w:shd w:val="clear" w:color="auto" w:fill="auto"/>
            <w:noWrap/>
            <w:vAlign w:val="bottom"/>
            <w:hideMark/>
          </w:tcPr>
          <w:p w14:paraId="70AC8FC3" w14:textId="77777777" w:rsidR="00EC2801" w:rsidRPr="00EC2801" w:rsidRDefault="00EC2801" w:rsidP="00EC2801">
            <w:pPr>
              <w:pStyle w:val="Tablas"/>
              <w:rPr>
                <w:sz w:val="18"/>
                <w:szCs w:val="18"/>
              </w:rPr>
            </w:pPr>
            <w:r w:rsidRPr="00EC2801">
              <w:rPr>
                <w:sz w:val="18"/>
                <w:szCs w:val="18"/>
              </w:rPr>
              <w:t>0.00022</w:t>
            </w:r>
          </w:p>
        </w:tc>
        <w:tc>
          <w:tcPr>
            <w:tcW w:w="654" w:type="pct"/>
            <w:tcBorders>
              <w:top w:val="nil"/>
              <w:left w:val="nil"/>
              <w:bottom w:val="single" w:sz="4" w:space="0" w:color="auto"/>
              <w:right w:val="single" w:sz="8" w:space="0" w:color="auto"/>
            </w:tcBorders>
            <w:shd w:val="clear" w:color="auto" w:fill="auto"/>
            <w:noWrap/>
            <w:vAlign w:val="bottom"/>
            <w:hideMark/>
          </w:tcPr>
          <w:p w14:paraId="27142F57" w14:textId="77777777" w:rsidR="00EC2801" w:rsidRPr="00EC2801" w:rsidRDefault="00EC2801" w:rsidP="00EC2801">
            <w:pPr>
              <w:pStyle w:val="Tablas"/>
              <w:rPr>
                <w:sz w:val="18"/>
                <w:szCs w:val="18"/>
              </w:rPr>
            </w:pPr>
            <w:r w:rsidRPr="00EC2801">
              <w:rPr>
                <w:sz w:val="18"/>
                <w:szCs w:val="18"/>
              </w:rPr>
              <w:t>0.00544</w:t>
            </w:r>
          </w:p>
        </w:tc>
      </w:tr>
      <w:tr w:rsidR="00EC2801" w:rsidRPr="00EC2801" w14:paraId="6906851E"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0815391" w14:textId="77777777" w:rsidR="00EC2801" w:rsidRPr="00EC2801" w:rsidRDefault="00EC2801" w:rsidP="00EC2801">
            <w:pPr>
              <w:pStyle w:val="Tablas"/>
              <w:rPr>
                <w:sz w:val="18"/>
                <w:szCs w:val="18"/>
              </w:rPr>
            </w:pPr>
            <w:r w:rsidRPr="00EC2801">
              <w:rPr>
                <w:sz w:val="18"/>
                <w:szCs w:val="18"/>
              </w:rPr>
              <w:t>40</w:t>
            </w:r>
          </w:p>
        </w:tc>
        <w:tc>
          <w:tcPr>
            <w:tcW w:w="722" w:type="pct"/>
            <w:tcBorders>
              <w:top w:val="nil"/>
              <w:left w:val="single" w:sz="8" w:space="0" w:color="auto"/>
              <w:bottom w:val="single" w:sz="4" w:space="0" w:color="auto"/>
              <w:right w:val="nil"/>
            </w:tcBorders>
            <w:shd w:val="clear" w:color="auto" w:fill="auto"/>
            <w:noWrap/>
            <w:vAlign w:val="bottom"/>
            <w:hideMark/>
          </w:tcPr>
          <w:p w14:paraId="2C6FE2A1" w14:textId="77777777" w:rsidR="00EC2801" w:rsidRPr="00EC2801" w:rsidRDefault="00EC2801" w:rsidP="00EC2801">
            <w:pPr>
              <w:pStyle w:val="Tablas"/>
              <w:rPr>
                <w:sz w:val="18"/>
                <w:szCs w:val="18"/>
              </w:rPr>
            </w:pPr>
            <w:r w:rsidRPr="00EC2801">
              <w:rPr>
                <w:sz w:val="18"/>
                <w:szCs w:val="18"/>
              </w:rPr>
              <w:t>0.5762</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B560531" w14:textId="77777777" w:rsidR="00EC2801" w:rsidRPr="00EC2801" w:rsidRDefault="00EC2801" w:rsidP="00EC2801">
            <w:pPr>
              <w:pStyle w:val="Tablas"/>
              <w:rPr>
                <w:sz w:val="18"/>
                <w:szCs w:val="18"/>
              </w:rPr>
            </w:pPr>
            <w:r w:rsidRPr="00EC2801">
              <w:rPr>
                <w:sz w:val="18"/>
                <w:szCs w:val="18"/>
              </w:rPr>
              <w:t>0.00174</w:t>
            </w:r>
          </w:p>
        </w:tc>
        <w:tc>
          <w:tcPr>
            <w:tcW w:w="574" w:type="pct"/>
            <w:tcBorders>
              <w:top w:val="nil"/>
              <w:left w:val="nil"/>
              <w:bottom w:val="single" w:sz="4" w:space="0" w:color="auto"/>
              <w:right w:val="single" w:sz="4" w:space="0" w:color="auto"/>
            </w:tcBorders>
            <w:shd w:val="clear" w:color="auto" w:fill="auto"/>
            <w:noWrap/>
            <w:vAlign w:val="bottom"/>
            <w:hideMark/>
          </w:tcPr>
          <w:p w14:paraId="0E120651" w14:textId="77777777" w:rsidR="00EC2801" w:rsidRPr="00EC2801" w:rsidRDefault="00EC2801" w:rsidP="00EC2801">
            <w:pPr>
              <w:pStyle w:val="Tablas"/>
              <w:rPr>
                <w:sz w:val="18"/>
                <w:szCs w:val="18"/>
              </w:rPr>
            </w:pPr>
            <w:r w:rsidRPr="00EC2801">
              <w:rPr>
                <w:sz w:val="18"/>
                <w:szCs w:val="18"/>
              </w:rPr>
              <w:t>0.00013</w:t>
            </w:r>
          </w:p>
        </w:tc>
        <w:tc>
          <w:tcPr>
            <w:tcW w:w="654" w:type="pct"/>
            <w:tcBorders>
              <w:top w:val="nil"/>
              <w:left w:val="nil"/>
              <w:bottom w:val="single" w:sz="4" w:space="0" w:color="auto"/>
              <w:right w:val="single" w:sz="8" w:space="0" w:color="auto"/>
            </w:tcBorders>
            <w:shd w:val="clear" w:color="auto" w:fill="auto"/>
            <w:noWrap/>
            <w:vAlign w:val="bottom"/>
            <w:hideMark/>
          </w:tcPr>
          <w:p w14:paraId="6488F8E9" w14:textId="77777777" w:rsidR="00EC2801" w:rsidRPr="00EC2801" w:rsidRDefault="00EC2801" w:rsidP="00EC2801">
            <w:pPr>
              <w:pStyle w:val="Tablas"/>
              <w:rPr>
                <w:sz w:val="18"/>
                <w:szCs w:val="18"/>
              </w:rPr>
            </w:pPr>
            <w:r w:rsidRPr="00EC2801">
              <w:rPr>
                <w:sz w:val="18"/>
                <w:szCs w:val="18"/>
              </w:rPr>
              <w:t>0.01057</w:t>
            </w:r>
          </w:p>
        </w:tc>
        <w:tc>
          <w:tcPr>
            <w:tcW w:w="717" w:type="pct"/>
            <w:tcBorders>
              <w:top w:val="nil"/>
              <w:left w:val="nil"/>
              <w:bottom w:val="single" w:sz="4" w:space="0" w:color="auto"/>
              <w:right w:val="single" w:sz="4" w:space="0" w:color="auto"/>
            </w:tcBorders>
            <w:shd w:val="clear" w:color="auto" w:fill="auto"/>
            <w:noWrap/>
            <w:vAlign w:val="bottom"/>
            <w:hideMark/>
          </w:tcPr>
          <w:p w14:paraId="75C1F847" w14:textId="77777777" w:rsidR="00EC2801" w:rsidRPr="00EC2801" w:rsidRDefault="00EC2801" w:rsidP="00EC2801">
            <w:pPr>
              <w:pStyle w:val="Tablas"/>
              <w:rPr>
                <w:sz w:val="18"/>
                <w:szCs w:val="18"/>
              </w:rPr>
            </w:pPr>
            <w:r w:rsidRPr="00EC2801">
              <w:rPr>
                <w:sz w:val="18"/>
                <w:szCs w:val="18"/>
              </w:rPr>
              <w:t>0.00078</w:t>
            </w:r>
          </w:p>
        </w:tc>
        <w:tc>
          <w:tcPr>
            <w:tcW w:w="574" w:type="pct"/>
            <w:tcBorders>
              <w:top w:val="nil"/>
              <w:left w:val="nil"/>
              <w:bottom w:val="single" w:sz="4" w:space="0" w:color="auto"/>
              <w:right w:val="single" w:sz="4" w:space="0" w:color="auto"/>
            </w:tcBorders>
            <w:shd w:val="clear" w:color="auto" w:fill="auto"/>
            <w:noWrap/>
            <w:vAlign w:val="bottom"/>
            <w:hideMark/>
          </w:tcPr>
          <w:p w14:paraId="2D5EC2BE" w14:textId="77777777" w:rsidR="00EC2801" w:rsidRPr="00EC2801" w:rsidRDefault="00EC2801" w:rsidP="00EC2801">
            <w:pPr>
              <w:pStyle w:val="Tablas"/>
              <w:rPr>
                <w:sz w:val="18"/>
                <w:szCs w:val="18"/>
              </w:rPr>
            </w:pPr>
            <w:r w:rsidRPr="00EC2801">
              <w:rPr>
                <w:sz w:val="18"/>
                <w:szCs w:val="18"/>
              </w:rPr>
              <w:t>0.00026</w:t>
            </w:r>
          </w:p>
        </w:tc>
        <w:tc>
          <w:tcPr>
            <w:tcW w:w="654" w:type="pct"/>
            <w:tcBorders>
              <w:top w:val="nil"/>
              <w:left w:val="nil"/>
              <w:bottom w:val="single" w:sz="4" w:space="0" w:color="auto"/>
              <w:right w:val="single" w:sz="8" w:space="0" w:color="auto"/>
            </w:tcBorders>
            <w:shd w:val="clear" w:color="auto" w:fill="auto"/>
            <w:noWrap/>
            <w:vAlign w:val="bottom"/>
            <w:hideMark/>
          </w:tcPr>
          <w:p w14:paraId="2761ABBF" w14:textId="77777777" w:rsidR="00EC2801" w:rsidRPr="00EC2801" w:rsidRDefault="00EC2801" w:rsidP="00EC2801">
            <w:pPr>
              <w:pStyle w:val="Tablas"/>
              <w:rPr>
                <w:sz w:val="18"/>
                <w:szCs w:val="18"/>
              </w:rPr>
            </w:pPr>
            <w:r w:rsidRPr="00EC2801">
              <w:rPr>
                <w:sz w:val="18"/>
                <w:szCs w:val="18"/>
              </w:rPr>
              <w:t>0.00575</w:t>
            </w:r>
          </w:p>
        </w:tc>
      </w:tr>
      <w:tr w:rsidR="00EC2801" w:rsidRPr="00EC2801" w14:paraId="4C187BB6"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3A2DBBB9" w14:textId="77777777" w:rsidR="00EC2801" w:rsidRPr="00EC2801" w:rsidRDefault="00EC2801" w:rsidP="00EC2801">
            <w:pPr>
              <w:pStyle w:val="Tablas"/>
              <w:rPr>
                <w:sz w:val="18"/>
                <w:szCs w:val="18"/>
              </w:rPr>
            </w:pPr>
            <w:r w:rsidRPr="00EC2801">
              <w:rPr>
                <w:sz w:val="18"/>
                <w:szCs w:val="18"/>
              </w:rPr>
              <w:t>41</w:t>
            </w:r>
          </w:p>
        </w:tc>
        <w:tc>
          <w:tcPr>
            <w:tcW w:w="722" w:type="pct"/>
            <w:tcBorders>
              <w:top w:val="nil"/>
              <w:left w:val="single" w:sz="8" w:space="0" w:color="auto"/>
              <w:bottom w:val="single" w:sz="4" w:space="0" w:color="auto"/>
              <w:right w:val="nil"/>
            </w:tcBorders>
            <w:shd w:val="clear" w:color="auto" w:fill="auto"/>
            <w:noWrap/>
            <w:vAlign w:val="bottom"/>
            <w:hideMark/>
          </w:tcPr>
          <w:p w14:paraId="07876A4C" w14:textId="77777777" w:rsidR="00EC2801" w:rsidRPr="00EC2801" w:rsidRDefault="00EC2801" w:rsidP="00EC2801">
            <w:pPr>
              <w:pStyle w:val="Tablas"/>
              <w:rPr>
                <w:sz w:val="18"/>
                <w:szCs w:val="18"/>
              </w:rPr>
            </w:pPr>
            <w:r w:rsidRPr="00EC2801">
              <w:rPr>
                <w:sz w:val="18"/>
                <w:szCs w:val="18"/>
              </w:rPr>
              <w:t>0.5888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105A106" w14:textId="77777777" w:rsidR="00EC2801" w:rsidRPr="00EC2801" w:rsidRDefault="00EC2801" w:rsidP="00EC2801">
            <w:pPr>
              <w:pStyle w:val="Tablas"/>
              <w:rPr>
                <w:sz w:val="18"/>
                <w:szCs w:val="18"/>
              </w:rPr>
            </w:pPr>
            <w:r w:rsidRPr="00EC2801">
              <w:rPr>
                <w:sz w:val="18"/>
                <w:szCs w:val="18"/>
              </w:rPr>
              <w:t>0.00180</w:t>
            </w:r>
          </w:p>
        </w:tc>
        <w:tc>
          <w:tcPr>
            <w:tcW w:w="574" w:type="pct"/>
            <w:tcBorders>
              <w:top w:val="nil"/>
              <w:left w:val="nil"/>
              <w:bottom w:val="single" w:sz="4" w:space="0" w:color="auto"/>
              <w:right w:val="single" w:sz="4" w:space="0" w:color="auto"/>
            </w:tcBorders>
            <w:shd w:val="clear" w:color="auto" w:fill="auto"/>
            <w:noWrap/>
            <w:vAlign w:val="bottom"/>
            <w:hideMark/>
          </w:tcPr>
          <w:p w14:paraId="7FFF64F4" w14:textId="77777777" w:rsidR="00EC2801" w:rsidRPr="00EC2801" w:rsidRDefault="00EC2801" w:rsidP="00EC2801">
            <w:pPr>
              <w:pStyle w:val="Tablas"/>
              <w:rPr>
                <w:sz w:val="18"/>
                <w:szCs w:val="18"/>
              </w:rPr>
            </w:pPr>
            <w:r w:rsidRPr="00EC2801">
              <w:rPr>
                <w:sz w:val="18"/>
                <w:szCs w:val="18"/>
              </w:rPr>
              <w:t>0.00016</w:t>
            </w:r>
          </w:p>
        </w:tc>
        <w:tc>
          <w:tcPr>
            <w:tcW w:w="654" w:type="pct"/>
            <w:tcBorders>
              <w:top w:val="nil"/>
              <w:left w:val="nil"/>
              <w:bottom w:val="single" w:sz="4" w:space="0" w:color="auto"/>
              <w:right w:val="single" w:sz="8" w:space="0" w:color="auto"/>
            </w:tcBorders>
            <w:shd w:val="clear" w:color="auto" w:fill="auto"/>
            <w:noWrap/>
            <w:vAlign w:val="bottom"/>
            <w:hideMark/>
          </w:tcPr>
          <w:p w14:paraId="03D0D590" w14:textId="77777777" w:rsidR="00EC2801" w:rsidRPr="00EC2801" w:rsidRDefault="00EC2801" w:rsidP="00EC2801">
            <w:pPr>
              <w:pStyle w:val="Tablas"/>
              <w:rPr>
                <w:sz w:val="18"/>
                <w:szCs w:val="18"/>
              </w:rPr>
            </w:pPr>
            <w:r w:rsidRPr="00EC2801">
              <w:rPr>
                <w:sz w:val="18"/>
                <w:szCs w:val="18"/>
              </w:rPr>
              <w:t>0.01108</w:t>
            </w:r>
          </w:p>
        </w:tc>
        <w:tc>
          <w:tcPr>
            <w:tcW w:w="717" w:type="pct"/>
            <w:tcBorders>
              <w:top w:val="nil"/>
              <w:left w:val="nil"/>
              <w:bottom w:val="single" w:sz="4" w:space="0" w:color="auto"/>
              <w:right w:val="single" w:sz="4" w:space="0" w:color="auto"/>
            </w:tcBorders>
            <w:shd w:val="clear" w:color="auto" w:fill="auto"/>
            <w:noWrap/>
            <w:vAlign w:val="bottom"/>
            <w:hideMark/>
          </w:tcPr>
          <w:p w14:paraId="7D9D9E98" w14:textId="77777777" w:rsidR="00EC2801" w:rsidRPr="00EC2801" w:rsidRDefault="00EC2801" w:rsidP="00EC2801">
            <w:pPr>
              <w:pStyle w:val="Tablas"/>
              <w:rPr>
                <w:sz w:val="18"/>
                <w:szCs w:val="18"/>
              </w:rPr>
            </w:pPr>
            <w:r w:rsidRPr="00EC2801">
              <w:rPr>
                <w:sz w:val="18"/>
                <w:szCs w:val="18"/>
              </w:rPr>
              <w:t>0.00083</w:t>
            </w:r>
          </w:p>
        </w:tc>
        <w:tc>
          <w:tcPr>
            <w:tcW w:w="574" w:type="pct"/>
            <w:tcBorders>
              <w:top w:val="nil"/>
              <w:left w:val="nil"/>
              <w:bottom w:val="single" w:sz="4" w:space="0" w:color="auto"/>
              <w:right w:val="single" w:sz="4" w:space="0" w:color="auto"/>
            </w:tcBorders>
            <w:shd w:val="clear" w:color="auto" w:fill="auto"/>
            <w:noWrap/>
            <w:vAlign w:val="bottom"/>
            <w:hideMark/>
          </w:tcPr>
          <w:p w14:paraId="22DA30A5" w14:textId="77777777" w:rsidR="00EC2801" w:rsidRPr="00EC2801" w:rsidRDefault="00EC2801" w:rsidP="00EC2801">
            <w:pPr>
              <w:pStyle w:val="Tablas"/>
              <w:rPr>
                <w:sz w:val="18"/>
                <w:szCs w:val="18"/>
              </w:rPr>
            </w:pPr>
            <w:r w:rsidRPr="00EC2801">
              <w:rPr>
                <w:sz w:val="18"/>
                <w:szCs w:val="18"/>
              </w:rPr>
              <w:t>0.00030</w:t>
            </w:r>
          </w:p>
        </w:tc>
        <w:tc>
          <w:tcPr>
            <w:tcW w:w="654" w:type="pct"/>
            <w:tcBorders>
              <w:top w:val="nil"/>
              <w:left w:val="nil"/>
              <w:bottom w:val="single" w:sz="4" w:space="0" w:color="auto"/>
              <w:right w:val="single" w:sz="8" w:space="0" w:color="auto"/>
            </w:tcBorders>
            <w:shd w:val="clear" w:color="auto" w:fill="auto"/>
            <w:noWrap/>
            <w:vAlign w:val="bottom"/>
            <w:hideMark/>
          </w:tcPr>
          <w:p w14:paraId="2788F47F" w14:textId="77777777" w:rsidR="00EC2801" w:rsidRPr="00EC2801" w:rsidRDefault="00EC2801" w:rsidP="00EC2801">
            <w:pPr>
              <w:pStyle w:val="Tablas"/>
              <w:rPr>
                <w:sz w:val="18"/>
                <w:szCs w:val="18"/>
              </w:rPr>
            </w:pPr>
            <w:r w:rsidRPr="00EC2801">
              <w:rPr>
                <w:sz w:val="18"/>
                <w:szCs w:val="18"/>
              </w:rPr>
              <w:t>0.00607</w:t>
            </w:r>
          </w:p>
        </w:tc>
      </w:tr>
      <w:tr w:rsidR="00EC2801" w:rsidRPr="00EC2801" w14:paraId="1C44A27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24ECB35" w14:textId="77777777" w:rsidR="00EC2801" w:rsidRPr="00EC2801" w:rsidRDefault="00EC2801" w:rsidP="00EC2801">
            <w:pPr>
              <w:pStyle w:val="Tablas"/>
              <w:rPr>
                <w:sz w:val="18"/>
                <w:szCs w:val="18"/>
              </w:rPr>
            </w:pPr>
            <w:r w:rsidRPr="00EC2801">
              <w:rPr>
                <w:sz w:val="18"/>
                <w:szCs w:val="18"/>
              </w:rPr>
              <w:t>42</w:t>
            </w:r>
          </w:p>
        </w:tc>
        <w:tc>
          <w:tcPr>
            <w:tcW w:w="722" w:type="pct"/>
            <w:tcBorders>
              <w:top w:val="nil"/>
              <w:left w:val="single" w:sz="8" w:space="0" w:color="auto"/>
              <w:bottom w:val="single" w:sz="4" w:space="0" w:color="auto"/>
              <w:right w:val="nil"/>
            </w:tcBorders>
            <w:shd w:val="clear" w:color="auto" w:fill="auto"/>
            <w:noWrap/>
            <w:vAlign w:val="bottom"/>
            <w:hideMark/>
          </w:tcPr>
          <w:p w14:paraId="03D6A525" w14:textId="77777777" w:rsidR="00EC2801" w:rsidRPr="00EC2801" w:rsidRDefault="00EC2801" w:rsidP="00EC2801">
            <w:pPr>
              <w:pStyle w:val="Tablas"/>
              <w:rPr>
                <w:sz w:val="18"/>
                <w:szCs w:val="18"/>
              </w:rPr>
            </w:pPr>
            <w:r w:rsidRPr="00EC2801">
              <w:rPr>
                <w:sz w:val="18"/>
                <w:szCs w:val="18"/>
              </w:rPr>
              <w:t>0.6003</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C8A3DB4" w14:textId="77777777" w:rsidR="00EC2801" w:rsidRPr="00EC2801" w:rsidRDefault="00EC2801" w:rsidP="00EC2801">
            <w:pPr>
              <w:pStyle w:val="Tablas"/>
              <w:rPr>
                <w:sz w:val="18"/>
                <w:szCs w:val="18"/>
              </w:rPr>
            </w:pPr>
            <w:r w:rsidRPr="00EC2801">
              <w:rPr>
                <w:sz w:val="18"/>
                <w:szCs w:val="18"/>
              </w:rPr>
              <w:t>0.00188</w:t>
            </w:r>
          </w:p>
        </w:tc>
        <w:tc>
          <w:tcPr>
            <w:tcW w:w="574" w:type="pct"/>
            <w:tcBorders>
              <w:top w:val="nil"/>
              <w:left w:val="nil"/>
              <w:bottom w:val="single" w:sz="4" w:space="0" w:color="auto"/>
              <w:right w:val="single" w:sz="4" w:space="0" w:color="auto"/>
            </w:tcBorders>
            <w:shd w:val="clear" w:color="auto" w:fill="auto"/>
            <w:noWrap/>
            <w:vAlign w:val="bottom"/>
            <w:hideMark/>
          </w:tcPr>
          <w:p w14:paraId="3E6E043F" w14:textId="77777777" w:rsidR="00EC2801" w:rsidRPr="00EC2801" w:rsidRDefault="00EC2801" w:rsidP="00EC2801">
            <w:pPr>
              <w:pStyle w:val="Tablas"/>
              <w:rPr>
                <w:sz w:val="18"/>
                <w:szCs w:val="18"/>
              </w:rPr>
            </w:pPr>
            <w:r w:rsidRPr="00EC2801">
              <w:rPr>
                <w:sz w:val="18"/>
                <w:szCs w:val="18"/>
              </w:rPr>
              <w:t>0.00019</w:t>
            </w:r>
          </w:p>
        </w:tc>
        <w:tc>
          <w:tcPr>
            <w:tcW w:w="654" w:type="pct"/>
            <w:tcBorders>
              <w:top w:val="nil"/>
              <w:left w:val="nil"/>
              <w:bottom w:val="single" w:sz="4" w:space="0" w:color="auto"/>
              <w:right w:val="single" w:sz="8" w:space="0" w:color="auto"/>
            </w:tcBorders>
            <w:shd w:val="clear" w:color="auto" w:fill="auto"/>
            <w:noWrap/>
            <w:vAlign w:val="bottom"/>
            <w:hideMark/>
          </w:tcPr>
          <w:p w14:paraId="1DA5C745" w14:textId="77777777" w:rsidR="00EC2801" w:rsidRPr="00EC2801" w:rsidRDefault="00EC2801" w:rsidP="00EC2801">
            <w:pPr>
              <w:pStyle w:val="Tablas"/>
              <w:rPr>
                <w:sz w:val="18"/>
                <w:szCs w:val="18"/>
              </w:rPr>
            </w:pPr>
            <w:r w:rsidRPr="00EC2801">
              <w:rPr>
                <w:sz w:val="18"/>
                <w:szCs w:val="18"/>
              </w:rPr>
              <w:t>0.01161</w:t>
            </w:r>
          </w:p>
        </w:tc>
        <w:tc>
          <w:tcPr>
            <w:tcW w:w="717" w:type="pct"/>
            <w:tcBorders>
              <w:top w:val="nil"/>
              <w:left w:val="nil"/>
              <w:bottom w:val="single" w:sz="4" w:space="0" w:color="auto"/>
              <w:right w:val="single" w:sz="4" w:space="0" w:color="auto"/>
            </w:tcBorders>
            <w:shd w:val="clear" w:color="auto" w:fill="auto"/>
            <w:noWrap/>
            <w:vAlign w:val="bottom"/>
            <w:hideMark/>
          </w:tcPr>
          <w:p w14:paraId="7BDA687F" w14:textId="77777777" w:rsidR="00EC2801" w:rsidRPr="00EC2801" w:rsidRDefault="00EC2801" w:rsidP="00EC2801">
            <w:pPr>
              <w:pStyle w:val="Tablas"/>
              <w:rPr>
                <w:sz w:val="18"/>
                <w:szCs w:val="18"/>
              </w:rPr>
            </w:pPr>
            <w:r w:rsidRPr="00EC2801">
              <w:rPr>
                <w:sz w:val="18"/>
                <w:szCs w:val="18"/>
              </w:rPr>
              <w:t>0.00089</w:t>
            </w:r>
          </w:p>
        </w:tc>
        <w:tc>
          <w:tcPr>
            <w:tcW w:w="574" w:type="pct"/>
            <w:tcBorders>
              <w:top w:val="nil"/>
              <w:left w:val="nil"/>
              <w:bottom w:val="single" w:sz="4" w:space="0" w:color="auto"/>
              <w:right w:val="single" w:sz="4" w:space="0" w:color="auto"/>
            </w:tcBorders>
            <w:shd w:val="clear" w:color="auto" w:fill="auto"/>
            <w:noWrap/>
            <w:vAlign w:val="bottom"/>
            <w:hideMark/>
          </w:tcPr>
          <w:p w14:paraId="04E7C674" w14:textId="77777777" w:rsidR="00EC2801" w:rsidRPr="00EC2801" w:rsidRDefault="00EC2801" w:rsidP="00EC2801">
            <w:pPr>
              <w:pStyle w:val="Tablas"/>
              <w:rPr>
                <w:sz w:val="18"/>
                <w:szCs w:val="18"/>
              </w:rPr>
            </w:pPr>
            <w:r w:rsidRPr="00EC2801">
              <w:rPr>
                <w:sz w:val="18"/>
                <w:szCs w:val="18"/>
              </w:rPr>
              <w:t>0.00035</w:t>
            </w:r>
          </w:p>
        </w:tc>
        <w:tc>
          <w:tcPr>
            <w:tcW w:w="654" w:type="pct"/>
            <w:tcBorders>
              <w:top w:val="nil"/>
              <w:left w:val="nil"/>
              <w:bottom w:val="single" w:sz="4" w:space="0" w:color="auto"/>
              <w:right w:val="single" w:sz="8" w:space="0" w:color="auto"/>
            </w:tcBorders>
            <w:shd w:val="clear" w:color="auto" w:fill="auto"/>
            <w:noWrap/>
            <w:vAlign w:val="bottom"/>
            <w:hideMark/>
          </w:tcPr>
          <w:p w14:paraId="4AB4FC6C" w14:textId="77777777" w:rsidR="00EC2801" w:rsidRPr="00EC2801" w:rsidRDefault="00EC2801" w:rsidP="00EC2801">
            <w:pPr>
              <w:pStyle w:val="Tablas"/>
              <w:rPr>
                <w:sz w:val="18"/>
                <w:szCs w:val="18"/>
              </w:rPr>
            </w:pPr>
            <w:r w:rsidRPr="00EC2801">
              <w:rPr>
                <w:sz w:val="18"/>
                <w:szCs w:val="18"/>
              </w:rPr>
              <w:t>0.00642</w:t>
            </w:r>
          </w:p>
        </w:tc>
      </w:tr>
      <w:tr w:rsidR="00EC2801" w:rsidRPr="00EC2801" w14:paraId="37DF600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01A546E" w14:textId="77777777" w:rsidR="00EC2801" w:rsidRPr="00EC2801" w:rsidRDefault="00EC2801" w:rsidP="00EC2801">
            <w:pPr>
              <w:pStyle w:val="Tablas"/>
              <w:rPr>
                <w:sz w:val="18"/>
                <w:szCs w:val="18"/>
              </w:rPr>
            </w:pPr>
            <w:r w:rsidRPr="00EC2801">
              <w:rPr>
                <w:sz w:val="18"/>
                <w:szCs w:val="18"/>
              </w:rPr>
              <w:t>43</w:t>
            </w:r>
          </w:p>
        </w:tc>
        <w:tc>
          <w:tcPr>
            <w:tcW w:w="722" w:type="pct"/>
            <w:tcBorders>
              <w:top w:val="nil"/>
              <w:left w:val="single" w:sz="8" w:space="0" w:color="auto"/>
              <w:bottom w:val="single" w:sz="4" w:space="0" w:color="auto"/>
              <w:right w:val="nil"/>
            </w:tcBorders>
            <w:shd w:val="clear" w:color="auto" w:fill="auto"/>
            <w:noWrap/>
            <w:vAlign w:val="bottom"/>
            <w:hideMark/>
          </w:tcPr>
          <w:p w14:paraId="5D25AA38" w14:textId="77777777" w:rsidR="00EC2801" w:rsidRPr="00EC2801" w:rsidRDefault="00EC2801" w:rsidP="00EC2801">
            <w:pPr>
              <w:pStyle w:val="Tablas"/>
              <w:rPr>
                <w:sz w:val="18"/>
                <w:szCs w:val="18"/>
              </w:rPr>
            </w:pPr>
            <w:r w:rsidRPr="00EC2801">
              <w:rPr>
                <w:sz w:val="18"/>
                <w:szCs w:val="18"/>
              </w:rPr>
              <w:t>0.6107</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9001145" w14:textId="77777777" w:rsidR="00EC2801" w:rsidRPr="00EC2801" w:rsidRDefault="00EC2801" w:rsidP="00EC2801">
            <w:pPr>
              <w:pStyle w:val="Tablas"/>
              <w:rPr>
                <w:sz w:val="18"/>
                <w:szCs w:val="18"/>
              </w:rPr>
            </w:pPr>
            <w:r w:rsidRPr="00EC2801">
              <w:rPr>
                <w:sz w:val="18"/>
                <w:szCs w:val="18"/>
              </w:rPr>
              <w:t>0.00199</w:t>
            </w:r>
          </w:p>
        </w:tc>
        <w:tc>
          <w:tcPr>
            <w:tcW w:w="574" w:type="pct"/>
            <w:tcBorders>
              <w:top w:val="nil"/>
              <w:left w:val="nil"/>
              <w:bottom w:val="single" w:sz="4" w:space="0" w:color="auto"/>
              <w:right w:val="single" w:sz="4" w:space="0" w:color="auto"/>
            </w:tcBorders>
            <w:shd w:val="clear" w:color="auto" w:fill="auto"/>
            <w:noWrap/>
            <w:vAlign w:val="bottom"/>
            <w:hideMark/>
          </w:tcPr>
          <w:p w14:paraId="62A33F42" w14:textId="77777777" w:rsidR="00EC2801" w:rsidRPr="00EC2801" w:rsidRDefault="00EC2801" w:rsidP="00EC2801">
            <w:pPr>
              <w:pStyle w:val="Tablas"/>
              <w:rPr>
                <w:sz w:val="18"/>
                <w:szCs w:val="18"/>
              </w:rPr>
            </w:pPr>
            <w:r w:rsidRPr="00EC2801">
              <w:rPr>
                <w:sz w:val="18"/>
                <w:szCs w:val="18"/>
              </w:rPr>
              <w:t>0.00023</w:t>
            </w:r>
          </w:p>
        </w:tc>
        <w:tc>
          <w:tcPr>
            <w:tcW w:w="654" w:type="pct"/>
            <w:tcBorders>
              <w:top w:val="nil"/>
              <w:left w:val="nil"/>
              <w:bottom w:val="single" w:sz="4" w:space="0" w:color="auto"/>
              <w:right w:val="single" w:sz="8" w:space="0" w:color="auto"/>
            </w:tcBorders>
            <w:shd w:val="clear" w:color="auto" w:fill="auto"/>
            <w:noWrap/>
            <w:vAlign w:val="bottom"/>
            <w:hideMark/>
          </w:tcPr>
          <w:p w14:paraId="2BBEB3D9" w14:textId="77777777" w:rsidR="00EC2801" w:rsidRPr="00EC2801" w:rsidRDefault="00EC2801" w:rsidP="00EC2801">
            <w:pPr>
              <w:pStyle w:val="Tablas"/>
              <w:rPr>
                <w:sz w:val="18"/>
                <w:szCs w:val="18"/>
              </w:rPr>
            </w:pPr>
            <w:r w:rsidRPr="00EC2801">
              <w:rPr>
                <w:sz w:val="18"/>
                <w:szCs w:val="18"/>
              </w:rPr>
              <w:t>0.01217</w:t>
            </w:r>
          </w:p>
        </w:tc>
        <w:tc>
          <w:tcPr>
            <w:tcW w:w="717" w:type="pct"/>
            <w:tcBorders>
              <w:top w:val="nil"/>
              <w:left w:val="nil"/>
              <w:bottom w:val="single" w:sz="4" w:space="0" w:color="auto"/>
              <w:right w:val="single" w:sz="4" w:space="0" w:color="auto"/>
            </w:tcBorders>
            <w:shd w:val="clear" w:color="auto" w:fill="auto"/>
            <w:noWrap/>
            <w:vAlign w:val="bottom"/>
            <w:hideMark/>
          </w:tcPr>
          <w:p w14:paraId="4E0662C0" w14:textId="77777777" w:rsidR="00EC2801" w:rsidRPr="00EC2801" w:rsidRDefault="00EC2801" w:rsidP="00EC2801">
            <w:pPr>
              <w:pStyle w:val="Tablas"/>
              <w:rPr>
                <w:sz w:val="18"/>
                <w:szCs w:val="18"/>
              </w:rPr>
            </w:pPr>
            <w:r w:rsidRPr="00EC2801">
              <w:rPr>
                <w:sz w:val="18"/>
                <w:szCs w:val="18"/>
              </w:rPr>
              <w:t>0.00095</w:t>
            </w:r>
          </w:p>
        </w:tc>
        <w:tc>
          <w:tcPr>
            <w:tcW w:w="574" w:type="pct"/>
            <w:tcBorders>
              <w:top w:val="nil"/>
              <w:left w:val="nil"/>
              <w:bottom w:val="single" w:sz="4" w:space="0" w:color="auto"/>
              <w:right w:val="single" w:sz="4" w:space="0" w:color="auto"/>
            </w:tcBorders>
            <w:shd w:val="clear" w:color="auto" w:fill="auto"/>
            <w:noWrap/>
            <w:vAlign w:val="bottom"/>
            <w:hideMark/>
          </w:tcPr>
          <w:p w14:paraId="66072E33" w14:textId="77777777" w:rsidR="00EC2801" w:rsidRPr="00EC2801" w:rsidRDefault="00EC2801" w:rsidP="00EC2801">
            <w:pPr>
              <w:pStyle w:val="Tablas"/>
              <w:rPr>
                <w:sz w:val="18"/>
                <w:szCs w:val="18"/>
              </w:rPr>
            </w:pPr>
            <w:r w:rsidRPr="00EC2801">
              <w:rPr>
                <w:sz w:val="18"/>
                <w:szCs w:val="18"/>
              </w:rPr>
              <w:t>0.00041</w:t>
            </w:r>
          </w:p>
        </w:tc>
        <w:tc>
          <w:tcPr>
            <w:tcW w:w="654" w:type="pct"/>
            <w:tcBorders>
              <w:top w:val="nil"/>
              <w:left w:val="nil"/>
              <w:bottom w:val="single" w:sz="4" w:space="0" w:color="auto"/>
              <w:right w:val="single" w:sz="8" w:space="0" w:color="auto"/>
            </w:tcBorders>
            <w:shd w:val="clear" w:color="auto" w:fill="auto"/>
            <w:noWrap/>
            <w:vAlign w:val="bottom"/>
            <w:hideMark/>
          </w:tcPr>
          <w:p w14:paraId="3C843B2F" w14:textId="77777777" w:rsidR="00EC2801" w:rsidRPr="00EC2801" w:rsidRDefault="00EC2801" w:rsidP="00EC2801">
            <w:pPr>
              <w:pStyle w:val="Tablas"/>
              <w:rPr>
                <w:sz w:val="18"/>
                <w:szCs w:val="18"/>
              </w:rPr>
            </w:pPr>
            <w:r w:rsidRPr="00EC2801">
              <w:rPr>
                <w:sz w:val="18"/>
                <w:szCs w:val="18"/>
              </w:rPr>
              <w:t>0.00679</w:t>
            </w:r>
          </w:p>
        </w:tc>
      </w:tr>
      <w:tr w:rsidR="00EC2801" w:rsidRPr="00EC2801" w14:paraId="65A2A2F3"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0F74B4BB" w14:textId="77777777" w:rsidR="00EC2801" w:rsidRPr="00EC2801" w:rsidRDefault="00EC2801" w:rsidP="00EC2801">
            <w:pPr>
              <w:pStyle w:val="Tablas"/>
              <w:rPr>
                <w:sz w:val="18"/>
                <w:szCs w:val="18"/>
              </w:rPr>
            </w:pPr>
            <w:r w:rsidRPr="00EC2801">
              <w:rPr>
                <w:sz w:val="18"/>
                <w:szCs w:val="18"/>
              </w:rPr>
              <w:t>44</w:t>
            </w:r>
          </w:p>
        </w:tc>
        <w:tc>
          <w:tcPr>
            <w:tcW w:w="722" w:type="pct"/>
            <w:tcBorders>
              <w:top w:val="nil"/>
              <w:left w:val="single" w:sz="8" w:space="0" w:color="auto"/>
              <w:bottom w:val="single" w:sz="4" w:space="0" w:color="auto"/>
              <w:right w:val="nil"/>
            </w:tcBorders>
            <w:shd w:val="clear" w:color="auto" w:fill="auto"/>
            <w:noWrap/>
            <w:vAlign w:val="bottom"/>
            <w:hideMark/>
          </w:tcPr>
          <w:p w14:paraId="0B4633E4" w14:textId="77777777" w:rsidR="00EC2801" w:rsidRPr="00EC2801" w:rsidRDefault="00EC2801" w:rsidP="00EC2801">
            <w:pPr>
              <w:pStyle w:val="Tablas"/>
              <w:rPr>
                <w:sz w:val="18"/>
                <w:szCs w:val="18"/>
              </w:rPr>
            </w:pPr>
            <w:r w:rsidRPr="00EC2801">
              <w:rPr>
                <w:sz w:val="18"/>
                <w:szCs w:val="18"/>
              </w:rPr>
              <w:t>0.62</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F417005" w14:textId="77777777" w:rsidR="00EC2801" w:rsidRPr="00EC2801" w:rsidRDefault="00EC2801" w:rsidP="00EC2801">
            <w:pPr>
              <w:pStyle w:val="Tablas"/>
              <w:rPr>
                <w:sz w:val="18"/>
                <w:szCs w:val="18"/>
              </w:rPr>
            </w:pPr>
            <w:r w:rsidRPr="00EC2801">
              <w:rPr>
                <w:sz w:val="18"/>
                <w:szCs w:val="18"/>
              </w:rPr>
              <w:t>0.00212</w:t>
            </w:r>
          </w:p>
        </w:tc>
        <w:tc>
          <w:tcPr>
            <w:tcW w:w="574" w:type="pct"/>
            <w:tcBorders>
              <w:top w:val="nil"/>
              <w:left w:val="nil"/>
              <w:bottom w:val="single" w:sz="4" w:space="0" w:color="auto"/>
              <w:right w:val="single" w:sz="4" w:space="0" w:color="auto"/>
            </w:tcBorders>
            <w:shd w:val="clear" w:color="auto" w:fill="auto"/>
            <w:noWrap/>
            <w:vAlign w:val="bottom"/>
            <w:hideMark/>
          </w:tcPr>
          <w:p w14:paraId="2C734084" w14:textId="77777777" w:rsidR="00EC2801" w:rsidRPr="00EC2801" w:rsidRDefault="00EC2801" w:rsidP="00EC2801">
            <w:pPr>
              <w:pStyle w:val="Tablas"/>
              <w:rPr>
                <w:sz w:val="18"/>
                <w:szCs w:val="18"/>
              </w:rPr>
            </w:pPr>
            <w:r w:rsidRPr="00EC2801">
              <w:rPr>
                <w:sz w:val="18"/>
                <w:szCs w:val="18"/>
              </w:rPr>
              <w:t>0.00027</w:t>
            </w:r>
          </w:p>
        </w:tc>
        <w:tc>
          <w:tcPr>
            <w:tcW w:w="654" w:type="pct"/>
            <w:tcBorders>
              <w:top w:val="nil"/>
              <w:left w:val="nil"/>
              <w:bottom w:val="single" w:sz="4" w:space="0" w:color="auto"/>
              <w:right w:val="single" w:sz="8" w:space="0" w:color="auto"/>
            </w:tcBorders>
            <w:shd w:val="clear" w:color="auto" w:fill="auto"/>
            <w:noWrap/>
            <w:vAlign w:val="bottom"/>
            <w:hideMark/>
          </w:tcPr>
          <w:p w14:paraId="5C7ED37B" w14:textId="77777777" w:rsidR="00EC2801" w:rsidRPr="00EC2801" w:rsidRDefault="00EC2801" w:rsidP="00EC2801">
            <w:pPr>
              <w:pStyle w:val="Tablas"/>
              <w:rPr>
                <w:sz w:val="18"/>
                <w:szCs w:val="18"/>
              </w:rPr>
            </w:pPr>
            <w:r w:rsidRPr="00EC2801">
              <w:rPr>
                <w:sz w:val="18"/>
                <w:szCs w:val="18"/>
              </w:rPr>
              <w:t>0.01276</w:t>
            </w:r>
          </w:p>
        </w:tc>
        <w:tc>
          <w:tcPr>
            <w:tcW w:w="717" w:type="pct"/>
            <w:tcBorders>
              <w:top w:val="nil"/>
              <w:left w:val="nil"/>
              <w:bottom w:val="single" w:sz="4" w:space="0" w:color="auto"/>
              <w:right w:val="single" w:sz="4" w:space="0" w:color="auto"/>
            </w:tcBorders>
            <w:shd w:val="clear" w:color="auto" w:fill="auto"/>
            <w:noWrap/>
            <w:vAlign w:val="bottom"/>
            <w:hideMark/>
          </w:tcPr>
          <w:p w14:paraId="0883F31F" w14:textId="77777777" w:rsidR="00EC2801" w:rsidRPr="00EC2801" w:rsidRDefault="00EC2801" w:rsidP="00EC2801">
            <w:pPr>
              <w:pStyle w:val="Tablas"/>
              <w:rPr>
                <w:sz w:val="18"/>
                <w:szCs w:val="18"/>
              </w:rPr>
            </w:pPr>
            <w:r w:rsidRPr="00EC2801">
              <w:rPr>
                <w:sz w:val="18"/>
                <w:szCs w:val="18"/>
              </w:rPr>
              <w:t>0.00102</w:t>
            </w:r>
          </w:p>
        </w:tc>
        <w:tc>
          <w:tcPr>
            <w:tcW w:w="574" w:type="pct"/>
            <w:tcBorders>
              <w:top w:val="nil"/>
              <w:left w:val="nil"/>
              <w:bottom w:val="single" w:sz="4" w:space="0" w:color="auto"/>
              <w:right w:val="single" w:sz="4" w:space="0" w:color="auto"/>
            </w:tcBorders>
            <w:shd w:val="clear" w:color="auto" w:fill="auto"/>
            <w:noWrap/>
            <w:vAlign w:val="bottom"/>
            <w:hideMark/>
          </w:tcPr>
          <w:p w14:paraId="4912B325" w14:textId="77777777" w:rsidR="00EC2801" w:rsidRPr="00EC2801" w:rsidRDefault="00EC2801" w:rsidP="00EC2801">
            <w:pPr>
              <w:pStyle w:val="Tablas"/>
              <w:rPr>
                <w:sz w:val="18"/>
                <w:szCs w:val="18"/>
              </w:rPr>
            </w:pPr>
            <w:r w:rsidRPr="00EC2801">
              <w:rPr>
                <w:sz w:val="18"/>
                <w:szCs w:val="18"/>
              </w:rPr>
              <w:t>0.00048</w:t>
            </w:r>
          </w:p>
        </w:tc>
        <w:tc>
          <w:tcPr>
            <w:tcW w:w="654" w:type="pct"/>
            <w:tcBorders>
              <w:top w:val="nil"/>
              <w:left w:val="nil"/>
              <w:bottom w:val="single" w:sz="4" w:space="0" w:color="auto"/>
              <w:right w:val="single" w:sz="8" w:space="0" w:color="auto"/>
            </w:tcBorders>
            <w:shd w:val="clear" w:color="auto" w:fill="auto"/>
            <w:noWrap/>
            <w:vAlign w:val="bottom"/>
            <w:hideMark/>
          </w:tcPr>
          <w:p w14:paraId="6D6F65D6" w14:textId="77777777" w:rsidR="00EC2801" w:rsidRPr="00EC2801" w:rsidRDefault="00EC2801" w:rsidP="00EC2801">
            <w:pPr>
              <w:pStyle w:val="Tablas"/>
              <w:rPr>
                <w:sz w:val="18"/>
                <w:szCs w:val="18"/>
              </w:rPr>
            </w:pPr>
            <w:r w:rsidRPr="00EC2801">
              <w:rPr>
                <w:sz w:val="18"/>
                <w:szCs w:val="18"/>
              </w:rPr>
              <w:t>0.00717</w:t>
            </w:r>
          </w:p>
        </w:tc>
      </w:tr>
      <w:tr w:rsidR="00EC2801" w:rsidRPr="00EC2801" w14:paraId="1A9F25D8"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B5226CF" w14:textId="77777777" w:rsidR="00EC2801" w:rsidRPr="00EC2801" w:rsidRDefault="00EC2801" w:rsidP="00EC2801">
            <w:pPr>
              <w:pStyle w:val="Tablas"/>
              <w:rPr>
                <w:sz w:val="18"/>
                <w:szCs w:val="18"/>
              </w:rPr>
            </w:pPr>
            <w:r w:rsidRPr="00EC2801">
              <w:rPr>
                <w:sz w:val="18"/>
                <w:szCs w:val="18"/>
              </w:rPr>
              <w:t>45</w:t>
            </w:r>
          </w:p>
        </w:tc>
        <w:tc>
          <w:tcPr>
            <w:tcW w:w="722" w:type="pct"/>
            <w:tcBorders>
              <w:top w:val="nil"/>
              <w:left w:val="single" w:sz="8" w:space="0" w:color="auto"/>
              <w:bottom w:val="single" w:sz="4" w:space="0" w:color="auto"/>
              <w:right w:val="nil"/>
            </w:tcBorders>
            <w:shd w:val="clear" w:color="auto" w:fill="auto"/>
            <w:noWrap/>
            <w:vAlign w:val="bottom"/>
            <w:hideMark/>
          </w:tcPr>
          <w:p w14:paraId="09A7A792" w14:textId="77777777" w:rsidR="00EC2801" w:rsidRPr="00EC2801" w:rsidRDefault="00EC2801" w:rsidP="00EC2801">
            <w:pPr>
              <w:pStyle w:val="Tablas"/>
              <w:rPr>
                <w:sz w:val="18"/>
                <w:szCs w:val="18"/>
              </w:rPr>
            </w:pPr>
            <w:r w:rsidRPr="00EC2801">
              <w:rPr>
                <w:sz w:val="18"/>
                <w:szCs w:val="18"/>
              </w:rPr>
              <w:t>0.6283</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FD453BE" w14:textId="77777777" w:rsidR="00EC2801" w:rsidRPr="00EC2801" w:rsidRDefault="00EC2801" w:rsidP="00EC2801">
            <w:pPr>
              <w:pStyle w:val="Tablas"/>
              <w:rPr>
                <w:sz w:val="18"/>
                <w:szCs w:val="18"/>
              </w:rPr>
            </w:pPr>
            <w:r w:rsidRPr="00EC2801">
              <w:rPr>
                <w:sz w:val="18"/>
                <w:szCs w:val="18"/>
              </w:rPr>
              <w:t>0.00227</w:t>
            </w:r>
          </w:p>
        </w:tc>
        <w:tc>
          <w:tcPr>
            <w:tcW w:w="574" w:type="pct"/>
            <w:tcBorders>
              <w:top w:val="nil"/>
              <w:left w:val="nil"/>
              <w:bottom w:val="single" w:sz="4" w:space="0" w:color="auto"/>
              <w:right w:val="single" w:sz="4" w:space="0" w:color="auto"/>
            </w:tcBorders>
            <w:shd w:val="clear" w:color="auto" w:fill="auto"/>
            <w:noWrap/>
            <w:vAlign w:val="bottom"/>
            <w:hideMark/>
          </w:tcPr>
          <w:p w14:paraId="0F9D99B6" w14:textId="77777777" w:rsidR="00EC2801" w:rsidRPr="00EC2801" w:rsidRDefault="00EC2801" w:rsidP="00EC2801">
            <w:pPr>
              <w:pStyle w:val="Tablas"/>
              <w:rPr>
                <w:sz w:val="18"/>
                <w:szCs w:val="18"/>
              </w:rPr>
            </w:pPr>
            <w:r w:rsidRPr="00EC2801">
              <w:rPr>
                <w:sz w:val="18"/>
                <w:szCs w:val="18"/>
              </w:rPr>
              <w:t>0.00032</w:t>
            </w:r>
          </w:p>
        </w:tc>
        <w:tc>
          <w:tcPr>
            <w:tcW w:w="654" w:type="pct"/>
            <w:tcBorders>
              <w:top w:val="nil"/>
              <w:left w:val="nil"/>
              <w:bottom w:val="single" w:sz="4" w:space="0" w:color="auto"/>
              <w:right w:val="single" w:sz="8" w:space="0" w:color="auto"/>
            </w:tcBorders>
            <w:shd w:val="clear" w:color="auto" w:fill="auto"/>
            <w:noWrap/>
            <w:vAlign w:val="bottom"/>
            <w:hideMark/>
          </w:tcPr>
          <w:p w14:paraId="2C1E8DFF" w14:textId="77777777" w:rsidR="00EC2801" w:rsidRPr="00EC2801" w:rsidRDefault="00EC2801" w:rsidP="00EC2801">
            <w:pPr>
              <w:pStyle w:val="Tablas"/>
              <w:rPr>
                <w:sz w:val="18"/>
                <w:szCs w:val="18"/>
              </w:rPr>
            </w:pPr>
            <w:r w:rsidRPr="00EC2801">
              <w:rPr>
                <w:sz w:val="18"/>
                <w:szCs w:val="18"/>
              </w:rPr>
              <w:t>0.01337</w:t>
            </w:r>
          </w:p>
        </w:tc>
        <w:tc>
          <w:tcPr>
            <w:tcW w:w="717" w:type="pct"/>
            <w:tcBorders>
              <w:top w:val="nil"/>
              <w:left w:val="nil"/>
              <w:bottom w:val="single" w:sz="4" w:space="0" w:color="auto"/>
              <w:right w:val="single" w:sz="4" w:space="0" w:color="auto"/>
            </w:tcBorders>
            <w:shd w:val="clear" w:color="auto" w:fill="auto"/>
            <w:noWrap/>
            <w:vAlign w:val="bottom"/>
            <w:hideMark/>
          </w:tcPr>
          <w:p w14:paraId="2B3A2FED" w14:textId="77777777" w:rsidR="00EC2801" w:rsidRPr="00EC2801" w:rsidRDefault="00EC2801" w:rsidP="00EC2801">
            <w:pPr>
              <w:pStyle w:val="Tablas"/>
              <w:rPr>
                <w:sz w:val="18"/>
                <w:szCs w:val="18"/>
              </w:rPr>
            </w:pPr>
            <w:r w:rsidRPr="00EC2801">
              <w:rPr>
                <w:sz w:val="18"/>
                <w:szCs w:val="18"/>
              </w:rPr>
              <w:t>0.00109</w:t>
            </w:r>
          </w:p>
        </w:tc>
        <w:tc>
          <w:tcPr>
            <w:tcW w:w="574" w:type="pct"/>
            <w:tcBorders>
              <w:top w:val="nil"/>
              <w:left w:val="nil"/>
              <w:bottom w:val="single" w:sz="4" w:space="0" w:color="auto"/>
              <w:right w:val="single" w:sz="4" w:space="0" w:color="auto"/>
            </w:tcBorders>
            <w:shd w:val="clear" w:color="auto" w:fill="auto"/>
            <w:noWrap/>
            <w:vAlign w:val="bottom"/>
            <w:hideMark/>
          </w:tcPr>
          <w:p w14:paraId="724D6B17" w14:textId="77777777" w:rsidR="00EC2801" w:rsidRPr="00EC2801" w:rsidRDefault="00EC2801" w:rsidP="00EC2801">
            <w:pPr>
              <w:pStyle w:val="Tablas"/>
              <w:rPr>
                <w:sz w:val="18"/>
                <w:szCs w:val="18"/>
              </w:rPr>
            </w:pPr>
            <w:r w:rsidRPr="00EC2801">
              <w:rPr>
                <w:sz w:val="18"/>
                <w:szCs w:val="18"/>
              </w:rPr>
              <w:t>0.00055</w:t>
            </w:r>
          </w:p>
        </w:tc>
        <w:tc>
          <w:tcPr>
            <w:tcW w:w="654" w:type="pct"/>
            <w:tcBorders>
              <w:top w:val="nil"/>
              <w:left w:val="nil"/>
              <w:bottom w:val="single" w:sz="4" w:space="0" w:color="auto"/>
              <w:right w:val="single" w:sz="8" w:space="0" w:color="auto"/>
            </w:tcBorders>
            <w:shd w:val="clear" w:color="auto" w:fill="auto"/>
            <w:noWrap/>
            <w:vAlign w:val="bottom"/>
            <w:hideMark/>
          </w:tcPr>
          <w:p w14:paraId="1F1242F3" w14:textId="77777777" w:rsidR="00EC2801" w:rsidRPr="00EC2801" w:rsidRDefault="00EC2801" w:rsidP="00EC2801">
            <w:pPr>
              <w:pStyle w:val="Tablas"/>
              <w:rPr>
                <w:sz w:val="18"/>
                <w:szCs w:val="18"/>
              </w:rPr>
            </w:pPr>
            <w:r w:rsidRPr="00EC2801">
              <w:rPr>
                <w:sz w:val="18"/>
                <w:szCs w:val="18"/>
              </w:rPr>
              <w:t>0.00758</w:t>
            </w:r>
          </w:p>
        </w:tc>
      </w:tr>
      <w:tr w:rsidR="00EC2801" w:rsidRPr="00EC2801" w14:paraId="485CAF4B"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67B8078" w14:textId="77777777" w:rsidR="00EC2801" w:rsidRPr="00EC2801" w:rsidRDefault="00EC2801" w:rsidP="00EC2801">
            <w:pPr>
              <w:pStyle w:val="Tablas"/>
              <w:rPr>
                <w:sz w:val="18"/>
                <w:szCs w:val="18"/>
              </w:rPr>
            </w:pPr>
            <w:r w:rsidRPr="00EC2801">
              <w:rPr>
                <w:sz w:val="18"/>
                <w:szCs w:val="18"/>
              </w:rPr>
              <w:t>46</w:t>
            </w:r>
          </w:p>
        </w:tc>
        <w:tc>
          <w:tcPr>
            <w:tcW w:w="722" w:type="pct"/>
            <w:tcBorders>
              <w:top w:val="nil"/>
              <w:left w:val="single" w:sz="8" w:space="0" w:color="auto"/>
              <w:bottom w:val="single" w:sz="4" w:space="0" w:color="auto"/>
              <w:right w:val="nil"/>
            </w:tcBorders>
            <w:shd w:val="clear" w:color="auto" w:fill="auto"/>
            <w:noWrap/>
            <w:vAlign w:val="bottom"/>
            <w:hideMark/>
          </w:tcPr>
          <w:p w14:paraId="2AFC73DB" w14:textId="77777777" w:rsidR="00EC2801" w:rsidRPr="00EC2801" w:rsidRDefault="00EC2801" w:rsidP="00EC2801">
            <w:pPr>
              <w:pStyle w:val="Tablas"/>
              <w:rPr>
                <w:sz w:val="18"/>
                <w:szCs w:val="18"/>
              </w:rPr>
            </w:pPr>
            <w:r w:rsidRPr="00EC2801">
              <w:rPr>
                <w:sz w:val="18"/>
                <w:szCs w:val="18"/>
              </w:rPr>
              <w:t>0.6354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1F5607E" w14:textId="77777777" w:rsidR="00EC2801" w:rsidRPr="00EC2801" w:rsidRDefault="00EC2801" w:rsidP="00EC2801">
            <w:pPr>
              <w:pStyle w:val="Tablas"/>
              <w:rPr>
                <w:sz w:val="18"/>
                <w:szCs w:val="18"/>
              </w:rPr>
            </w:pPr>
            <w:r w:rsidRPr="00EC2801">
              <w:rPr>
                <w:sz w:val="18"/>
                <w:szCs w:val="18"/>
              </w:rPr>
              <w:t>0.00243</w:t>
            </w:r>
          </w:p>
        </w:tc>
        <w:tc>
          <w:tcPr>
            <w:tcW w:w="574" w:type="pct"/>
            <w:tcBorders>
              <w:top w:val="nil"/>
              <w:left w:val="nil"/>
              <w:bottom w:val="single" w:sz="4" w:space="0" w:color="auto"/>
              <w:right w:val="single" w:sz="4" w:space="0" w:color="auto"/>
            </w:tcBorders>
            <w:shd w:val="clear" w:color="auto" w:fill="auto"/>
            <w:noWrap/>
            <w:vAlign w:val="bottom"/>
            <w:hideMark/>
          </w:tcPr>
          <w:p w14:paraId="2D8383A3" w14:textId="77777777" w:rsidR="00EC2801" w:rsidRPr="00EC2801" w:rsidRDefault="00EC2801" w:rsidP="00EC2801">
            <w:pPr>
              <w:pStyle w:val="Tablas"/>
              <w:rPr>
                <w:sz w:val="18"/>
                <w:szCs w:val="18"/>
              </w:rPr>
            </w:pPr>
            <w:r w:rsidRPr="00EC2801">
              <w:rPr>
                <w:sz w:val="18"/>
                <w:szCs w:val="18"/>
              </w:rPr>
              <w:t>0.00038</w:t>
            </w:r>
          </w:p>
        </w:tc>
        <w:tc>
          <w:tcPr>
            <w:tcW w:w="654" w:type="pct"/>
            <w:tcBorders>
              <w:top w:val="nil"/>
              <w:left w:val="nil"/>
              <w:bottom w:val="single" w:sz="4" w:space="0" w:color="auto"/>
              <w:right w:val="single" w:sz="8" w:space="0" w:color="auto"/>
            </w:tcBorders>
            <w:shd w:val="clear" w:color="auto" w:fill="auto"/>
            <w:noWrap/>
            <w:vAlign w:val="bottom"/>
            <w:hideMark/>
          </w:tcPr>
          <w:p w14:paraId="295DD118" w14:textId="77777777" w:rsidR="00EC2801" w:rsidRPr="00EC2801" w:rsidRDefault="00EC2801" w:rsidP="00EC2801">
            <w:pPr>
              <w:pStyle w:val="Tablas"/>
              <w:rPr>
                <w:sz w:val="18"/>
                <w:szCs w:val="18"/>
              </w:rPr>
            </w:pPr>
            <w:r w:rsidRPr="00EC2801">
              <w:rPr>
                <w:sz w:val="18"/>
                <w:szCs w:val="18"/>
              </w:rPr>
              <w:t>0.01401</w:t>
            </w:r>
          </w:p>
        </w:tc>
        <w:tc>
          <w:tcPr>
            <w:tcW w:w="717" w:type="pct"/>
            <w:tcBorders>
              <w:top w:val="nil"/>
              <w:left w:val="nil"/>
              <w:bottom w:val="single" w:sz="4" w:space="0" w:color="auto"/>
              <w:right w:val="single" w:sz="4" w:space="0" w:color="auto"/>
            </w:tcBorders>
            <w:shd w:val="clear" w:color="auto" w:fill="auto"/>
            <w:noWrap/>
            <w:vAlign w:val="bottom"/>
            <w:hideMark/>
          </w:tcPr>
          <w:p w14:paraId="0F2B4722" w14:textId="77777777" w:rsidR="00EC2801" w:rsidRPr="00EC2801" w:rsidRDefault="00EC2801" w:rsidP="00EC2801">
            <w:pPr>
              <w:pStyle w:val="Tablas"/>
              <w:rPr>
                <w:sz w:val="18"/>
                <w:szCs w:val="18"/>
              </w:rPr>
            </w:pPr>
            <w:r w:rsidRPr="00EC2801">
              <w:rPr>
                <w:sz w:val="18"/>
                <w:szCs w:val="18"/>
              </w:rPr>
              <w:t>0.00117</w:t>
            </w:r>
          </w:p>
        </w:tc>
        <w:tc>
          <w:tcPr>
            <w:tcW w:w="574" w:type="pct"/>
            <w:tcBorders>
              <w:top w:val="nil"/>
              <w:left w:val="nil"/>
              <w:bottom w:val="single" w:sz="4" w:space="0" w:color="auto"/>
              <w:right w:val="single" w:sz="4" w:space="0" w:color="auto"/>
            </w:tcBorders>
            <w:shd w:val="clear" w:color="auto" w:fill="auto"/>
            <w:noWrap/>
            <w:vAlign w:val="bottom"/>
            <w:hideMark/>
          </w:tcPr>
          <w:p w14:paraId="0A54ACC9" w14:textId="77777777" w:rsidR="00EC2801" w:rsidRPr="00EC2801" w:rsidRDefault="00EC2801" w:rsidP="00EC2801">
            <w:pPr>
              <w:pStyle w:val="Tablas"/>
              <w:rPr>
                <w:sz w:val="18"/>
                <w:szCs w:val="18"/>
              </w:rPr>
            </w:pPr>
            <w:r w:rsidRPr="00EC2801">
              <w:rPr>
                <w:sz w:val="18"/>
                <w:szCs w:val="18"/>
              </w:rPr>
              <w:t>0.00062</w:t>
            </w:r>
          </w:p>
        </w:tc>
        <w:tc>
          <w:tcPr>
            <w:tcW w:w="654" w:type="pct"/>
            <w:tcBorders>
              <w:top w:val="nil"/>
              <w:left w:val="nil"/>
              <w:bottom w:val="single" w:sz="4" w:space="0" w:color="auto"/>
              <w:right w:val="single" w:sz="8" w:space="0" w:color="auto"/>
            </w:tcBorders>
            <w:shd w:val="clear" w:color="auto" w:fill="auto"/>
            <w:noWrap/>
            <w:vAlign w:val="bottom"/>
            <w:hideMark/>
          </w:tcPr>
          <w:p w14:paraId="6D754ECB" w14:textId="77777777" w:rsidR="00EC2801" w:rsidRPr="00EC2801" w:rsidRDefault="00EC2801" w:rsidP="00EC2801">
            <w:pPr>
              <w:pStyle w:val="Tablas"/>
              <w:rPr>
                <w:sz w:val="18"/>
                <w:szCs w:val="18"/>
              </w:rPr>
            </w:pPr>
            <w:r w:rsidRPr="00EC2801">
              <w:rPr>
                <w:sz w:val="18"/>
                <w:szCs w:val="18"/>
              </w:rPr>
              <w:t>0.00801</w:t>
            </w:r>
          </w:p>
        </w:tc>
      </w:tr>
      <w:tr w:rsidR="00EC2801" w:rsidRPr="00EC2801" w14:paraId="4D32398C"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6BD994E" w14:textId="77777777" w:rsidR="00EC2801" w:rsidRPr="00EC2801" w:rsidRDefault="00EC2801" w:rsidP="00EC2801">
            <w:pPr>
              <w:pStyle w:val="Tablas"/>
              <w:rPr>
                <w:sz w:val="18"/>
                <w:szCs w:val="18"/>
              </w:rPr>
            </w:pPr>
            <w:r w:rsidRPr="00EC2801">
              <w:rPr>
                <w:sz w:val="18"/>
                <w:szCs w:val="18"/>
              </w:rPr>
              <w:t>47</w:t>
            </w:r>
          </w:p>
        </w:tc>
        <w:tc>
          <w:tcPr>
            <w:tcW w:w="722" w:type="pct"/>
            <w:tcBorders>
              <w:top w:val="nil"/>
              <w:left w:val="single" w:sz="8" w:space="0" w:color="auto"/>
              <w:bottom w:val="single" w:sz="4" w:space="0" w:color="auto"/>
              <w:right w:val="nil"/>
            </w:tcBorders>
            <w:shd w:val="clear" w:color="auto" w:fill="auto"/>
            <w:noWrap/>
            <w:vAlign w:val="bottom"/>
            <w:hideMark/>
          </w:tcPr>
          <w:p w14:paraId="52AEFCA2" w14:textId="77777777" w:rsidR="00EC2801" w:rsidRPr="00EC2801" w:rsidRDefault="00EC2801" w:rsidP="00EC2801">
            <w:pPr>
              <w:pStyle w:val="Tablas"/>
              <w:rPr>
                <w:sz w:val="18"/>
                <w:szCs w:val="18"/>
              </w:rPr>
            </w:pPr>
            <w:r w:rsidRPr="00EC2801">
              <w:rPr>
                <w:sz w:val="18"/>
                <w:szCs w:val="18"/>
              </w:rPr>
              <w:t>0.6415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E1EAEA4" w14:textId="77777777" w:rsidR="00EC2801" w:rsidRPr="00EC2801" w:rsidRDefault="00EC2801" w:rsidP="00EC2801">
            <w:pPr>
              <w:pStyle w:val="Tablas"/>
              <w:rPr>
                <w:sz w:val="18"/>
                <w:szCs w:val="18"/>
              </w:rPr>
            </w:pPr>
            <w:r w:rsidRPr="00EC2801">
              <w:rPr>
                <w:sz w:val="18"/>
                <w:szCs w:val="18"/>
              </w:rPr>
              <w:t>0.00260</w:t>
            </w:r>
          </w:p>
        </w:tc>
        <w:tc>
          <w:tcPr>
            <w:tcW w:w="574" w:type="pct"/>
            <w:tcBorders>
              <w:top w:val="nil"/>
              <w:left w:val="nil"/>
              <w:bottom w:val="single" w:sz="4" w:space="0" w:color="auto"/>
              <w:right w:val="single" w:sz="4" w:space="0" w:color="auto"/>
            </w:tcBorders>
            <w:shd w:val="clear" w:color="auto" w:fill="auto"/>
            <w:noWrap/>
            <w:vAlign w:val="bottom"/>
            <w:hideMark/>
          </w:tcPr>
          <w:p w14:paraId="1A1E909D" w14:textId="77777777" w:rsidR="00EC2801" w:rsidRPr="00EC2801" w:rsidRDefault="00EC2801" w:rsidP="00EC2801">
            <w:pPr>
              <w:pStyle w:val="Tablas"/>
              <w:rPr>
                <w:sz w:val="18"/>
                <w:szCs w:val="18"/>
              </w:rPr>
            </w:pPr>
            <w:r w:rsidRPr="00EC2801">
              <w:rPr>
                <w:sz w:val="18"/>
                <w:szCs w:val="18"/>
              </w:rPr>
              <w:t>0.00046</w:t>
            </w:r>
          </w:p>
        </w:tc>
        <w:tc>
          <w:tcPr>
            <w:tcW w:w="654" w:type="pct"/>
            <w:tcBorders>
              <w:top w:val="nil"/>
              <w:left w:val="nil"/>
              <w:bottom w:val="single" w:sz="4" w:space="0" w:color="auto"/>
              <w:right w:val="single" w:sz="8" w:space="0" w:color="auto"/>
            </w:tcBorders>
            <w:shd w:val="clear" w:color="auto" w:fill="auto"/>
            <w:noWrap/>
            <w:vAlign w:val="bottom"/>
            <w:hideMark/>
          </w:tcPr>
          <w:p w14:paraId="219E9202" w14:textId="77777777" w:rsidR="00EC2801" w:rsidRPr="00EC2801" w:rsidRDefault="00EC2801" w:rsidP="00EC2801">
            <w:pPr>
              <w:pStyle w:val="Tablas"/>
              <w:rPr>
                <w:sz w:val="18"/>
                <w:szCs w:val="18"/>
              </w:rPr>
            </w:pPr>
            <w:r w:rsidRPr="00EC2801">
              <w:rPr>
                <w:sz w:val="18"/>
                <w:szCs w:val="18"/>
              </w:rPr>
              <w:t>0.01469</w:t>
            </w:r>
          </w:p>
        </w:tc>
        <w:tc>
          <w:tcPr>
            <w:tcW w:w="717" w:type="pct"/>
            <w:tcBorders>
              <w:top w:val="nil"/>
              <w:left w:val="nil"/>
              <w:bottom w:val="single" w:sz="4" w:space="0" w:color="auto"/>
              <w:right w:val="single" w:sz="4" w:space="0" w:color="auto"/>
            </w:tcBorders>
            <w:shd w:val="clear" w:color="auto" w:fill="auto"/>
            <w:noWrap/>
            <w:vAlign w:val="bottom"/>
            <w:hideMark/>
          </w:tcPr>
          <w:p w14:paraId="5B540854" w14:textId="77777777" w:rsidR="00EC2801" w:rsidRPr="00EC2801" w:rsidRDefault="00EC2801" w:rsidP="00EC2801">
            <w:pPr>
              <w:pStyle w:val="Tablas"/>
              <w:rPr>
                <w:sz w:val="18"/>
                <w:szCs w:val="18"/>
              </w:rPr>
            </w:pPr>
            <w:r w:rsidRPr="00EC2801">
              <w:rPr>
                <w:sz w:val="18"/>
                <w:szCs w:val="18"/>
              </w:rPr>
              <w:t>0.00126</w:t>
            </w:r>
          </w:p>
        </w:tc>
        <w:tc>
          <w:tcPr>
            <w:tcW w:w="574" w:type="pct"/>
            <w:tcBorders>
              <w:top w:val="nil"/>
              <w:left w:val="nil"/>
              <w:bottom w:val="single" w:sz="4" w:space="0" w:color="auto"/>
              <w:right w:val="single" w:sz="4" w:space="0" w:color="auto"/>
            </w:tcBorders>
            <w:shd w:val="clear" w:color="auto" w:fill="auto"/>
            <w:noWrap/>
            <w:vAlign w:val="bottom"/>
            <w:hideMark/>
          </w:tcPr>
          <w:p w14:paraId="41D061CC" w14:textId="77777777" w:rsidR="00EC2801" w:rsidRPr="00EC2801" w:rsidRDefault="00EC2801" w:rsidP="00EC2801">
            <w:pPr>
              <w:pStyle w:val="Tablas"/>
              <w:rPr>
                <w:sz w:val="18"/>
                <w:szCs w:val="18"/>
              </w:rPr>
            </w:pPr>
            <w:r w:rsidRPr="00EC2801">
              <w:rPr>
                <w:sz w:val="18"/>
                <w:szCs w:val="18"/>
              </w:rPr>
              <w:t>0.00070</w:t>
            </w:r>
          </w:p>
        </w:tc>
        <w:tc>
          <w:tcPr>
            <w:tcW w:w="654" w:type="pct"/>
            <w:tcBorders>
              <w:top w:val="nil"/>
              <w:left w:val="nil"/>
              <w:bottom w:val="single" w:sz="4" w:space="0" w:color="auto"/>
              <w:right w:val="single" w:sz="8" w:space="0" w:color="auto"/>
            </w:tcBorders>
            <w:shd w:val="clear" w:color="auto" w:fill="auto"/>
            <w:noWrap/>
            <w:vAlign w:val="bottom"/>
            <w:hideMark/>
          </w:tcPr>
          <w:p w14:paraId="72449C6F" w14:textId="77777777" w:rsidR="00EC2801" w:rsidRPr="00EC2801" w:rsidRDefault="00EC2801" w:rsidP="00EC2801">
            <w:pPr>
              <w:pStyle w:val="Tablas"/>
              <w:rPr>
                <w:sz w:val="18"/>
                <w:szCs w:val="18"/>
              </w:rPr>
            </w:pPr>
            <w:r w:rsidRPr="00EC2801">
              <w:rPr>
                <w:sz w:val="18"/>
                <w:szCs w:val="18"/>
              </w:rPr>
              <w:t>0.00847</w:t>
            </w:r>
          </w:p>
        </w:tc>
      </w:tr>
      <w:tr w:rsidR="00EC2801" w:rsidRPr="00EC2801" w14:paraId="72511546"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AD68701" w14:textId="77777777" w:rsidR="00EC2801" w:rsidRPr="00EC2801" w:rsidRDefault="00EC2801" w:rsidP="00EC2801">
            <w:pPr>
              <w:pStyle w:val="Tablas"/>
              <w:rPr>
                <w:sz w:val="18"/>
                <w:szCs w:val="18"/>
              </w:rPr>
            </w:pPr>
            <w:r w:rsidRPr="00EC2801">
              <w:rPr>
                <w:sz w:val="18"/>
                <w:szCs w:val="18"/>
              </w:rPr>
              <w:t>48</w:t>
            </w:r>
          </w:p>
        </w:tc>
        <w:tc>
          <w:tcPr>
            <w:tcW w:w="722" w:type="pct"/>
            <w:tcBorders>
              <w:top w:val="nil"/>
              <w:left w:val="single" w:sz="8" w:space="0" w:color="auto"/>
              <w:bottom w:val="single" w:sz="4" w:space="0" w:color="auto"/>
              <w:right w:val="nil"/>
            </w:tcBorders>
            <w:shd w:val="clear" w:color="auto" w:fill="auto"/>
            <w:noWrap/>
            <w:vAlign w:val="bottom"/>
            <w:hideMark/>
          </w:tcPr>
          <w:p w14:paraId="3305EE5B" w14:textId="77777777" w:rsidR="00EC2801" w:rsidRPr="00EC2801" w:rsidRDefault="00EC2801" w:rsidP="00EC2801">
            <w:pPr>
              <w:pStyle w:val="Tablas"/>
              <w:rPr>
                <w:sz w:val="18"/>
                <w:szCs w:val="18"/>
              </w:rPr>
            </w:pPr>
            <w:r w:rsidRPr="00EC2801">
              <w:rPr>
                <w:sz w:val="18"/>
                <w:szCs w:val="18"/>
              </w:rPr>
              <w:t>0.6465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595ED5B" w14:textId="77777777" w:rsidR="00EC2801" w:rsidRPr="00EC2801" w:rsidRDefault="00EC2801" w:rsidP="00EC2801">
            <w:pPr>
              <w:pStyle w:val="Tablas"/>
              <w:rPr>
                <w:sz w:val="18"/>
                <w:szCs w:val="18"/>
              </w:rPr>
            </w:pPr>
            <w:r w:rsidRPr="00EC2801">
              <w:rPr>
                <w:sz w:val="18"/>
                <w:szCs w:val="18"/>
              </w:rPr>
              <w:t>0.00279</w:t>
            </w:r>
          </w:p>
        </w:tc>
        <w:tc>
          <w:tcPr>
            <w:tcW w:w="574" w:type="pct"/>
            <w:tcBorders>
              <w:top w:val="nil"/>
              <w:left w:val="nil"/>
              <w:bottom w:val="single" w:sz="4" w:space="0" w:color="auto"/>
              <w:right w:val="single" w:sz="4" w:space="0" w:color="auto"/>
            </w:tcBorders>
            <w:shd w:val="clear" w:color="auto" w:fill="auto"/>
            <w:noWrap/>
            <w:vAlign w:val="bottom"/>
            <w:hideMark/>
          </w:tcPr>
          <w:p w14:paraId="63BF7CCB" w14:textId="77777777" w:rsidR="00EC2801" w:rsidRPr="00EC2801" w:rsidRDefault="00EC2801" w:rsidP="00EC2801">
            <w:pPr>
              <w:pStyle w:val="Tablas"/>
              <w:rPr>
                <w:sz w:val="18"/>
                <w:szCs w:val="18"/>
              </w:rPr>
            </w:pPr>
            <w:r w:rsidRPr="00EC2801">
              <w:rPr>
                <w:sz w:val="18"/>
                <w:szCs w:val="18"/>
              </w:rPr>
              <w:t>0.00054</w:t>
            </w:r>
          </w:p>
        </w:tc>
        <w:tc>
          <w:tcPr>
            <w:tcW w:w="654" w:type="pct"/>
            <w:tcBorders>
              <w:top w:val="nil"/>
              <w:left w:val="nil"/>
              <w:bottom w:val="single" w:sz="4" w:space="0" w:color="auto"/>
              <w:right w:val="single" w:sz="8" w:space="0" w:color="auto"/>
            </w:tcBorders>
            <w:shd w:val="clear" w:color="auto" w:fill="auto"/>
            <w:noWrap/>
            <w:vAlign w:val="bottom"/>
            <w:hideMark/>
          </w:tcPr>
          <w:p w14:paraId="4423758D" w14:textId="77777777" w:rsidR="00EC2801" w:rsidRPr="00EC2801" w:rsidRDefault="00EC2801" w:rsidP="00EC2801">
            <w:pPr>
              <w:pStyle w:val="Tablas"/>
              <w:rPr>
                <w:sz w:val="18"/>
                <w:szCs w:val="18"/>
              </w:rPr>
            </w:pPr>
            <w:r w:rsidRPr="00EC2801">
              <w:rPr>
                <w:sz w:val="18"/>
                <w:szCs w:val="18"/>
              </w:rPr>
              <w:t>0.01539</w:t>
            </w:r>
          </w:p>
        </w:tc>
        <w:tc>
          <w:tcPr>
            <w:tcW w:w="717" w:type="pct"/>
            <w:tcBorders>
              <w:top w:val="nil"/>
              <w:left w:val="nil"/>
              <w:bottom w:val="single" w:sz="4" w:space="0" w:color="auto"/>
              <w:right w:val="single" w:sz="4" w:space="0" w:color="auto"/>
            </w:tcBorders>
            <w:shd w:val="clear" w:color="auto" w:fill="auto"/>
            <w:noWrap/>
            <w:vAlign w:val="bottom"/>
            <w:hideMark/>
          </w:tcPr>
          <w:p w14:paraId="1F617B17" w14:textId="77777777" w:rsidR="00EC2801" w:rsidRPr="00EC2801" w:rsidRDefault="00EC2801" w:rsidP="00EC2801">
            <w:pPr>
              <w:pStyle w:val="Tablas"/>
              <w:rPr>
                <w:sz w:val="18"/>
                <w:szCs w:val="18"/>
              </w:rPr>
            </w:pPr>
            <w:r w:rsidRPr="00EC2801">
              <w:rPr>
                <w:sz w:val="18"/>
                <w:szCs w:val="18"/>
              </w:rPr>
              <w:t>0.00135</w:t>
            </w:r>
          </w:p>
        </w:tc>
        <w:tc>
          <w:tcPr>
            <w:tcW w:w="574" w:type="pct"/>
            <w:tcBorders>
              <w:top w:val="nil"/>
              <w:left w:val="nil"/>
              <w:bottom w:val="single" w:sz="4" w:space="0" w:color="auto"/>
              <w:right w:val="single" w:sz="4" w:space="0" w:color="auto"/>
            </w:tcBorders>
            <w:shd w:val="clear" w:color="auto" w:fill="auto"/>
            <w:noWrap/>
            <w:vAlign w:val="bottom"/>
            <w:hideMark/>
          </w:tcPr>
          <w:p w14:paraId="79BBE52A" w14:textId="77777777" w:rsidR="00EC2801" w:rsidRPr="00EC2801" w:rsidRDefault="00EC2801" w:rsidP="00EC2801">
            <w:pPr>
              <w:pStyle w:val="Tablas"/>
              <w:rPr>
                <w:sz w:val="18"/>
                <w:szCs w:val="18"/>
              </w:rPr>
            </w:pPr>
            <w:r w:rsidRPr="00EC2801">
              <w:rPr>
                <w:sz w:val="18"/>
                <w:szCs w:val="18"/>
              </w:rPr>
              <w:t>0.00079</w:t>
            </w:r>
          </w:p>
        </w:tc>
        <w:tc>
          <w:tcPr>
            <w:tcW w:w="654" w:type="pct"/>
            <w:tcBorders>
              <w:top w:val="nil"/>
              <w:left w:val="nil"/>
              <w:bottom w:val="single" w:sz="4" w:space="0" w:color="auto"/>
              <w:right w:val="single" w:sz="8" w:space="0" w:color="auto"/>
            </w:tcBorders>
            <w:shd w:val="clear" w:color="auto" w:fill="auto"/>
            <w:noWrap/>
            <w:vAlign w:val="bottom"/>
            <w:hideMark/>
          </w:tcPr>
          <w:p w14:paraId="385364DC" w14:textId="77777777" w:rsidR="00EC2801" w:rsidRPr="00EC2801" w:rsidRDefault="00EC2801" w:rsidP="00EC2801">
            <w:pPr>
              <w:pStyle w:val="Tablas"/>
              <w:rPr>
                <w:sz w:val="18"/>
                <w:szCs w:val="18"/>
              </w:rPr>
            </w:pPr>
            <w:r w:rsidRPr="00EC2801">
              <w:rPr>
                <w:sz w:val="18"/>
                <w:szCs w:val="18"/>
              </w:rPr>
              <w:t>0.00895</w:t>
            </w:r>
          </w:p>
        </w:tc>
      </w:tr>
      <w:tr w:rsidR="00EC2801" w:rsidRPr="00EC2801" w14:paraId="50062E39"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BAA17F7" w14:textId="77777777" w:rsidR="00EC2801" w:rsidRPr="00EC2801" w:rsidRDefault="00EC2801" w:rsidP="00EC2801">
            <w:pPr>
              <w:pStyle w:val="Tablas"/>
              <w:rPr>
                <w:sz w:val="18"/>
                <w:szCs w:val="18"/>
              </w:rPr>
            </w:pPr>
            <w:r w:rsidRPr="00EC2801">
              <w:rPr>
                <w:sz w:val="18"/>
                <w:szCs w:val="18"/>
              </w:rPr>
              <w:t>49</w:t>
            </w:r>
          </w:p>
        </w:tc>
        <w:tc>
          <w:tcPr>
            <w:tcW w:w="722" w:type="pct"/>
            <w:tcBorders>
              <w:top w:val="nil"/>
              <w:left w:val="single" w:sz="8" w:space="0" w:color="auto"/>
              <w:bottom w:val="single" w:sz="4" w:space="0" w:color="auto"/>
              <w:right w:val="nil"/>
            </w:tcBorders>
            <w:shd w:val="clear" w:color="auto" w:fill="auto"/>
            <w:noWrap/>
            <w:vAlign w:val="bottom"/>
            <w:hideMark/>
          </w:tcPr>
          <w:p w14:paraId="37662A2F" w14:textId="77777777" w:rsidR="00EC2801" w:rsidRPr="00EC2801" w:rsidRDefault="00EC2801" w:rsidP="00EC2801">
            <w:pPr>
              <w:pStyle w:val="Tablas"/>
              <w:rPr>
                <w:sz w:val="18"/>
                <w:szCs w:val="18"/>
              </w:rPr>
            </w:pPr>
            <w:r w:rsidRPr="00EC2801">
              <w:rPr>
                <w:sz w:val="18"/>
                <w:szCs w:val="18"/>
              </w:rPr>
              <w:t>0.6505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656D238A" w14:textId="77777777" w:rsidR="00EC2801" w:rsidRPr="00EC2801" w:rsidRDefault="00EC2801" w:rsidP="00EC2801">
            <w:pPr>
              <w:pStyle w:val="Tablas"/>
              <w:rPr>
                <w:sz w:val="18"/>
                <w:szCs w:val="18"/>
              </w:rPr>
            </w:pPr>
            <w:r w:rsidRPr="00EC2801">
              <w:rPr>
                <w:sz w:val="18"/>
                <w:szCs w:val="18"/>
              </w:rPr>
              <w:t>0.00299</w:t>
            </w:r>
          </w:p>
        </w:tc>
        <w:tc>
          <w:tcPr>
            <w:tcW w:w="574" w:type="pct"/>
            <w:tcBorders>
              <w:top w:val="nil"/>
              <w:left w:val="nil"/>
              <w:bottom w:val="single" w:sz="4" w:space="0" w:color="auto"/>
              <w:right w:val="single" w:sz="4" w:space="0" w:color="auto"/>
            </w:tcBorders>
            <w:shd w:val="clear" w:color="auto" w:fill="auto"/>
            <w:noWrap/>
            <w:vAlign w:val="bottom"/>
            <w:hideMark/>
          </w:tcPr>
          <w:p w14:paraId="26F95680" w14:textId="77777777" w:rsidR="00EC2801" w:rsidRPr="00EC2801" w:rsidRDefault="00EC2801" w:rsidP="00EC2801">
            <w:pPr>
              <w:pStyle w:val="Tablas"/>
              <w:rPr>
                <w:sz w:val="18"/>
                <w:szCs w:val="18"/>
              </w:rPr>
            </w:pPr>
            <w:r w:rsidRPr="00EC2801">
              <w:rPr>
                <w:sz w:val="18"/>
                <w:szCs w:val="18"/>
              </w:rPr>
              <w:t>0.00063</w:t>
            </w:r>
          </w:p>
        </w:tc>
        <w:tc>
          <w:tcPr>
            <w:tcW w:w="654" w:type="pct"/>
            <w:tcBorders>
              <w:top w:val="nil"/>
              <w:left w:val="nil"/>
              <w:bottom w:val="single" w:sz="4" w:space="0" w:color="auto"/>
              <w:right w:val="single" w:sz="8" w:space="0" w:color="auto"/>
            </w:tcBorders>
            <w:shd w:val="clear" w:color="auto" w:fill="auto"/>
            <w:noWrap/>
            <w:vAlign w:val="bottom"/>
            <w:hideMark/>
          </w:tcPr>
          <w:p w14:paraId="46783F85" w14:textId="77777777" w:rsidR="00EC2801" w:rsidRPr="00EC2801" w:rsidRDefault="00EC2801" w:rsidP="00EC2801">
            <w:pPr>
              <w:pStyle w:val="Tablas"/>
              <w:rPr>
                <w:sz w:val="18"/>
                <w:szCs w:val="18"/>
              </w:rPr>
            </w:pPr>
            <w:r w:rsidRPr="00EC2801">
              <w:rPr>
                <w:sz w:val="18"/>
                <w:szCs w:val="18"/>
              </w:rPr>
              <w:t>0.01614</w:t>
            </w:r>
          </w:p>
        </w:tc>
        <w:tc>
          <w:tcPr>
            <w:tcW w:w="717" w:type="pct"/>
            <w:tcBorders>
              <w:top w:val="nil"/>
              <w:left w:val="nil"/>
              <w:bottom w:val="single" w:sz="4" w:space="0" w:color="auto"/>
              <w:right w:val="single" w:sz="4" w:space="0" w:color="auto"/>
            </w:tcBorders>
            <w:shd w:val="clear" w:color="auto" w:fill="auto"/>
            <w:noWrap/>
            <w:vAlign w:val="bottom"/>
            <w:hideMark/>
          </w:tcPr>
          <w:p w14:paraId="0E29B50D" w14:textId="77777777" w:rsidR="00EC2801" w:rsidRPr="00EC2801" w:rsidRDefault="00EC2801" w:rsidP="00EC2801">
            <w:pPr>
              <w:pStyle w:val="Tablas"/>
              <w:rPr>
                <w:sz w:val="18"/>
                <w:szCs w:val="18"/>
              </w:rPr>
            </w:pPr>
            <w:r w:rsidRPr="00EC2801">
              <w:rPr>
                <w:sz w:val="18"/>
                <w:szCs w:val="18"/>
              </w:rPr>
              <w:t>0.00145</w:t>
            </w:r>
          </w:p>
        </w:tc>
        <w:tc>
          <w:tcPr>
            <w:tcW w:w="574" w:type="pct"/>
            <w:tcBorders>
              <w:top w:val="nil"/>
              <w:left w:val="nil"/>
              <w:bottom w:val="single" w:sz="4" w:space="0" w:color="auto"/>
              <w:right w:val="single" w:sz="4" w:space="0" w:color="auto"/>
            </w:tcBorders>
            <w:shd w:val="clear" w:color="auto" w:fill="auto"/>
            <w:noWrap/>
            <w:vAlign w:val="bottom"/>
            <w:hideMark/>
          </w:tcPr>
          <w:p w14:paraId="71135E21" w14:textId="77777777" w:rsidR="00EC2801" w:rsidRPr="00EC2801" w:rsidRDefault="00EC2801" w:rsidP="00EC2801">
            <w:pPr>
              <w:pStyle w:val="Tablas"/>
              <w:rPr>
                <w:sz w:val="18"/>
                <w:szCs w:val="18"/>
              </w:rPr>
            </w:pPr>
            <w:r w:rsidRPr="00EC2801">
              <w:rPr>
                <w:sz w:val="18"/>
                <w:szCs w:val="18"/>
              </w:rPr>
              <w:t>0.00087</w:t>
            </w:r>
          </w:p>
        </w:tc>
        <w:tc>
          <w:tcPr>
            <w:tcW w:w="654" w:type="pct"/>
            <w:tcBorders>
              <w:top w:val="nil"/>
              <w:left w:val="nil"/>
              <w:bottom w:val="single" w:sz="4" w:space="0" w:color="auto"/>
              <w:right w:val="single" w:sz="8" w:space="0" w:color="auto"/>
            </w:tcBorders>
            <w:shd w:val="clear" w:color="auto" w:fill="auto"/>
            <w:noWrap/>
            <w:vAlign w:val="bottom"/>
            <w:hideMark/>
          </w:tcPr>
          <w:p w14:paraId="0F0F10DA" w14:textId="77777777" w:rsidR="00EC2801" w:rsidRPr="00EC2801" w:rsidRDefault="00EC2801" w:rsidP="00EC2801">
            <w:pPr>
              <w:pStyle w:val="Tablas"/>
              <w:rPr>
                <w:sz w:val="18"/>
                <w:szCs w:val="18"/>
              </w:rPr>
            </w:pPr>
            <w:r w:rsidRPr="00EC2801">
              <w:rPr>
                <w:sz w:val="18"/>
                <w:szCs w:val="18"/>
              </w:rPr>
              <w:t>0.00946</w:t>
            </w:r>
          </w:p>
        </w:tc>
      </w:tr>
      <w:tr w:rsidR="00EC2801" w:rsidRPr="00EC2801" w14:paraId="641C339F"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8280EEF" w14:textId="77777777" w:rsidR="00EC2801" w:rsidRPr="00EC2801" w:rsidRDefault="00EC2801" w:rsidP="00EC2801">
            <w:pPr>
              <w:pStyle w:val="Tablas"/>
              <w:rPr>
                <w:sz w:val="18"/>
                <w:szCs w:val="18"/>
              </w:rPr>
            </w:pPr>
            <w:r w:rsidRPr="00EC2801">
              <w:rPr>
                <w:sz w:val="18"/>
                <w:szCs w:val="18"/>
              </w:rPr>
              <w:t>50</w:t>
            </w:r>
          </w:p>
        </w:tc>
        <w:tc>
          <w:tcPr>
            <w:tcW w:w="722" w:type="pct"/>
            <w:tcBorders>
              <w:top w:val="nil"/>
              <w:left w:val="single" w:sz="8" w:space="0" w:color="auto"/>
              <w:bottom w:val="single" w:sz="4" w:space="0" w:color="auto"/>
              <w:right w:val="nil"/>
            </w:tcBorders>
            <w:shd w:val="clear" w:color="auto" w:fill="auto"/>
            <w:noWrap/>
            <w:vAlign w:val="bottom"/>
            <w:hideMark/>
          </w:tcPr>
          <w:p w14:paraId="53D1B293" w14:textId="77777777" w:rsidR="00EC2801" w:rsidRPr="00EC2801" w:rsidRDefault="00EC2801" w:rsidP="00EC2801">
            <w:pPr>
              <w:pStyle w:val="Tablas"/>
              <w:rPr>
                <w:sz w:val="18"/>
                <w:szCs w:val="18"/>
              </w:rPr>
            </w:pPr>
            <w:r w:rsidRPr="00EC2801">
              <w:rPr>
                <w:sz w:val="18"/>
                <w:szCs w:val="18"/>
              </w:rPr>
              <w:t>0.6533</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EBCA3BF" w14:textId="77777777" w:rsidR="00EC2801" w:rsidRPr="00EC2801" w:rsidRDefault="00EC2801" w:rsidP="00EC2801">
            <w:pPr>
              <w:pStyle w:val="Tablas"/>
              <w:rPr>
                <w:sz w:val="18"/>
                <w:szCs w:val="18"/>
              </w:rPr>
            </w:pPr>
            <w:r w:rsidRPr="00EC2801">
              <w:rPr>
                <w:sz w:val="18"/>
                <w:szCs w:val="18"/>
              </w:rPr>
              <w:t>0.00321</w:t>
            </w:r>
          </w:p>
        </w:tc>
        <w:tc>
          <w:tcPr>
            <w:tcW w:w="574" w:type="pct"/>
            <w:tcBorders>
              <w:top w:val="nil"/>
              <w:left w:val="nil"/>
              <w:bottom w:val="single" w:sz="4" w:space="0" w:color="auto"/>
              <w:right w:val="single" w:sz="4" w:space="0" w:color="auto"/>
            </w:tcBorders>
            <w:shd w:val="clear" w:color="auto" w:fill="auto"/>
            <w:noWrap/>
            <w:vAlign w:val="bottom"/>
            <w:hideMark/>
          </w:tcPr>
          <w:p w14:paraId="15E290E9" w14:textId="77777777" w:rsidR="00EC2801" w:rsidRPr="00EC2801" w:rsidRDefault="00EC2801" w:rsidP="00EC2801">
            <w:pPr>
              <w:pStyle w:val="Tablas"/>
              <w:rPr>
                <w:sz w:val="18"/>
                <w:szCs w:val="18"/>
              </w:rPr>
            </w:pPr>
            <w:r w:rsidRPr="00EC2801">
              <w:rPr>
                <w:sz w:val="18"/>
                <w:szCs w:val="18"/>
              </w:rPr>
              <w:t>0.00074</w:t>
            </w:r>
          </w:p>
        </w:tc>
        <w:tc>
          <w:tcPr>
            <w:tcW w:w="654" w:type="pct"/>
            <w:tcBorders>
              <w:top w:val="nil"/>
              <w:left w:val="nil"/>
              <w:bottom w:val="single" w:sz="4" w:space="0" w:color="auto"/>
              <w:right w:val="single" w:sz="8" w:space="0" w:color="auto"/>
            </w:tcBorders>
            <w:shd w:val="clear" w:color="auto" w:fill="auto"/>
            <w:noWrap/>
            <w:vAlign w:val="bottom"/>
            <w:hideMark/>
          </w:tcPr>
          <w:p w14:paraId="2FDDE8CD" w14:textId="77777777" w:rsidR="00EC2801" w:rsidRPr="00EC2801" w:rsidRDefault="00EC2801" w:rsidP="00EC2801">
            <w:pPr>
              <w:pStyle w:val="Tablas"/>
              <w:rPr>
                <w:sz w:val="18"/>
                <w:szCs w:val="18"/>
              </w:rPr>
            </w:pPr>
            <w:r w:rsidRPr="00EC2801">
              <w:rPr>
                <w:sz w:val="18"/>
                <w:szCs w:val="18"/>
              </w:rPr>
              <w:t>0.01691</w:t>
            </w:r>
          </w:p>
        </w:tc>
        <w:tc>
          <w:tcPr>
            <w:tcW w:w="717" w:type="pct"/>
            <w:tcBorders>
              <w:top w:val="nil"/>
              <w:left w:val="nil"/>
              <w:bottom w:val="single" w:sz="4" w:space="0" w:color="auto"/>
              <w:right w:val="single" w:sz="4" w:space="0" w:color="auto"/>
            </w:tcBorders>
            <w:shd w:val="clear" w:color="auto" w:fill="auto"/>
            <w:noWrap/>
            <w:vAlign w:val="bottom"/>
            <w:hideMark/>
          </w:tcPr>
          <w:p w14:paraId="6F38D61D" w14:textId="77777777" w:rsidR="00EC2801" w:rsidRPr="00EC2801" w:rsidRDefault="00EC2801" w:rsidP="00EC2801">
            <w:pPr>
              <w:pStyle w:val="Tablas"/>
              <w:rPr>
                <w:sz w:val="18"/>
                <w:szCs w:val="18"/>
              </w:rPr>
            </w:pPr>
            <w:r w:rsidRPr="00EC2801">
              <w:rPr>
                <w:sz w:val="18"/>
                <w:szCs w:val="18"/>
              </w:rPr>
              <w:t>0.00156</w:t>
            </w:r>
          </w:p>
        </w:tc>
        <w:tc>
          <w:tcPr>
            <w:tcW w:w="574" w:type="pct"/>
            <w:tcBorders>
              <w:top w:val="nil"/>
              <w:left w:val="nil"/>
              <w:bottom w:val="single" w:sz="4" w:space="0" w:color="auto"/>
              <w:right w:val="single" w:sz="4" w:space="0" w:color="auto"/>
            </w:tcBorders>
            <w:shd w:val="clear" w:color="auto" w:fill="auto"/>
            <w:noWrap/>
            <w:vAlign w:val="bottom"/>
            <w:hideMark/>
          </w:tcPr>
          <w:p w14:paraId="727B07F9" w14:textId="77777777" w:rsidR="00EC2801" w:rsidRPr="00EC2801" w:rsidRDefault="00EC2801" w:rsidP="00EC2801">
            <w:pPr>
              <w:pStyle w:val="Tablas"/>
              <w:rPr>
                <w:sz w:val="18"/>
                <w:szCs w:val="18"/>
              </w:rPr>
            </w:pPr>
            <w:r w:rsidRPr="00EC2801">
              <w:rPr>
                <w:sz w:val="18"/>
                <w:szCs w:val="18"/>
              </w:rPr>
              <w:t>0.00095</w:t>
            </w:r>
          </w:p>
        </w:tc>
        <w:tc>
          <w:tcPr>
            <w:tcW w:w="654" w:type="pct"/>
            <w:tcBorders>
              <w:top w:val="nil"/>
              <w:left w:val="nil"/>
              <w:bottom w:val="single" w:sz="4" w:space="0" w:color="auto"/>
              <w:right w:val="single" w:sz="8" w:space="0" w:color="auto"/>
            </w:tcBorders>
            <w:shd w:val="clear" w:color="auto" w:fill="auto"/>
            <w:noWrap/>
            <w:vAlign w:val="bottom"/>
            <w:hideMark/>
          </w:tcPr>
          <w:p w14:paraId="74EDDBF5" w14:textId="77777777" w:rsidR="00EC2801" w:rsidRPr="00EC2801" w:rsidRDefault="00EC2801" w:rsidP="00EC2801">
            <w:pPr>
              <w:pStyle w:val="Tablas"/>
              <w:rPr>
                <w:sz w:val="18"/>
                <w:szCs w:val="18"/>
              </w:rPr>
            </w:pPr>
            <w:r w:rsidRPr="00EC2801">
              <w:rPr>
                <w:sz w:val="18"/>
                <w:szCs w:val="18"/>
              </w:rPr>
              <w:t>0.01000</w:t>
            </w:r>
          </w:p>
        </w:tc>
      </w:tr>
      <w:tr w:rsidR="00EC2801" w:rsidRPr="00EC2801" w14:paraId="2E11E474"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8F55113" w14:textId="77777777" w:rsidR="00EC2801" w:rsidRPr="00EC2801" w:rsidRDefault="00EC2801" w:rsidP="00EC2801">
            <w:pPr>
              <w:pStyle w:val="Tablas"/>
              <w:rPr>
                <w:sz w:val="18"/>
                <w:szCs w:val="18"/>
              </w:rPr>
            </w:pPr>
            <w:r w:rsidRPr="00EC2801">
              <w:rPr>
                <w:sz w:val="18"/>
                <w:szCs w:val="18"/>
              </w:rPr>
              <w:t>51</w:t>
            </w:r>
          </w:p>
        </w:tc>
        <w:tc>
          <w:tcPr>
            <w:tcW w:w="722" w:type="pct"/>
            <w:tcBorders>
              <w:top w:val="nil"/>
              <w:left w:val="single" w:sz="8" w:space="0" w:color="auto"/>
              <w:bottom w:val="single" w:sz="4" w:space="0" w:color="auto"/>
              <w:right w:val="nil"/>
            </w:tcBorders>
            <w:shd w:val="clear" w:color="auto" w:fill="auto"/>
            <w:noWrap/>
            <w:vAlign w:val="bottom"/>
            <w:hideMark/>
          </w:tcPr>
          <w:p w14:paraId="66341879" w14:textId="77777777" w:rsidR="00EC2801" w:rsidRPr="00EC2801" w:rsidRDefault="00EC2801" w:rsidP="00EC2801">
            <w:pPr>
              <w:pStyle w:val="Tablas"/>
              <w:rPr>
                <w:sz w:val="18"/>
                <w:szCs w:val="18"/>
              </w:rPr>
            </w:pPr>
            <w:r w:rsidRPr="00EC2801">
              <w:rPr>
                <w:sz w:val="18"/>
                <w:szCs w:val="18"/>
              </w:rPr>
              <w:t>0.6551</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779BBA3D" w14:textId="77777777" w:rsidR="00EC2801" w:rsidRPr="00EC2801" w:rsidRDefault="00EC2801" w:rsidP="00EC2801">
            <w:pPr>
              <w:pStyle w:val="Tablas"/>
              <w:rPr>
                <w:sz w:val="18"/>
                <w:szCs w:val="18"/>
              </w:rPr>
            </w:pPr>
            <w:r w:rsidRPr="00EC2801">
              <w:rPr>
                <w:sz w:val="18"/>
                <w:szCs w:val="18"/>
              </w:rPr>
              <w:t>0.00345</w:t>
            </w:r>
          </w:p>
        </w:tc>
        <w:tc>
          <w:tcPr>
            <w:tcW w:w="574" w:type="pct"/>
            <w:tcBorders>
              <w:top w:val="nil"/>
              <w:left w:val="nil"/>
              <w:bottom w:val="single" w:sz="4" w:space="0" w:color="auto"/>
              <w:right w:val="single" w:sz="4" w:space="0" w:color="auto"/>
            </w:tcBorders>
            <w:shd w:val="clear" w:color="auto" w:fill="auto"/>
            <w:noWrap/>
            <w:vAlign w:val="bottom"/>
            <w:hideMark/>
          </w:tcPr>
          <w:p w14:paraId="2C449FA9" w14:textId="77777777" w:rsidR="00EC2801" w:rsidRPr="00EC2801" w:rsidRDefault="00EC2801" w:rsidP="00EC2801">
            <w:pPr>
              <w:pStyle w:val="Tablas"/>
              <w:rPr>
                <w:sz w:val="18"/>
                <w:szCs w:val="18"/>
              </w:rPr>
            </w:pPr>
            <w:r w:rsidRPr="00EC2801">
              <w:rPr>
                <w:sz w:val="18"/>
                <w:szCs w:val="18"/>
              </w:rPr>
              <w:t>0.00086</w:t>
            </w:r>
          </w:p>
        </w:tc>
        <w:tc>
          <w:tcPr>
            <w:tcW w:w="654" w:type="pct"/>
            <w:tcBorders>
              <w:top w:val="nil"/>
              <w:left w:val="nil"/>
              <w:bottom w:val="single" w:sz="4" w:space="0" w:color="auto"/>
              <w:right w:val="single" w:sz="8" w:space="0" w:color="auto"/>
            </w:tcBorders>
            <w:shd w:val="clear" w:color="auto" w:fill="auto"/>
            <w:noWrap/>
            <w:vAlign w:val="bottom"/>
            <w:hideMark/>
          </w:tcPr>
          <w:p w14:paraId="5FADE6A4" w14:textId="77777777" w:rsidR="00EC2801" w:rsidRPr="00EC2801" w:rsidRDefault="00EC2801" w:rsidP="00EC2801">
            <w:pPr>
              <w:pStyle w:val="Tablas"/>
              <w:rPr>
                <w:sz w:val="18"/>
                <w:szCs w:val="18"/>
              </w:rPr>
            </w:pPr>
            <w:r w:rsidRPr="00EC2801">
              <w:rPr>
                <w:sz w:val="18"/>
                <w:szCs w:val="18"/>
              </w:rPr>
              <w:t>0.01772</w:t>
            </w:r>
          </w:p>
        </w:tc>
        <w:tc>
          <w:tcPr>
            <w:tcW w:w="717" w:type="pct"/>
            <w:tcBorders>
              <w:top w:val="nil"/>
              <w:left w:val="nil"/>
              <w:bottom w:val="single" w:sz="4" w:space="0" w:color="auto"/>
              <w:right w:val="single" w:sz="4" w:space="0" w:color="auto"/>
            </w:tcBorders>
            <w:shd w:val="clear" w:color="auto" w:fill="auto"/>
            <w:noWrap/>
            <w:vAlign w:val="bottom"/>
            <w:hideMark/>
          </w:tcPr>
          <w:p w14:paraId="2D761006" w14:textId="77777777" w:rsidR="00EC2801" w:rsidRPr="00EC2801" w:rsidRDefault="00EC2801" w:rsidP="00EC2801">
            <w:pPr>
              <w:pStyle w:val="Tablas"/>
              <w:rPr>
                <w:sz w:val="18"/>
                <w:szCs w:val="18"/>
              </w:rPr>
            </w:pPr>
            <w:r w:rsidRPr="00EC2801">
              <w:rPr>
                <w:sz w:val="18"/>
                <w:szCs w:val="18"/>
              </w:rPr>
              <w:t>0.00169</w:t>
            </w:r>
          </w:p>
        </w:tc>
        <w:tc>
          <w:tcPr>
            <w:tcW w:w="574" w:type="pct"/>
            <w:tcBorders>
              <w:top w:val="nil"/>
              <w:left w:val="nil"/>
              <w:bottom w:val="single" w:sz="4" w:space="0" w:color="auto"/>
              <w:right w:val="single" w:sz="4" w:space="0" w:color="auto"/>
            </w:tcBorders>
            <w:shd w:val="clear" w:color="auto" w:fill="auto"/>
            <w:noWrap/>
            <w:vAlign w:val="bottom"/>
            <w:hideMark/>
          </w:tcPr>
          <w:p w14:paraId="255185FB" w14:textId="77777777" w:rsidR="00EC2801" w:rsidRPr="00EC2801" w:rsidRDefault="00EC2801" w:rsidP="00EC2801">
            <w:pPr>
              <w:pStyle w:val="Tablas"/>
              <w:rPr>
                <w:sz w:val="18"/>
                <w:szCs w:val="18"/>
              </w:rPr>
            </w:pPr>
            <w:r w:rsidRPr="00EC2801">
              <w:rPr>
                <w:sz w:val="18"/>
                <w:szCs w:val="18"/>
              </w:rPr>
              <w:t>0.00102</w:t>
            </w:r>
          </w:p>
        </w:tc>
        <w:tc>
          <w:tcPr>
            <w:tcW w:w="654" w:type="pct"/>
            <w:tcBorders>
              <w:top w:val="nil"/>
              <w:left w:val="nil"/>
              <w:bottom w:val="single" w:sz="4" w:space="0" w:color="auto"/>
              <w:right w:val="single" w:sz="8" w:space="0" w:color="auto"/>
            </w:tcBorders>
            <w:shd w:val="clear" w:color="auto" w:fill="auto"/>
            <w:noWrap/>
            <w:vAlign w:val="bottom"/>
            <w:hideMark/>
          </w:tcPr>
          <w:p w14:paraId="438DB2D1" w14:textId="77777777" w:rsidR="00EC2801" w:rsidRPr="00EC2801" w:rsidRDefault="00EC2801" w:rsidP="00EC2801">
            <w:pPr>
              <w:pStyle w:val="Tablas"/>
              <w:rPr>
                <w:sz w:val="18"/>
                <w:szCs w:val="18"/>
              </w:rPr>
            </w:pPr>
            <w:r w:rsidRPr="00EC2801">
              <w:rPr>
                <w:sz w:val="18"/>
                <w:szCs w:val="18"/>
              </w:rPr>
              <w:t>0.01057</w:t>
            </w:r>
          </w:p>
        </w:tc>
      </w:tr>
      <w:tr w:rsidR="00EC2801" w:rsidRPr="00EC2801" w14:paraId="21EFA59F"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F75F886" w14:textId="77777777" w:rsidR="00EC2801" w:rsidRPr="00EC2801" w:rsidRDefault="00EC2801" w:rsidP="00EC2801">
            <w:pPr>
              <w:pStyle w:val="Tablas"/>
              <w:rPr>
                <w:sz w:val="18"/>
                <w:szCs w:val="18"/>
              </w:rPr>
            </w:pPr>
            <w:r w:rsidRPr="00EC2801">
              <w:rPr>
                <w:sz w:val="18"/>
                <w:szCs w:val="18"/>
              </w:rPr>
              <w:t>52</w:t>
            </w:r>
          </w:p>
        </w:tc>
        <w:tc>
          <w:tcPr>
            <w:tcW w:w="722" w:type="pct"/>
            <w:tcBorders>
              <w:top w:val="nil"/>
              <w:left w:val="single" w:sz="8" w:space="0" w:color="auto"/>
              <w:bottom w:val="single" w:sz="4" w:space="0" w:color="auto"/>
              <w:right w:val="nil"/>
            </w:tcBorders>
            <w:shd w:val="clear" w:color="auto" w:fill="auto"/>
            <w:noWrap/>
            <w:vAlign w:val="bottom"/>
            <w:hideMark/>
          </w:tcPr>
          <w:p w14:paraId="6BCC2A55" w14:textId="77777777" w:rsidR="00EC2801" w:rsidRPr="00EC2801" w:rsidRDefault="00EC2801" w:rsidP="00EC2801">
            <w:pPr>
              <w:pStyle w:val="Tablas"/>
              <w:rPr>
                <w:sz w:val="18"/>
                <w:szCs w:val="18"/>
              </w:rPr>
            </w:pPr>
            <w:r w:rsidRPr="00EC2801">
              <w:rPr>
                <w:sz w:val="18"/>
                <w:szCs w:val="18"/>
              </w:rPr>
              <w:t>0.6558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280F040" w14:textId="77777777" w:rsidR="00EC2801" w:rsidRPr="00EC2801" w:rsidRDefault="00EC2801" w:rsidP="00EC2801">
            <w:pPr>
              <w:pStyle w:val="Tablas"/>
              <w:rPr>
                <w:sz w:val="18"/>
                <w:szCs w:val="18"/>
              </w:rPr>
            </w:pPr>
            <w:r w:rsidRPr="00EC2801">
              <w:rPr>
                <w:sz w:val="18"/>
                <w:szCs w:val="18"/>
              </w:rPr>
              <w:t>0.00371</w:t>
            </w:r>
          </w:p>
        </w:tc>
        <w:tc>
          <w:tcPr>
            <w:tcW w:w="574" w:type="pct"/>
            <w:tcBorders>
              <w:top w:val="nil"/>
              <w:left w:val="nil"/>
              <w:bottom w:val="single" w:sz="4" w:space="0" w:color="auto"/>
              <w:right w:val="single" w:sz="4" w:space="0" w:color="auto"/>
            </w:tcBorders>
            <w:shd w:val="clear" w:color="auto" w:fill="auto"/>
            <w:noWrap/>
            <w:vAlign w:val="bottom"/>
            <w:hideMark/>
          </w:tcPr>
          <w:p w14:paraId="778D73FB" w14:textId="77777777" w:rsidR="00EC2801" w:rsidRPr="00EC2801" w:rsidRDefault="00EC2801" w:rsidP="00EC2801">
            <w:pPr>
              <w:pStyle w:val="Tablas"/>
              <w:rPr>
                <w:sz w:val="18"/>
                <w:szCs w:val="18"/>
              </w:rPr>
            </w:pPr>
            <w:r w:rsidRPr="00EC2801">
              <w:rPr>
                <w:sz w:val="18"/>
                <w:szCs w:val="18"/>
              </w:rPr>
              <w:t>0.00098</w:t>
            </w:r>
          </w:p>
        </w:tc>
        <w:tc>
          <w:tcPr>
            <w:tcW w:w="654" w:type="pct"/>
            <w:tcBorders>
              <w:top w:val="nil"/>
              <w:left w:val="nil"/>
              <w:bottom w:val="single" w:sz="4" w:space="0" w:color="auto"/>
              <w:right w:val="single" w:sz="8" w:space="0" w:color="auto"/>
            </w:tcBorders>
            <w:shd w:val="clear" w:color="auto" w:fill="auto"/>
            <w:noWrap/>
            <w:vAlign w:val="bottom"/>
            <w:hideMark/>
          </w:tcPr>
          <w:p w14:paraId="08A74EE3" w14:textId="77777777" w:rsidR="00EC2801" w:rsidRPr="00EC2801" w:rsidRDefault="00EC2801" w:rsidP="00EC2801">
            <w:pPr>
              <w:pStyle w:val="Tablas"/>
              <w:rPr>
                <w:sz w:val="18"/>
                <w:szCs w:val="18"/>
              </w:rPr>
            </w:pPr>
            <w:r w:rsidRPr="00EC2801">
              <w:rPr>
                <w:sz w:val="18"/>
                <w:szCs w:val="18"/>
              </w:rPr>
              <w:t>0.01858</w:t>
            </w:r>
          </w:p>
        </w:tc>
        <w:tc>
          <w:tcPr>
            <w:tcW w:w="717" w:type="pct"/>
            <w:tcBorders>
              <w:top w:val="nil"/>
              <w:left w:val="nil"/>
              <w:bottom w:val="single" w:sz="4" w:space="0" w:color="auto"/>
              <w:right w:val="single" w:sz="4" w:space="0" w:color="auto"/>
            </w:tcBorders>
            <w:shd w:val="clear" w:color="auto" w:fill="auto"/>
            <w:noWrap/>
            <w:vAlign w:val="bottom"/>
            <w:hideMark/>
          </w:tcPr>
          <w:p w14:paraId="158A00C2" w14:textId="77777777" w:rsidR="00EC2801" w:rsidRPr="00EC2801" w:rsidRDefault="00EC2801" w:rsidP="00EC2801">
            <w:pPr>
              <w:pStyle w:val="Tablas"/>
              <w:rPr>
                <w:sz w:val="18"/>
                <w:szCs w:val="18"/>
              </w:rPr>
            </w:pPr>
            <w:r w:rsidRPr="00EC2801">
              <w:rPr>
                <w:sz w:val="18"/>
                <w:szCs w:val="18"/>
              </w:rPr>
              <w:t>0.00183</w:t>
            </w:r>
          </w:p>
        </w:tc>
        <w:tc>
          <w:tcPr>
            <w:tcW w:w="574" w:type="pct"/>
            <w:tcBorders>
              <w:top w:val="nil"/>
              <w:left w:val="nil"/>
              <w:bottom w:val="single" w:sz="4" w:space="0" w:color="auto"/>
              <w:right w:val="single" w:sz="4" w:space="0" w:color="auto"/>
            </w:tcBorders>
            <w:shd w:val="clear" w:color="auto" w:fill="auto"/>
            <w:noWrap/>
            <w:vAlign w:val="bottom"/>
            <w:hideMark/>
          </w:tcPr>
          <w:p w14:paraId="6A4BBEFB" w14:textId="77777777" w:rsidR="00EC2801" w:rsidRPr="00EC2801" w:rsidRDefault="00EC2801" w:rsidP="00EC2801">
            <w:pPr>
              <w:pStyle w:val="Tablas"/>
              <w:rPr>
                <w:sz w:val="18"/>
                <w:szCs w:val="18"/>
              </w:rPr>
            </w:pPr>
            <w:r w:rsidRPr="00EC2801">
              <w:rPr>
                <w:sz w:val="18"/>
                <w:szCs w:val="18"/>
              </w:rPr>
              <w:t>0.00108</w:t>
            </w:r>
          </w:p>
        </w:tc>
        <w:tc>
          <w:tcPr>
            <w:tcW w:w="654" w:type="pct"/>
            <w:tcBorders>
              <w:top w:val="nil"/>
              <w:left w:val="nil"/>
              <w:bottom w:val="single" w:sz="4" w:space="0" w:color="auto"/>
              <w:right w:val="single" w:sz="8" w:space="0" w:color="auto"/>
            </w:tcBorders>
            <w:shd w:val="clear" w:color="auto" w:fill="auto"/>
            <w:noWrap/>
            <w:vAlign w:val="bottom"/>
            <w:hideMark/>
          </w:tcPr>
          <w:p w14:paraId="76EA9F56" w14:textId="77777777" w:rsidR="00EC2801" w:rsidRPr="00EC2801" w:rsidRDefault="00EC2801" w:rsidP="00EC2801">
            <w:pPr>
              <w:pStyle w:val="Tablas"/>
              <w:rPr>
                <w:sz w:val="18"/>
                <w:szCs w:val="18"/>
              </w:rPr>
            </w:pPr>
            <w:r w:rsidRPr="00EC2801">
              <w:rPr>
                <w:sz w:val="18"/>
                <w:szCs w:val="18"/>
              </w:rPr>
              <w:t>0.01118</w:t>
            </w:r>
          </w:p>
        </w:tc>
      </w:tr>
      <w:tr w:rsidR="00EC2801" w:rsidRPr="00EC2801" w14:paraId="318CBD64"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01B19683" w14:textId="77777777" w:rsidR="00EC2801" w:rsidRPr="00EC2801" w:rsidRDefault="00EC2801" w:rsidP="00EC2801">
            <w:pPr>
              <w:pStyle w:val="Tablas"/>
              <w:rPr>
                <w:sz w:val="18"/>
                <w:szCs w:val="18"/>
              </w:rPr>
            </w:pPr>
            <w:r w:rsidRPr="00EC2801">
              <w:rPr>
                <w:sz w:val="18"/>
                <w:szCs w:val="18"/>
              </w:rPr>
              <w:t>53</w:t>
            </w:r>
          </w:p>
        </w:tc>
        <w:tc>
          <w:tcPr>
            <w:tcW w:w="722" w:type="pct"/>
            <w:tcBorders>
              <w:top w:val="nil"/>
              <w:left w:val="single" w:sz="8" w:space="0" w:color="auto"/>
              <w:bottom w:val="single" w:sz="4" w:space="0" w:color="auto"/>
              <w:right w:val="nil"/>
            </w:tcBorders>
            <w:shd w:val="clear" w:color="auto" w:fill="auto"/>
            <w:noWrap/>
            <w:vAlign w:val="bottom"/>
            <w:hideMark/>
          </w:tcPr>
          <w:p w14:paraId="14E7D996" w14:textId="77777777" w:rsidR="00EC2801" w:rsidRPr="00EC2801" w:rsidRDefault="00EC2801" w:rsidP="00EC2801">
            <w:pPr>
              <w:pStyle w:val="Tablas"/>
              <w:rPr>
                <w:sz w:val="18"/>
                <w:szCs w:val="18"/>
              </w:rPr>
            </w:pPr>
            <w:r w:rsidRPr="00EC2801">
              <w:rPr>
                <w:sz w:val="18"/>
                <w:szCs w:val="18"/>
              </w:rPr>
              <w:t>0.6554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D93199A" w14:textId="77777777" w:rsidR="00EC2801" w:rsidRPr="00EC2801" w:rsidRDefault="00EC2801" w:rsidP="00EC2801">
            <w:pPr>
              <w:pStyle w:val="Tablas"/>
              <w:rPr>
                <w:sz w:val="18"/>
                <w:szCs w:val="18"/>
              </w:rPr>
            </w:pPr>
            <w:r w:rsidRPr="00EC2801">
              <w:rPr>
                <w:sz w:val="18"/>
                <w:szCs w:val="18"/>
              </w:rPr>
              <w:t>0.00400</w:t>
            </w:r>
          </w:p>
        </w:tc>
        <w:tc>
          <w:tcPr>
            <w:tcW w:w="574" w:type="pct"/>
            <w:tcBorders>
              <w:top w:val="nil"/>
              <w:left w:val="nil"/>
              <w:bottom w:val="single" w:sz="4" w:space="0" w:color="auto"/>
              <w:right w:val="single" w:sz="4" w:space="0" w:color="auto"/>
            </w:tcBorders>
            <w:shd w:val="clear" w:color="auto" w:fill="auto"/>
            <w:noWrap/>
            <w:vAlign w:val="bottom"/>
            <w:hideMark/>
          </w:tcPr>
          <w:p w14:paraId="2F49E5B7" w14:textId="77777777" w:rsidR="00EC2801" w:rsidRPr="00EC2801" w:rsidRDefault="00EC2801" w:rsidP="00EC2801">
            <w:pPr>
              <w:pStyle w:val="Tablas"/>
              <w:rPr>
                <w:sz w:val="18"/>
                <w:szCs w:val="18"/>
              </w:rPr>
            </w:pPr>
            <w:r w:rsidRPr="00EC2801">
              <w:rPr>
                <w:sz w:val="18"/>
                <w:szCs w:val="18"/>
              </w:rPr>
              <w:t>0.00111</w:t>
            </w:r>
          </w:p>
        </w:tc>
        <w:tc>
          <w:tcPr>
            <w:tcW w:w="654" w:type="pct"/>
            <w:tcBorders>
              <w:top w:val="nil"/>
              <w:left w:val="nil"/>
              <w:bottom w:val="single" w:sz="4" w:space="0" w:color="auto"/>
              <w:right w:val="single" w:sz="8" w:space="0" w:color="auto"/>
            </w:tcBorders>
            <w:shd w:val="clear" w:color="auto" w:fill="auto"/>
            <w:noWrap/>
            <w:vAlign w:val="bottom"/>
            <w:hideMark/>
          </w:tcPr>
          <w:p w14:paraId="40FE5CDF" w14:textId="77777777" w:rsidR="00EC2801" w:rsidRPr="00EC2801" w:rsidRDefault="00EC2801" w:rsidP="00EC2801">
            <w:pPr>
              <w:pStyle w:val="Tablas"/>
              <w:rPr>
                <w:sz w:val="18"/>
                <w:szCs w:val="18"/>
              </w:rPr>
            </w:pPr>
            <w:r w:rsidRPr="00EC2801">
              <w:rPr>
                <w:sz w:val="18"/>
                <w:szCs w:val="18"/>
              </w:rPr>
              <w:t>0.01947</w:t>
            </w:r>
          </w:p>
        </w:tc>
        <w:tc>
          <w:tcPr>
            <w:tcW w:w="717" w:type="pct"/>
            <w:tcBorders>
              <w:top w:val="nil"/>
              <w:left w:val="nil"/>
              <w:bottom w:val="single" w:sz="4" w:space="0" w:color="auto"/>
              <w:right w:val="single" w:sz="4" w:space="0" w:color="auto"/>
            </w:tcBorders>
            <w:shd w:val="clear" w:color="auto" w:fill="auto"/>
            <w:noWrap/>
            <w:vAlign w:val="bottom"/>
            <w:hideMark/>
          </w:tcPr>
          <w:p w14:paraId="793DA41C" w14:textId="77777777" w:rsidR="00EC2801" w:rsidRPr="00EC2801" w:rsidRDefault="00EC2801" w:rsidP="00EC2801">
            <w:pPr>
              <w:pStyle w:val="Tablas"/>
              <w:rPr>
                <w:sz w:val="18"/>
                <w:szCs w:val="18"/>
              </w:rPr>
            </w:pPr>
            <w:r w:rsidRPr="00EC2801">
              <w:rPr>
                <w:sz w:val="18"/>
                <w:szCs w:val="18"/>
              </w:rPr>
              <w:t>0.00197</w:t>
            </w:r>
          </w:p>
        </w:tc>
        <w:tc>
          <w:tcPr>
            <w:tcW w:w="574" w:type="pct"/>
            <w:tcBorders>
              <w:top w:val="nil"/>
              <w:left w:val="nil"/>
              <w:bottom w:val="single" w:sz="4" w:space="0" w:color="auto"/>
              <w:right w:val="single" w:sz="4" w:space="0" w:color="auto"/>
            </w:tcBorders>
            <w:shd w:val="clear" w:color="auto" w:fill="auto"/>
            <w:noWrap/>
            <w:vAlign w:val="bottom"/>
            <w:hideMark/>
          </w:tcPr>
          <w:p w14:paraId="4CCDC2DA" w14:textId="77777777" w:rsidR="00EC2801" w:rsidRPr="00EC2801" w:rsidRDefault="00EC2801" w:rsidP="00EC2801">
            <w:pPr>
              <w:pStyle w:val="Tablas"/>
              <w:rPr>
                <w:sz w:val="18"/>
                <w:szCs w:val="18"/>
              </w:rPr>
            </w:pPr>
            <w:r w:rsidRPr="00EC2801">
              <w:rPr>
                <w:sz w:val="18"/>
                <w:szCs w:val="18"/>
              </w:rPr>
              <w:t>0.00111</w:t>
            </w:r>
          </w:p>
        </w:tc>
        <w:tc>
          <w:tcPr>
            <w:tcW w:w="654" w:type="pct"/>
            <w:tcBorders>
              <w:top w:val="nil"/>
              <w:left w:val="nil"/>
              <w:bottom w:val="single" w:sz="4" w:space="0" w:color="auto"/>
              <w:right w:val="single" w:sz="8" w:space="0" w:color="auto"/>
            </w:tcBorders>
            <w:shd w:val="clear" w:color="auto" w:fill="auto"/>
            <w:noWrap/>
            <w:vAlign w:val="bottom"/>
            <w:hideMark/>
          </w:tcPr>
          <w:p w14:paraId="0CB908A1" w14:textId="77777777" w:rsidR="00EC2801" w:rsidRPr="00EC2801" w:rsidRDefault="00EC2801" w:rsidP="00EC2801">
            <w:pPr>
              <w:pStyle w:val="Tablas"/>
              <w:rPr>
                <w:sz w:val="18"/>
                <w:szCs w:val="18"/>
              </w:rPr>
            </w:pPr>
            <w:r w:rsidRPr="00EC2801">
              <w:rPr>
                <w:sz w:val="18"/>
                <w:szCs w:val="18"/>
              </w:rPr>
              <w:t>0.01181</w:t>
            </w:r>
          </w:p>
        </w:tc>
      </w:tr>
      <w:tr w:rsidR="00EC2801" w:rsidRPr="00EC2801" w14:paraId="750D30A9" w14:textId="77777777" w:rsidTr="00EC2801">
        <w:trPr>
          <w:trHeight w:val="293"/>
        </w:trPr>
        <w:tc>
          <w:tcPr>
            <w:tcW w:w="388" w:type="pct"/>
            <w:tcBorders>
              <w:top w:val="nil"/>
              <w:left w:val="single" w:sz="8" w:space="0" w:color="auto"/>
              <w:bottom w:val="single" w:sz="4" w:space="0" w:color="auto"/>
              <w:right w:val="nil"/>
            </w:tcBorders>
            <w:shd w:val="clear" w:color="auto" w:fill="auto"/>
            <w:noWrap/>
            <w:vAlign w:val="bottom"/>
            <w:hideMark/>
          </w:tcPr>
          <w:p w14:paraId="7F4A61F1" w14:textId="77777777" w:rsidR="00EC2801" w:rsidRPr="00EC2801" w:rsidRDefault="00EC2801" w:rsidP="00EC2801">
            <w:pPr>
              <w:pStyle w:val="Tablas"/>
              <w:rPr>
                <w:sz w:val="18"/>
                <w:szCs w:val="18"/>
              </w:rPr>
            </w:pPr>
            <w:r w:rsidRPr="00EC2801">
              <w:rPr>
                <w:sz w:val="18"/>
                <w:szCs w:val="18"/>
              </w:rPr>
              <w:t>54</w:t>
            </w:r>
          </w:p>
        </w:tc>
        <w:tc>
          <w:tcPr>
            <w:tcW w:w="722" w:type="pct"/>
            <w:tcBorders>
              <w:top w:val="nil"/>
              <w:left w:val="single" w:sz="8" w:space="0" w:color="auto"/>
              <w:bottom w:val="single" w:sz="4" w:space="0" w:color="auto"/>
              <w:right w:val="nil"/>
            </w:tcBorders>
            <w:shd w:val="clear" w:color="auto" w:fill="auto"/>
            <w:noWrap/>
            <w:vAlign w:val="bottom"/>
            <w:hideMark/>
          </w:tcPr>
          <w:p w14:paraId="639C58BA" w14:textId="77777777" w:rsidR="00EC2801" w:rsidRPr="00EC2801" w:rsidRDefault="00EC2801" w:rsidP="00EC2801">
            <w:pPr>
              <w:pStyle w:val="Tablas"/>
              <w:rPr>
                <w:sz w:val="18"/>
                <w:szCs w:val="18"/>
              </w:rPr>
            </w:pPr>
            <w:r w:rsidRPr="00EC2801">
              <w:rPr>
                <w:sz w:val="18"/>
                <w:szCs w:val="18"/>
              </w:rPr>
              <w:t>0.654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004D348" w14:textId="77777777" w:rsidR="00EC2801" w:rsidRPr="00EC2801" w:rsidRDefault="00EC2801" w:rsidP="00EC2801">
            <w:pPr>
              <w:pStyle w:val="Tablas"/>
              <w:rPr>
                <w:sz w:val="18"/>
                <w:szCs w:val="18"/>
              </w:rPr>
            </w:pPr>
            <w:r w:rsidRPr="00EC2801">
              <w:rPr>
                <w:sz w:val="18"/>
                <w:szCs w:val="18"/>
              </w:rPr>
              <w:t>0.00430</w:t>
            </w:r>
          </w:p>
        </w:tc>
        <w:tc>
          <w:tcPr>
            <w:tcW w:w="574" w:type="pct"/>
            <w:tcBorders>
              <w:top w:val="nil"/>
              <w:left w:val="nil"/>
              <w:bottom w:val="single" w:sz="4" w:space="0" w:color="auto"/>
              <w:right w:val="single" w:sz="4" w:space="0" w:color="auto"/>
            </w:tcBorders>
            <w:shd w:val="clear" w:color="auto" w:fill="auto"/>
            <w:noWrap/>
            <w:vAlign w:val="bottom"/>
            <w:hideMark/>
          </w:tcPr>
          <w:p w14:paraId="542A205C" w14:textId="77777777" w:rsidR="00EC2801" w:rsidRPr="00EC2801" w:rsidRDefault="00EC2801" w:rsidP="00EC2801">
            <w:pPr>
              <w:pStyle w:val="Tablas"/>
              <w:rPr>
                <w:sz w:val="18"/>
                <w:szCs w:val="18"/>
              </w:rPr>
            </w:pPr>
            <w:r w:rsidRPr="00EC2801">
              <w:rPr>
                <w:sz w:val="18"/>
                <w:szCs w:val="18"/>
              </w:rPr>
              <w:t>0.00125</w:t>
            </w:r>
          </w:p>
        </w:tc>
        <w:tc>
          <w:tcPr>
            <w:tcW w:w="654" w:type="pct"/>
            <w:tcBorders>
              <w:top w:val="nil"/>
              <w:left w:val="nil"/>
              <w:bottom w:val="single" w:sz="4" w:space="0" w:color="auto"/>
              <w:right w:val="single" w:sz="8" w:space="0" w:color="auto"/>
            </w:tcBorders>
            <w:shd w:val="clear" w:color="auto" w:fill="auto"/>
            <w:noWrap/>
            <w:vAlign w:val="bottom"/>
            <w:hideMark/>
          </w:tcPr>
          <w:p w14:paraId="6F2853E5" w14:textId="77777777" w:rsidR="00EC2801" w:rsidRPr="00EC2801" w:rsidRDefault="00EC2801" w:rsidP="00EC2801">
            <w:pPr>
              <w:pStyle w:val="Tablas"/>
              <w:rPr>
                <w:sz w:val="18"/>
                <w:szCs w:val="18"/>
              </w:rPr>
            </w:pPr>
            <w:r w:rsidRPr="00EC2801">
              <w:rPr>
                <w:sz w:val="18"/>
                <w:szCs w:val="18"/>
              </w:rPr>
              <w:t>0.02041</w:t>
            </w:r>
          </w:p>
        </w:tc>
        <w:tc>
          <w:tcPr>
            <w:tcW w:w="717" w:type="pct"/>
            <w:tcBorders>
              <w:top w:val="nil"/>
              <w:left w:val="nil"/>
              <w:bottom w:val="single" w:sz="4" w:space="0" w:color="auto"/>
              <w:right w:val="single" w:sz="4" w:space="0" w:color="auto"/>
            </w:tcBorders>
            <w:shd w:val="clear" w:color="auto" w:fill="auto"/>
            <w:noWrap/>
            <w:vAlign w:val="bottom"/>
            <w:hideMark/>
          </w:tcPr>
          <w:p w14:paraId="79276429" w14:textId="77777777" w:rsidR="00EC2801" w:rsidRPr="00EC2801" w:rsidRDefault="00EC2801" w:rsidP="00EC2801">
            <w:pPr>
              <w:pStyle w:val="Tablas"/>
              <w:rPr>
                <w:sz w:val="18"/>
                <w:szCs w:val="18"/>
              </w:rPr>
            </w:pPr>
            <w:r w:rsidRPr="00EC2801">
              <w:rPr>
                <w:sz w:val="18"/>
                <w:szCs w:val="18"/>
              </w:rPr>
              <w:t>0.00213</w:t>
            </w:r>
          </w:p>
        </w:tc>
        <w:tc>
          <w:tcPr>
            <w:tcW w:w="574" w:type="pct"/>
            <w:tcBorders>
              <w:top w:val="nil"/>
              <w:left w:val="nil"/>
              <w:bottom w:val="single" w:sz="4" w:space="0" w:color="auto"/>
              <w:right w:val="single" w:sz="4" w:space="0" w:color="auto"/>
            </w:tcBorders>
            <w:shd w:val="clear" w:color="auto" w:fill="auto"/>
            <w:noWrap/>
            <w:vAlign w:val="bottom"/>
            <w:hideMark/>
          </w:tcPr>
          <w:p w14:paraId="773A6F5A" w14:textId="77777777" w:rsidR="00EC2801" w:rsidRPr="00EC2801" w:rsidRDefault="00EC2801" w:rsidP="00EC2801">
            <w:pPr>
              <w:pStyle w:val="Tablas"/>
              <w:rPr>
                <w:sz w:val="18"/>
                <w:szCs w:val="18"/>
              </w:rPr>
            </w:pPr>
            <w:r w:rsidRPr="00EC2801">
              <w:rPr>
                <w:sz w:val="18"/>
                <w:szCs w:val="18"/>
              </w:rPr>
              <w:t>0.00111</w:t>
            </w:r>
          </w:p>
        </w:tc>
        <w:tc>
          <w:tcPr>
            <w:tcW w:w="654" w:type="pct"/>
            <w:tcBorders>
              <w:top w:val="nil"/>
              <w:left w:val="nil"/>
              <w:bottom w:val="single" w:sz="4" w:space="0" w:color="auto"/>
              <w:right w:val="single" w:sz="8" w:space="0" w:color="auto"/>
            </w:tcBorders>
            <w:shd w:val="clear" w:color="auto" w:fill="auto"/>
            <w:noWrap/>
            <w:vAlign w:val="bottom"/>
            <w:hideMark/>
          </w:tcPr>
          <w:p w14:paraId="17CED6A5" w14:textId="77777777" w:rsidR="00EC2801" w:rsidRPr="00EC2801" w:rsidRDefault="00EC2801" w:rsidP="00EC2801">
            <w:pPr>
              <w:pStyle w:val="Tablas"/>
              <w:rPr>
                <w:sz w:val="18"/>
                <w:szCs w:val="18"/>
              </w:rPr>
            </w:pPr>
            <w:r w:rsidRPr="00EC2801">
              <w:rPr>
                <w:sz w:val="18"/>
                <w:szCs w:val="18"/>
              </w:rPr>
              <w:t>0.01249</w:t>
            </w:r>
          </w:p>
        </w:tc>
      </w:tr>
      <w:tr w:rsidR="00EC2801" w:rsidRPr="00EC2801" w14:paraId="3646F934"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610B07E" w14:textId="77777777" w:rsidR="00EC2801" w:rsidRPr="00EC2801" w:rsidRDefault="00EC2801" w:rsidP="00EC2801">
            <w:pPr>
              <w:pStyle w:val="Tablas"/>
              <w:rPr>
                <w:sz w:val="18"/>
                <w:szCs w:val="18"/>
              </w:rPr>
            </w:pPr>
            <w:r w:rsidRPr="00EC2801">
              <w:rPr>
                <w:sz w:val="18"/>
                <w:szCs w:val="18"/>
              </w:rPr>
              <w:t>55</w:t>
            </w:r>
          </w:p>
        </w:tc>
        <w:tc>
          <w:tcPr>
            <w:tcW w:w="722" w:type="pct"/>
            <w:tcBorders>
              <w:top w:val="nil"/>
              <w:left w:val="single" w:sz="8" w:space="0" w:color="auto"/>
              <w:bottom w:val="single" w:sz="4" w:space="0" w:color="auto"/>
              <w:right w:val="nil"/>
            </w:tcBorders>
            <w:shd w:val="clear" w:color="auto" w:fill="auto"/>
            <w:noWrap/>
            <w:vAlign w:val="bottom"/>
            <w:hideMark/>
          </w:tcPr>
          <w:p w14:paraId="194F973C" w14:textId="77777777" w:rsidR="00EC2801" w:rsidRPr="00EC2801" w:rsidRDefault="00EC2801" w:rsidP="00EC2801">
            <w:pPr>
              <w:pStyle w:val="Tablas"/>
              <w:rPr>
                <w:sz w:val="18"/>
                <w:szCs w:val="18"/>
              </w:rPr>
            </w:pPr>
            <w:r w:rsidRPr="00EC2801">
              <w:rPr>
                <w:sz w:val="18"/>
                <w:szCs w:val="18"/>
              </w:rPr>
              <w:t>0.6514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D699AE3" w14:textId="77777777" w:rsidR="00EC2801" w:rsidRPr="00EC2801" w:rsidRDefault="00EC2801" w:rsidP="00EC2801">
            <w:pPr>
              <w:pStyle w:val="Tablas"/>
              <w:rPr>
                <w:sz w:val="18"/>
                <w:szCs w:val="18"/>
              </w:rPr>
            </w:pPr>
            <w:r w:rsidRPr="00EC2801">
              <w:rPr>
                <w:sz w:val="18"/>
                <w:szCs w:val="18"/>
              </w:rPr>
              <w:t>0.00462</w:t>
            </w:r>
          </w:p>
        </w:tc>
        <w:tc>
          <w:tcPr>
            <w:tcW w:w="574" w:type="pct"/>
            <w:tcBorders>
              <w:top w:val="nil"/>
              <w:left w:val="nil"/>
              <w:bottom w:val="single" w:sz="4" w:space="0" w:color="auto"/>
              <w:right w:val="single" w:sz="4" w:space="0" w:color="auto"/>
            </w:tcBorders>
            <w:shd w:val="clear" w:color="auto" w:fill="auto"/>
            <w:noWrap/>
            <w:vAlign w:val="bottom"/>
            <w:hideMark/>
          </w:tcPr>
          <w:p w14:paraId="7767B1E1" w14:textId="77777777" w:rsidR="00EC2801" w:rsidRPr="00EC2801" w:rsidRDefault="00EC2801" w:rsidP="00EC2801">
            <w:pPr>
              <w:pStyle w:val="Tablas"/>
              <w:rPr>
                <w:sz w:val="18"/>
                <w:szCs w:val="18"/>
              </w:rPr>
            </w:pPr>
            <w:r w:rsidRPr="00EC2801">
              <w:rPr>
                <w:sz w:val="18"/>
                <w:szCs w:val="18"/>
              </w:rPr>
              <w:t>0.00137</w:t>
            </w:r>
          </w:p>
        </w:tc>
        <w:tc>
          <w:tcPr>
            <w:tcW w:w="654" w:type="pct"/>
            <w:tcBorders>
              <w:top w:val="nil"/>
              <w:left w:val="nil"/>
              <w:bottom w:val="single" w:sz="4" w:space="0" w:color="auto"/>
              <w:right w:val="single" w:sz="8" w:space="0" w:color="auto"/>
            </w:tcBorders>
            <w:shd w:val="clear" w:color="auto" w:fill="auto"/>
            <w:noWrap/>
            <w:vAlign w:val="bottom"/>
            <w:hideMark/>
          </w:tcPr>
          <w:p w14:paraId="60200683" w14:textId="77777777" w:rsidR="00EC2801" w:rsidRPr="00EC2801" w:rsidRDefault="00EC2801" w:rsidP="00EC2801">
            <w:pPr>
              <w:pStyle w:val="Tablas"/>
              <w:rPr>
                <w:sz w:val="18"/>
                <w:szCs w:val="18"/>
              </w:rPr>
            </w:pPr>
            <w:r w:rsidRPr="00EC2801">
              <w:rPr>
                <w:sz w:val="18"/>
                <w:szCs w:val="18"/>
              </w:rPr>
              <w:t>0.02139</w:t>
            </w:r>
          </w:p>
        </w:tc>
        <w:tc>
          <w:tcPr>
            <w:tcW w:w="717" w:type="pct"/>
            <w:tcBorders>
              <w:top w:val="nil"/>
              <w:left w:val="nil"/>
              <w:bottom w:val="single" w:sz="4" w:space="0" w:color="auto"/>
              <w:right w:val="single" w:sz="4" w:space="0" w:color="auto"/>
            </w:tcBorders>
            <w:shd w:val="clear" w:color="auto" w:fill="auto"/>
            <w:noWrap/>
            <w:vAlign w:val="bottom"/>
            <w:hideMark/>
          </w:tcPr>
          <w:p w14:paraId="47A6C082" w14:textId="77777777" w:rsidR="00EC2801" w:rsidRPr="00EC2801" w:rsidRDefault="00EC2801" w:rsidP="00EC2801">
            <w:pPr>
              <w:pStyle w:val="Tablas"/>
              <w:rPr>
                <w:sz w:val="18"/>
                <w:szCs w:val="18"/>
              </w:rPr>
            </w:pPr>
            <w:r w:rsidRPr="00EC2801">
              <w:rPr>
                <w:sz w:val="18"/>
                <w:szCs w:val="18"/>
              </w:rPr>
              <w:t>0.00230</w:t>
            </w:r>
          </w:p>
        </w:tc>
        <w:tc>
          <w:tcPr>
            <w:tcW w:w="574" w:type="pct"/>
            <w:tcBorders>
              <w:top w:val="nil"/>
              <w:left w:val="nil"/>
              <w:bottom w:val="single" w:sz="4" w:space="0" w:color="auto"/>
              <w:right w:val="single" w:sz="4" w:space="0" w:color="auto"/>
            </w:tcBorders>
            <w:shd w:val="clear" w:color="auto" w:fill="auto"/>
            <w:noWrap/>
            <w:vAlign w:val="bottom"/>
            <w:hideMark/>
          </w:tcPr>
          <w:p w14:paraId="63340ACC" w14:textId="77777777" w:rsidR="00EC2801" w:rsidRPr="00EC2801" w:rsidRDefault="00EC2801" w:rsidP="00EC2801">
            <w:pPr>
              <w:pStyle w:val="Tablas"/>
              <w:rPr>
                <w:sz w:val="18"/>
                <w:szCs w:val="18"/>
              </w:rPr>
            </w:pPr>
            <w:r w:rsidRPr="00EC2801">
              <w:rPr>
                <w:sz w:val="18"/>
                <w:szCs w:val="18"/>
              </w:rPr>
              <w:t>0.00107</w:t>
            </w:r>
          </w:p>
        </w:tc>
        <w:tc>
          <w:tcPr>
            <w:tcW w:w="654" w:type="pct"/>
            <w:tcBorders>
              <w:top w:val="nil"/>
              <w:left w:val="nil"/>
              <w:bottom w:val="single" w:sz="4" w:space="0" w:color="auto"/>
              <w:right w:val="single" w:sz="8" w:space="0" w:color="auto"/>
            </w:tcBorders>
            <w:shd w:val="clear" w:color="auto" w:fill="auto"/>
            <w:noWrap/>
            <w:vAlign w:val="bottom"/>
            <w:hideMark/>
          </w:tcPr>
          <w:p w14:paraId="5E8F3090" w14:textId="77777777" w:rsidR="00EC2801" w:rsidRPr="00EC2801" w:rsidRDefault="00EC2801" w:rsidP="00EC2801">
            <w:pPr>
              <w:pStyle w:val="Tablas"/>
              <w:rPr>
                <w:sz w:val="18"/>
                <w:szCs w:val="18"/>
              </w:rPr>
            </w:pPr>
            <w:r w:rsidRPr="00EC2801">
              <w:rPr>
                <w:sz w:val="18"/>
                <w:szCs w:val="18"/>
              </w:rPr>
              <w:t>0.01320</w:t>
            </w:r>
          </w:p>
        </w:tc>
      </w:tr>
      <w:tr w:rsidR="00EC2801" w:rsidRPr="00EC2801" w14:paraId="2B804D58"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BD30127" w14:textId="77777777" w:rsidR="00EC2801" w:rsidRPr="00EC2801" w:rsidRDefault="00EC2801" w:rsidP="00EC2801">
            <w:pPr>
              <w:pStyle w:val="Tablas"/>
              <w:rPr>
                <w:sz w:val="18"/>
                <w:szCs w:val="18"/>
              </w:rPr>
            </w:pPr>
            <w:r w:rsidRPr="00EC2801">
              <w:rPr>
                <w:sz w:val="18"/>
                <w:szCs w:val="18"/>
              </w:rPr>
              <w:t>56</w:t>
            </w:r>
          </w:p>
        </w:tc>
        <w:tc>
          <w:tcPr>
            <w:tcW w:w="722" w:type="pct"/>
            <w:tcBorders>
              <w:top w:val="nil"/>
              <w:left w:val="single" w:sz="8" w:space="0" w:color="auto"/>
              <w:bottom w:val="single" w:sz="4" w:space="0" w:color="auto"/>
              <w:right w:val="nil"/>
            </w:tcBorders>
            <w:shd w:val="clear" w:color="auto" w:fill="auto"/>
            <w:noWrap/>
            <w:vAlign w:val="bottom"/>
            <w:hideMark/>
          </w:tcPr>
          <w:p w14:paraId="48E01706" w14:textId="77777777" w:rsidR="00EC2801" w:rsidRPr="00EC2801" w:rsidRDefault="00EC2801" w:rsidP="00EC2801">
            <w:pPr>
              <w:pStyle w:val="Tablas"/>
              <w:rPr>
                <w:sz w:val="18"/>
                <w:szCs w:val="18"/>
              </w:rPr>
            </w:pPr>
            <w:r w:rsidRPr="00EC2801">
              <w:rPr>
                <w:sz w:val="18"/>
                <w:szCs w:val="18"/>
              </w:rPr>
              <w:t>0.6478</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7E0238F" w14:textId="77777777" w:rsidR="00EC2801" w:rsidRPr="00EC2801" w:rsidRDefault="00EC2801" w:rsidP="00EC2801">
            <w:pPr>
              <w:pStyle w:val="Tablas"/>
              <w:rPr>
                <w:sz w:val="18"/>
                <w:szCs w:val="18"/>
              </w:rPr>
            </w:pPr>
            <w:r w:rsidRPr="00EC2801">
              <w:rPr>
                <w:sz w:val="18"/>
                <w:szCs w:val="18"/>
              </w:rPr>
              <w:t>0.00498</w:t>
            </w:r>
          </w:p>
        </w:tc>
        <w:tc>
          <w:tcPr>
            <w:tcW w:w="574" w:type="pct"/>
            <w:tcBorders>
              <w:top w:val="nil"/>
              <w:left w:val="nil"/>
              <w:bottom w:val="single" w:sz="4" w:space="0" w:color="auto"/>
              <w:right w:val="single" w:sz="4" w:space="0" w:color="auto"/>
            </w:tcBorders>
            <w:shd w:val="clear" w:color="auto" w:fill="auto"/>
            <w:noWrap/>
            <w:vAlign w:val="bottom"/>
            <w:hideMark/>
          </w:tcPr>
          <w:p w14:paraId="4CC111BF" w14:textId="77777777" w:rsidR="00EC2801" w:rsidRPr="00EC2801" w:rsidRDefault="00EC2801" w:rsidP="00EC2801">
            <w:pPr>
              <w:pStyle w:val="Tablas"/>
              <w:rPr>
                <w:sz w:val="18"/>
                <w:szCs w:val="18"/>
              </w:rPr>
            </w:pPr>
            <w:r w:rsidRPr="00EC2801">
              <w:rPr>
                <w:sz w:val="18"/>
                <w:szCs w:val="18"/>
              </w:rPr>
              <w:t>0.00148</w:t>
            </w:r>
          </w:p>
        </w:tc>
        <w:tc>
          <w:tcPr>
            <w:tcW w:w="654" w:type="pct"/>
            <w:tcBorders>
              <w:top w:val="nil"/>
              <w:left w:val="nil"/>
              <w:bottom w:val="single" w:sz="4" w:space="0" w:color="auto"/>
              <w:right w:val="single" w:sz="8" w:space="0" w:color="auto"/>
            </w:tcBorders>
            <w:shd w:val="clear" w:color="auto" w:fill="auto"/>
            <w:noWrap/>
            <w:vAlign w:val="bottom"/>
            <w:hideMark/>
          </w:tcPr>
          <w:p w14:paraId="25D29C56" w14:textId="77777777" w:rsidR="00EC2801" w:rsidRPr="00EC2801" w:rsidRDefault="00EC2801" w:rsidP="00EC2801">
            <w:pPr>
              <w:pStyle w:val="Tablas"/>
              <w:rPr>
                <w:sz w:val="18"/>
                <w:szCs w:val="18"/>
              </w:rPr>
            </w:pPr>
            <w:r w:rsidRPr="00EC2801">
              <w:rPr>
                <w:sz w:val="18"/>
                <w:szCs w:val="18"/>
              </w:rPr>
              <w:t>0.02242</w:t>
            </w:r>
          </w:p>
        </w:tc>
        <w:tc>
          <w:tcPr>
            <w:tcW w:w="717" w:type="pct"/>
            <w:tcBorders>
              <w:top w:val="nil"/>
              <w:left w:val="nil"/>
              <w:bottom w:val="single" w:sz="4" w:space="0" w:color="auto"/>
              <w:right w:val="single" w:sz="4" w:space="0" w:color="auto"/>
            </w:tcBorders>
            <w:shd w:val="clear" w:color="auto" w:fill="auto"/>
            <w:noWrap/>
            <w:vAlign w:val="bottom"/>
            <w:hideMark/>
          </w:tcPr>
          <w:p w14:paraId="1BC461D1" w14:textId="77777777" w:rsidR="00EC2801" w:rsidRPr="00EC2801" w:rsidRDefault="00EC2801" w:rsidP="00EC2801">
            <w:pPr>
              <w:pStyle w:val="Tablas"/>
              <w:rPr>
                <w:sz w:val="18"/>
                <w:szCs w:val="18"/>
              </w:rPr>
            </w:pPr>
            <w:r w:rsidRPr="00EC2801">
              <w:rPr>
                <w:sz w:val="18"/>
                <w:szCs w:val="18"/>
              </w:rPr>
              <w:t>0.00250</w:t>
            </w:r>
          </w:p>
        </w:tc>
        <w:tc>
          <w:tcPr>
            <w:tcW w:w="574" w:type="pct"/>
            <w:tcBorders>
              <w:top w:val="nil"/>
              <w:left w:val="nil"/>
              <w:bottom w:val="single" w:sz="4" w:space="0" w:color="auto"/>
              <w:right w:val="single" w:sz="4" w:space="0" w:color="auto"/>
            </w:tcBorders>
            <w:shd w:val="clear" w:color="auto" w:fill="auto"/>
            <w:noWrap/>
            <w:vAlign w:val="bottom"/>
            <w:hideMark/>
          </w:tcPr>
          <w:p w14:paraId="57E948D8" w14:textId="77777777" w:rsidR="00EC2801" w:rsidRPr="00EC2801" w:rsidRDefault="00EC2801" w:rsidP="00EC2801">
            <w:pPr>
              <w:pStyle w:val="Tablas"/>
              <w:rPr>
                <w:sz w:val="18"/>
                <w:szCs w:val="18"/>
              </w:rPr>
            </w:pPr>
            <w:r w:rsidRPr="00EC2801">
              <w:rPr>
                <w:sz w:val="18"/>
                <w:szCs w:val="18"/>
              </w:rPr>
              <w:t>0.00096</w:t>
            </w:r>
          </w:p>
        </w:tc>
        <w:tc>
          <w:tcPr>
            <w:tcW w:w="654" w:type="pct"/>
            <w:tcBorders>
              <w:top w:val="nil"/>
              <w:left w:val="nil"/>
              <w:bottom w:val="single" w:sz="4" w:space="0" w:color="auto"/>
              <w:right w:val="single" w:sz="8" w:space="0" w:color="auto"/>
            </w:tcBorders>
            <w:shd w:val="clear" w:color="auto" w:fill="auto"/>
            <w:noWrap/>
            <w:vAlign w:val="bottom"/>
            <w:hideMark/>
          </w:tcPr>
          <w:p w14:paraId="2B9C6FF8" w14:textId="77777777" w:rsidR="00EC2801" w:rsidRPr="00EC2801" w:rsidRDefault="00EC2801" w:rsidP="00EC2801">
            <w:pPr>
              <w:pStyle w:val="Tablas"/>
              <w:rPr>
                <w:sz w:val="18"/>
                <w:szCs w:val="18"/>
              </w:rPr>
            </w:pPr>
            <w:r w:rsidRPr="00EC2801">
              <w:rPr>
                <w:sz w:val="18"/>
                <w:szCs w:val="18"/>
              </w:rPr>
              <w:t>0.01395</w:t>
            </w:r>
          </w:p>
        </w:tc>
      </w:tr>
      <w:tr w:rsidR="00EC2801" w:rsidRPr="00EC2801" w14:paraId="531A32AD"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423F10C" w14:textId="77777777" w:rsidR="00EC2801" w:rsidRPr="00EC2801" w:rsidRDefault="00EC2801" w:rsidP="00EC2801">
            <w:pPr>
              <w:pStyle w:val="Tablas"/>
              <w:rPr>
                <w:sz w:val="18"/>
                <w:szCs w:val="18"/>
              </w:rPr>
            </w:pPr>
            <w:r w:rsidRPr="00EC2801">
              <w:rPr>
                <w:sz w:val="18"/>
                <w:szCs w:val="18"/>
              </w:rPr>
              <w:t>57</w:t>
            </w:r>
          </w:p>
        </w:tc>
        <w:tc>
          <w:tcPr>
            <w:tcW w:w="722" w:type="pct"/>
            <w:tcBorders>
              <w:top w:val="nil"/>
              <w:left w:val="single" w:sz="8" w:space="0" w:color="auto"/>
              <w:bottom w:val="single" w:sz="4" w:space="0" w:color="auto"/>
              <w:right w:val="nil"/>
            </w:tcBorders>
            <w:shd w:val="clear" w:color="auto" w:fill="auto"/>
            <w:noWrap/>
            <w:vAlign w:val="bottom"/>
            <w:hideMark/>
          </w:tcPr>
          <w:p w14:paraId="21E34F86" w14:textId="77777777" w:rsidR="00EC2801" w:rsidRPr="00EC2801" w:rsidRDefault="00EC2801" w:rsidP="00EC2801">
            <w:pPr>
              <w:pStyle w:val="Tablas"/>
              <w:rPr>
                <w:sz w:val="18"/>
                <w:szCs w:val="18"/>
              </w:rPr>
            </w:pPr>
            <w:r w:rsidRPr="00EC2801">
              <w:rPr>
                <w:sz w:val="18"/>
                <w:szCs w:val="18"/>
              </w:rPr>
              <w:t>0.6431</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86E8C64" w14:textId="77777777" w:rsidR="00EC2801" w:rsidRPr="00EC2801" w:rsidRDefault="00EC2801" w:rsidP="00EC2801">
            <w:pPr>
              <w:pStyle w:val="Tablas"/>
              <w:rPr>
                <w:sz w:val="18"/>
                <w:szCs w:val="18"/>
              </w:rPr>
            </w:pPr>
            <w:r w:rsidRPr="00EC2801">
              <w:rPr>
                <w:sz w:val="18"/>
                <w:szCs w:val="18"/>
              </w:rPr>
              <w:t>0.00537</w:t>
            </w:r>
          </w:p>
        </w:tc>
        <w:tc>
          <w:tcPr>
            <w:tcW w:w="574" w:type="pct"/>
            <w:tcBorders>
              <w:top w:val="nil"/>
              <w:left w:val="nil"/>
              <w:bottom w:val="single" w:sz="4" w:space="0" w:color="auto"/>
              <w:right w:val="single" w:sz="4" w:space="0" w:color="auto"/>
            </w:tcBorders>
            <w:shd w:val="clear" w:color="auto" w:fill="auto"/>
            <w:noWrap/>
            <w:vAlign w:val="bottom"/>
            <w:hideMark/>
          </w:tcPr>
          <w:p w14:paraId="340CA176" w14:textId="77777777" w:rsidR="00EC2801" w:rsidRPr="00EC2801" w:rsidRDefault="00EC2801" w:rsidP="00EC2801">
            <w:pPr>
              <w:pStyle w:val="Tablas"/>
              <w:rPr>
                <w:sz w:val="18"/>
                <w:szCs w:val="18"/>
              </w:rPr>
            </w:pPr>
            <w:r w:rsidRPr="00EC2801">
              <w:rPr>
                <w:sz w:val="18"/>
                <w:szCs w:val="18"/>
              </w:rPr>
              <w:t>0.00155</w:t>
            </w:r>
          </w:p>
        </w:tc>
        <w:tc>
          <w:tcPr>
            <w:tcW w:w="654" w:type="pct"/>
            <w:tcBorders>
              <w:top w:val="nil"/>
              <w:left w:val="nil"/>
              <w:bottom w:val="single" w:sz="4" w:space="0" w:color="auto"/>
              <w:right w:val="single" w:sz="8" w:space="0" w:color="auto"/>
            </w:tcBorders>
            <w:shd w:val="clear" w:color="auto" w:fill="auto"/>
            <w:noWrap/>
            <w:vAlign w:val="bottom"/>
            <w:hideMark/>
          </w:tcPr>
          <w:p w14:paraId="639AEA21" w14:textId="77777777" w:rsidR="00EC2801" w:rsidRPr="00EC2801" w:rsidRDefault="00EC2801" w:rsidP="00EC2801">
            <w:pPr>
              <w:pStyle w:val="Tablas"/>
              <w:rPr>
                <w:sz w:val="18"/>
                <w:szCs w:val="18"/>
              </w:rPr>
            </w:pPr>
            <w:r w:rsidRPr="00EC2801">
              <w:rPr>
                <w:sz w:val="18"/>
                <w:szCs w:val="18"/>
              </w:rPr>
              <w:t>0.02350</w:t>
            </w:r>
          </w:p>
        </w:tc>
        <w:tc>
          <w:tcPr>
            <w:tcW w:w="717" w:type="pct"/>
            <w:tcBorders>
              <w:top w:val="nil"/>
              <w:left w:val="nil"/>
              <w:bottom w:val="single" w:sz="4" w:space="0" w:color="auto"/>
              <w:right w:val="single" w:sz="4" w:space="0" w:color="auto"/>
            </w:tcBorders>
            <w:shd w:val="clear" w:color="auto" w:fill="auto"/>
            <w:noWrap/>
            <w:vAlign w:val="bottom"/>
            <w:hideMark/>
          </w:tcPr>
          <w:p w14:paraId="4914F204" w14:textId="77777777" w:rsidR="00EC2801" w:rsidRPr="00EC2801" w:rsidRDefault="00EC2801" w:rsidP="00EC2801">
            <w:pPr>
              <w:pStyle w:val="Tablas"/>
              <w:rPr>
                <w:sz w:val="18"/>
                <w:szCs w:val="18"/>
              </w:rPr>
            </w:pPr>
            <w:r w:rsidRPr="00EC2801">
              <w:rPr>
                <w:sz w:val="18"/>
                <w:szCs w:val="18"/>
              </w:rPr>
              <w:t>0.00273</w:t>
            </w:r>
          </w:p>
        </w:tc>
        <w:tc>
          <w:tcPr>
            <w:tcW w:w="574" w:type="pct"/>
            <w:tcBorders>
              <w:top w:val="nil"/>
              <w:left w:val="nil"/>
              <w:bottom w:val="single" w:sz="4" w:space="0" w:color="auto"/>
              <w:right w:val="single" w:sz="4" w:space="0" w:color="auto"/>
            </w:tcBorders>
            <w:shd w:val="clear" w:color="auto" w:fill="auto"/>
            <w:noWrap/>
            <w:vAlign w:val="bottom"/>
            <w:hideMark/>
          </w:tcPr>
          <w:p w14:paraId="43957139" w14:textId="77777777" w:rsidR="00EC2801" w:rsidRPr="00EC2801" w:rsidRDefault="00EC2801" w:rsidP="00EC2801">
            <w:pPr>
              <w:pStyle w:val="Tablas"/>
              <w:rPr>
                <w:sz w:val="18"/>
                <w:szCs w:val="18"/>
              </w:rPr>
            </w:pPr>
            <w:r w:rsidRPr="00EC2801">
              <w:rPr>
                <w:sz w:val="18"/>
                <w:szCs w:val="18"/>
              </w:rPr>
              <w:t>0.00078</w:t>
            </w:r>
          </w:p>
        </w:tc>
        <w:tc>
          <w:tcPr>
            <w:tcW w:w="654" w:type="pct"/>
            <w:tcBorders>
              <w:top w:val="nil"/>
              <w:left w:val="nil"/>
              <w:bottom w:val="single" w:sz="4" w:space="0" w:color="auto"/>
              <w:right w:val="single" w:sz="8" w:space="0" w:color="auto"/>
            </w:tcBorders>
            <w:shd w:val="clear" w:color="auto" w:fill="auto"/>
            <w:noWrap/>
            <w:vAlign w:val="bottom"/>
            <w:hideMark/>
          </w:tcPr>
          <w:p w14:paraId="57257584" w14:textId="77777777" w:rsidR="00EC2801" w:rsidRPr="00EC2801" w:rsidRDefault="00EC2801" w:rsidP="00EC2801">
            <w:pPr>
              <w:pStyle w:val="Tablas"/>
              <w:rPr>
                <w:sz w:val="18"/>
                <w:szCs w:val="18"/>
              </w:rPr>
            </w:pPr>
            <w:r w:rsidRPr="00EC2801">
              <w:rPr>
                <w:sz w:val="18"/>
                <w:szCs w:val="18"/>
              </w:rPr>
              <w:t>0.01475</w:t>
            </w:r>
          </w:p>
        </w:tc>
      </w:tr>
      <w:tr w:rsidR="00EC2801" w:rsidRPr="00EC2801" w14:paraId="42882E96"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2F16FC01" w14:textId="77777777" w:rsidR="00EC2801" w:rsidRPr="00EC2801" w:rsidRDefault="00EC2801" w:rsidP="00EC2801">
            <w:pPr>
              <w:pStyle w:val="Tablas"/>
              <w:rPr>
                <w:sz w:val="18"/>
                <w:szCs w:val="18"/>
              </w:rPr>
            </w:pPr>
            <w:r w:rsidRPr="00EC2801">
              <w:rPr>
                <w:sz w:val="18"/>
                <w:szCs w:val="18"/>
              </w:rPr>
              <w:lastRenderedPageBreak/>
              <w:t>58</w:t>
            </w:r>
          </w:p>
        </w:tc>
        <w:tc>
          <w:tcPr>
            <w:tcW w:w="722" w:type="pct"/>
            <w:tcBorders>
              <w:top w:val="nil"/>
              <w:left w:val="single" w:sz="8" w:space="0" w:color="auto"/>
              <w:bottom w:val="single" w:sz="4" w:space="0" w:color="auto"/>
              <w:right w:val="nil"/>
            </w:tcBorders>
            <w:shd w:val="clear" w:color="auto" w:fill="auto"/>
            <w:noWrap/>
            <w:vAlign w:val="bottom"/>
            <w:hideMark/>
          </w:tcPr>
          <w:p w14:paraId="1FCE6E15" w14:textId="77777777" w:rsidR="00EC2801" w:rsidRPr="00EC2801" w:rsidRDefault="00EC2801" w:rsidP="00EC2801">
            <w:pPr>
              <w:pStyle w:val="Tablas"/>
              <w:rPr>
                <w:sz w:val="18"/>
                <w:szCs w:val="18"/>
              </w:rPr>
            </w:pPr>
            <w:r w:rsidRPr="00EC2801">
              <w:rPr>
                <w:sz w:val="18"/>
                <w:szCs w:val="18"/>
              </w:rPr>
              <w:t>0.6374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4D61EC8D" w14:textId="77777777" w:rsidR="00EC2801" w:rsidRPr="00EC2801" w:rsidRDefault="00EC2801" w:rsidP="00EC2801">
            <w:pPr>
              <w:pStyle w:val="Tablas"/>
              <w:rPr>
                <w:sz w:val="18"/>
                <w:szCs w:val="18"/>
              </w:rPr>
            </w:pPr>
            <w:r w:rsidRPr="00EC2801">
              <w:rPr>
                <w:sz w:val="18"/>
                <w:szCs w:val="18"/>
              </w:rPr>
              <w:t>0.00577</w:t>
            </w:r>
          </w:p>
        </w:tc>
        <w:tc>
          <w:tcPr>
            <w:tcW w:w="574" w:type="pct"/>
            <w:tcBorders>
              <w:top w:val="nil"/>
              <w:left w:val="nil"/>
              <w:bottom w:val="single" w:sz="4" w:space="0" w:color="auto"/>
              <w:right w:val="single" w:sz="4" w:space="0" w:color="auto"/>
            </w:tcBorders>
            <w:shd w:val="clear" w:color="auto" w:fill="auto"/>
            <w:noWrap/>
            <w:vAlign w:val="bottom"/>
            <w:hideMark/>
          </w:tcPr>
          <w:p w14:paraId="40BCBDA8" w14:textId="77777777" w:rsidR="00EC2801" w:rsidRPr="00EC2801" w:rsidRDefault="00EC2801" w:rsidP="00EC2801">
            <w:pPr>
              <w:pStyle w:val="Tablas"/>
              <w:rPr>
                <w:sz w:val="18"/>
                <w:szCs w:val="18"/>
              </w:rPr>
            </w:pPr>
            <w:r w:rsidRPr="00EC2801">
              <w:rPr>
                <w:sz w:val="18"/>
                <w:szCs w:val="18"/>
              </w:rPr>
              <w:t>0.00156</w:t>
            </w:r>
          </w:p>
        </w:tc>
        <w:tc>
          <w:tcPr>
            <w:tcW w:w="654" w:type="pct"/>
            <w:tcBorders>
              <w:top w:val="nil"/>
              <w:left w:val="nil"/>
              <w:bottom w:val="single" w:sz="4" w:space="0" w:color="auto"/>
              <w:right w:val="single" w:sz="8" w:space="0" w:color="auto"/>
            </w:tcBorders>
            <w:shd w:val="clear" w:color="auto" w:fill="auto"/>
            <w:noWrap/>
            <w:vAlign w:val="bottom"/>
            <w:hideMark/>
          </w:tcPr>
          <w:p w14:paraId="23C4A71B" w14:textId="77777777" w:rsidR="00EC2801" w:rsidRPr="00EC2801" w:rsidRDefault="00EC2801" w:rsidP="00EC2801">
            <w:pPr>
              <w:pStyle w:val="Tablas"/>
              <w:rPr>
                <w:sz w:val="18"/>
                <w:szCs w:val="18"/>
              </w:rPr>
            </w:pPr>
            <w:r w:rsidRPr="00EC2801">
              <w:rPr>
                <w:sz w:val="18"/>
                <w:szCs w:val="18"/>
              </w:rPr>
              <w:t>0.02463</w:t>
            </w:r>
          </w:p>
        </w:tc>
        <w:tc>
          <w:tcPr>
            <w:tcW w:w="717" w:type="pct"/>
            <w:tcBorders>
              <w:top w:val="nil"/>
              <w:left w:val="nil"/>
              <w:bottom w:val="single" w:sz="4" w:space="0" w:color="auto"/>
              <w:right w:val="single" w:sz="4" w:space="0" w:color="auto"/>
            </w:tcBorders>
            <w:shd w:val="clear" w:color="auto" w:fill="auto"/>
            <w:noWrap/>
            <w:vAlign w:val="bottom"/>
            <w:hideMark/>
          </w:tcPr>
          <w:p w14:paraId="4A4B7ED0" w14:textId="77777777" w:rsidR="00EC2801" w:rsidRPr="00EC2801" w:rsidRDefault="00EC2801" w:rsidP="00EC2801">
            <w:pPr>
              <w:pStyle w:val="Tablas"/>
              <w:rPr>
                <w:sz w:val="18"/>
                <w:szCs w:val="18"/>
              </w:rPr>
            </w:pPr>
            <w:r w:rsidRPr="00EC2801">
              <w:rPr>
                <w:sz w:val="18"/>
                <w:szCs w:val="18"/>
              </w:rPr>
              <w:t>0.00298</w:t>
            </w:r>
          </w:p>
        </w:tc>
        <w:tc>
          <w:tcPr>
            <w:tcW w:w="574" w:type="pct"/>
            <w:tcBorders>
              <w:top w:val="nil"/>
              <w:left w:val="nil"/>
              <w:bottom w:val="single" w:sz="4" w:space="0" w:color="auto"/>
              <w:right w:val="single" w:sz="4" w:space="0" w:color="auto"/>
            </w:tcBorders>
            <w:shd w:val="clear" w:color="auto" w:fill="auto"/>
            <w:noWrap/>
            <w:vAlign w:val="bottom"/>
            <w:hideMark/>
          </w:tcPr>
          <w:p w14:paraId="4D4CE0C1" w14:textId="77777777" w:rsidR="00EC2801" w:rsidRPr="00EC2801" w:rsidRDefault="00EC2801" w:rsidP="00EC2801">
            <w:pPr>
              <w:pStyle w:val="Tablas"/>
              <w:rPr>
                <w:sz w:val="18"/>
                <w:szCs w:val="18"/>
              </w:rPr>
            </w:pPr>
            <w:r w:rsidRPr="00EC2801">
              <w:rPr>
                <w:sz w:val="18"/>
                <w:szCs w:val="18"/>
              </w:rPr>
              <w:t>0.00052</w:t>
            </w:r>
          </w:p>
        </w:tc>
        <w:tc>
          <w:tcPr>
            <w:tcW w:w="654" w:type="pct"/>
            <w:tcBorders>
              <w:top w:val="nil"/>
              <w:left w:val="nil"/>
              <w:bottom w:val="single" w:sz="4" w:space="0" w:color="auto"/>
              <w:right w:val="single" w:sz="8" w:space="0" w:color="auto"/>
            </w:tcBorders>
            <w:shd w:val="clear" w:color="auto" w:fill="auto"/>
            <w:noWrap/>
            <w:vAlign w:val="bottom"/>
            <w:hideMark/>
          </w:tcPr>
          <w:p w14:paraId="19573B3C" w14:textId="77777777" w:rsidR="00EC2801" w:rsidRPr="00EC2801" w:rsidRDefault="00EC2801" w:rsidP="00EC2801">
            <w:pPr>
              <w:pStyle w:val="Tablas"/>
              <w:rPr>
                <w:sz w:val="18"/>
                <w:szCs w:val="18"/>
              </w:rPr>
            </w:pPr>
            <w:r w:rsidRPr="00EC2801">
              <w:rPr>
                <w:sz w:val="18"/>
                <w:szCs w:val="18"/>
              </w:rPr>
              <w:t>0.01559</w:t>
            </w:r>
          </w:p>
        </w:tc>
      </w:tr>
      <w:tr w:rsidR="00EC2801" w:rsidRPr="00EC2801" w14:paraId="6C3F35A8"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7D6FF666" w14:textId="77777777" w:rsidR="00EC2801" w:rsidRPr="00EC2801" w:rsidRDefault="00EC2801" w:rsidP="00EC2801">
            <w:pPr>
              <w:pStyle w:val="Tablas"/>
              <w:rPr>
                <w:sz w:val="18"/>
                <w:szCs w:val="18"/>
              </w:rPr>
            </w:pPr>
            <w:r w:rsidRPr="00EC2801">
              <w:rPr>
                <w:sz w:val="18"/>
                <w:szCs w:val="18"/>
              </w:rPr>
              <w:t>59</w:t>
            </w:r>
          </w:p>
        </w:tc>
        <w:tc>
          <w:tcPr>
            <w:tcW w:w="722" w:type="pct"/>
            <w:tcBorders>
              <w:top w:val="nil"/>
              <w:left w:val="single" w:sz="8" w:space="0" w:color="auto"/>
              <w:bottom w:val="single" w:sz="4" w:space="0" w:color="auto"/>
              <w:right w:val="nil"/>
            </w:tcBorders>
            <w:shd w:val="clear" w:color="auto" w:fill="auto"/>
            <w:noWrap/>
            <w:vAlign w:val="bottom"/>
            <w:hideMark/>
          </w:tcPr>
          <w:p w14:paraId="4B4C92F3" w14:textId="77777777" w:rsidR="00EC2801" w:rsidRPr="00EC2801" w:rsidRDefault="00EC2801" w:rsidP="00EC2801">
            <w:pPr>
              <w:pStyle w:val="Tablas"/>
              <w:rPr>
                <w:sz w:val="18"/>
                <w:szCs w:val="18"/>
              </w:rPr>
            </w:pPr>
            <w:r w:rsidRPr="00EC2801">
              <w:rPr>
                <w:sz w:val="18"/>
                <w:szCs w:val="18"/>
              </w:rPr>
              <w:t>0.6305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53AE63B2" w14:textId="77777777" w:rsidR="00EC2801" w:rsidRPr="00EC2801" w:rsidRDefault="00EC2801" w:rsidP="00EC2801">
            <w:pPr>
              <w:pStyle w:val="Tablas"/>
              <w:rPr>
                <w:sz w:val="18"/>
                <w:szCs w:val="18"/>
              </w:rPr>
            </w:pPr>
            <w:r w:rsidRPr="00EC2801">
              <w:rPr>
                <w:sz w:val="18"/>
                <w:szCs w:val="18"/>
              </w:rPr>
              <w:t>0.00619</w:t>
            </w:r>
          </w:p>
        </w:tc>
        <w:tc>
          <w:tcPr>
            <w:tcW w:w="574" w:type="pct"/>
            <w:tcBorders>
              <w:top w:val="nil"/>
              <w:left w:val="nil"/>
              <w:bottom w:val="single" w:sz="4" w:space="0" w:color="auto"/>
              <w:right w:val="single" w:sz="4" w:space="0" w:color="auto"/>
            </w:tcBorders>
            <w:shd w:val="clear" w:color="auto" w:fill="auto"/>
            <w:noWrap/>
            <w:vAlign w:val="bottom"/>
            <w:hideMark/>
          </w:tcPr>
          <w:p w14:paraId="64338153" w14:textId="77777777" w:rsidR="00EC2801" w:rsidRPr="00EC2801" w:rsidRDefault="00EC2801" w:rsidP="00EC2801">
            <w:pPr>
              <w:pStyle w:val="Tablas"/>
              <w:rPr>
                <w:sz w:val="18"/>
                <w:szCs w:val="18"/>
              </w:rPr>
            </w:pPr>
            <w:r w:rsidRPr="00EC2801">
              <w:rPr>
                <w:sz w:val="18"/>
                <w:szCs w:val="18"/>
              </w:rPr>
              <w:t>0.00151</w:t>
            </w:r>
          </w:p>
        </w:tc>
        <w:tc>
          <w:tcPr>
            <w:tcW w:w="654" w:type="pct"/>
            <w:tcBorders>
              <w:top w:val="nil"/>
              <w:left w:val="nil"/>
              <w:bottom w:val="single" w:sz="4" w:space="0" w:color="auto"/>
              <w:right w:val="single" w:sz="8" w:space="0" w:color="auto"/>
            </w:tcBorders>
            <w:shd w:val="clear" w:color="auto" w:fill="auto"/>
            <w:noWrap/>
            <w:vAlign w:val="bottom"/>
            <w:hideMark/>
          </w:tcPr>
          <w:p w14:paraId="26F528F1" w14:textId="77777777" w:rsidR="00EC2801" w:rsidRPr="00EC2801" w:rsidRDefault="00EC2801" w:rsidP="00EC2801">
            <w:pPr>
              <w:pStyle w:val="Tablas"/>
              <w:rPr>
                <w:sz w:val="18"/>
                <w:szCs w:val="18"/>
              </w:rPr>
            </w:pPr>
            <w:r w:rsidRPr="00EC2801">
              <w:rPr>
                <w:sz w:val="18"/>
                <w:szCs w:val="18"/>
              </w:rPr>
              <w:t>0.02581</w:t>
            </w:r>
          </w:p>
        </w:tc>
        <w:tc>
          <w:tcPr>
            <w:tcW w:w="717" w:type="pct"/>
            <w:tcBorders>
              <w:top w:val="nil"/>
              <w:left w:val="nil"/>
              <w:bottom w:val="single" w:sz="4" w:space="0" w:color="auto"/>
              <w:right w:val="single" w:sz="4" w:space="0" w:color="auto"/>
            </w:tcBorders>
            <w:shd w:val="clear" w:color="auto" w:fill="auto"/>
            <w:noWrap/>
            <w:vAlign w:val="bottom"/>
            <w:hideMark/>
          </w:tcPr>
          <w:p w14:paraId="26306C96" w14:textId="77777777" w:rsidR="00EC2801" w:rsidRPr="00EC2801" w:rsidRDefault="00EC2801" w:rsidP="00EC2801">
            <w:pPr>
              <w:pStyle w:val="Tablas"/>
              <w:rPr>
                <w:sz w:val="18"/>
                <w:szCs w:val="18"/>
              </w:rPr>
            </w:pPr>
            <w:r w:rsidRPr="00EC2801">
              <w:rPr>
                <w:sz w:val="18"/>
                <w:szCs w:val="18"/>
              </w:rPr>
              <w:t>0.00325</w:t>
            </w:r>
          </w:p>
        </w:tc>
        <w:tc>
          <w:tcPr>
            <w:tcW w:w="574" w:type="pct"/>
            <w:tcBorders>
              <w:top w:val="nil"/>
              <w:left w:val="nil"/>
              <w:bottom w:val="single" w:sz="4" w:space="0" w:color="auto"/>
              <w:right w:val="single" w:sz="4" w:space="0" w:color="auto"/>
            </w:tcBorders>
            <w:shd w:val="clear" w:color="auto" w:fill="auto"/>
            <w:noWrap/>
            <w:vAlign w:val="bottom"/>
            <w:hideMark/>
          </w:tcPr>
          <w:p w14:paraId="2AC27176" w14:textId="77777777" w:rsidR="00EC2801" w:rsidRPr="00EC2801" w:rsidRDefault="00EC2801" w:rsidP="00EC2801">
            <w:pPr>
              <w:pStyle w:val="Tablas"/>
              <w:rPr>
                <w:sz w:val="18"/>
                <w:szCs w:val="18"/>
              </w:rPr>
            </w:pPr>
            <w:r w:rsidRPr="00EC2801">
              <w:rPr>
                <w:sz w:val="18"/>
                <w:szCs w:val="18"/>
              </w:rPr>
              <w:t>0.00021</w:t>
            </w:r>
          </w:p>
        </w:tc>
        <w:tc>
          <w:tcPr>
            <w:tcW w:w="654" w:type="pct"/>
            <w:tcBorders>
              <w:top w:val="nil"/>
              <w:left w:val="nil"/>
              <w:bottom w:val="single" w:sz="4" w:space="0" w:color="auto"/>
              <w:right w:val="single" w:sz="8" w:space="0" w:color="auto"/>
            </w:tcBorders>
            <w:shd w:val="clear" w:color="auto" w:fill="auto"/>
            <w:noWrap/>
            <w:vAlign w:val="bottom"/>
            <w:hideMark/>
          </w:tcPr>
          <w:p w14:paraId="008793D6" w14:textId="77777777" w:rsidR="00EC2801" w:rsidRPr="00EC2801" w:rsidRDefault="00EC2801" w:rsidP="00EC2801">
            <w:pPr>
              <w:pStyle w:val="Tablas"/>
              <w:rPr>
                <w:sz w:val="18"/>
                <w:szCs w:val="18"/>
              </w:rPr>
            </w:pPr>
            <w:r w:rsidRPr="00EC2801">
              <w:rPr>
                <w:sz w:val="18"/>
                <w:szCs w:val="18"/>
              </w:rPr>
              <w:t>0.01648</w:t>
            </w:r>
          </w:p>
        </w:tc>
      </w:tr>
      <w:tr w:rsidR="00EC2801" w:rsidRPr="00EC2801" w14:paraId="59D8C51A"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4FFA61B9" w14:textId="77777777" w:rsidR="00EC2801" w:rsidRPr="00EC2801" w:rsidRDefault="00EC2801" w:rsidP="00EC2801">
            <w:pPr>
              <w:pStyle w:val="Tablas"/>
              <w:rPr>
                <w:sz w:val="18"/>
                <w:szCs w:val="18"/>
              </w:rPr>
            </w:pPr>
            <w:r w:rsidRPr="00EC2801">
              <w:rPr>
                <w:sz w:val="18"/>
                <w:szCs w:val="18"/>
              </w:rPr>
              <w:t>60</w:t>
            </w:r>
          </w:p>
        </w:tc>
        <w:tc>
          <w:tcPr>
            <w:tcW w:w="722" w:type="pct"/>
            <w:tcBorders>
              <w:top w:val="nil"/>
              <w:left w:val="single" w:sz="8" w:space="0" w:color="auto"/>
              <w:bottom w:val="single" w:sz="4" w:space="0" w:color="auto"/>
              <w:right w:val="nil"/>
            </w:tcBorders>
            <w:shd w:val="clear" w:color="auto" w:fill="auto"/>
            <w:noWrap/>
            <w:vAlign w:val="bottom"/>
            <w:hideMark/>
          </w:tcPr>
          <w:p w14:paraId="5383C69B" w14:textId="77777777" w:rsidR="00EC2801" w:rsidRPr="00EC2801" w:rsidRDefault="00EC2801" w:rsidP="00EC2801">
            <w:pPr>
              <w:pStyle w:val="Tablas"/>
              <w:rPr>
                <w:sz w:val="18"/>
                <w:szCs w:val="18"/>
              </w:rPr>
            </w:pPr>
            <w:r w:rsidRPr="00EC2801">
              <w:rPr>
                <w:sz w:val="18"/>
                <w:szCs w:val="18"/>
              </w:rPr>
              <w:t>0.6226</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166FE55" w14:textId="77777777" w:rsidR="00EC2801" w:rsidRPr="00EC2801" w:rsidRDefault="00EC2801" w:rsidP="00EC2801">
            <w:pPr>
              <w:pStyle w:val="Tablas"/>
              <w:rPr>
                <w:sz w:val="18"/>
                <w:szCs w:val="18"/>
              </w:rPr>
            </w:pPr>
            <w:r w:rsidRPr="00EC2801">
              <w:rPr>
                <w:sz w:val="18"/>
                <w:szCs w:val="18"/>
              </w:rPr>
              <w:t>0.00665</w:t>
            </w:r>
          </w:p>
        </w:tc>
        <w:tc>
          <w:tcPr>
            <w:tcW w:w="574" w:type="pct"/>
            <w:tcBorders>
              <w:top w:val="nil"/>
              <w:left w:val="nil"/>
              <w:bottom w:val="single" w:sz="4" w:space="0" w:color="auto"/>
              <w:right w:val="single" w:sz="4" w:space="0" w:color="auto"/>
            </w:tcBorders>
            <w:shd w:val="clear" w:color="auto" w:fill="auto"/>
            <w:noWrap/>
            <w:vAlign w:val="bottom"/>
            <w:hideMark/>
          </w:tcPr>
          <w:p w14:paraId="6737A412" w14:textId="77777777" w:rsidR="00EC2801" w:rsidRPr="00EC2801" w:rsidRDefault="00EC2801" w:rsidP="00EC2801">
            <w:pPr>
              <w:pStyle w:val="Tablas"/>
              <w:rPr>
                <w:sz w:val="18"/>
                <w:szCs w:val="18"/>
              </w:rPr>
            </w:pPr>
            <w:r w:rsidRPr="00EC2801">
              <w:rPr>
                <w:sz w:val="18"/>
                <w:szCs w:val="18"/>
              </w:rPr>
              <w:t>0.00136</w:t>
            </w:r>
          </w:p>
        </w:tc>
        <w:tc>
          <w:tcPr>
            <w:tcW w:w="654" w:type="pct"/>
            <w:tcBorders>
              <w:top w:val="nil"/>
              <w:left w:val="nil"/>
              <w:bottom w:val="single" w:sz="4" w:space="0" w:color="auto"/>
              <w:right w:val="single" w:sz="8" w:space="0" w:color="auto"/>
            </w:tcBorders>
            <w:shd w:val="clear" w:color="auto" w:fill="auto"/>
            <w:noWrap/>
            <w:vAlign w:val="bottom"/>
            <w:hideMark/>
          </w:tcPr>
          <w:p w14:paraId="5C9E3249" w14:textId="77777777" w:rsidR="00EC2801" w:rsidRPr="00EC2801" w:rsidRDefault="00EC2801" w:rsidP="00EC2801">
            <w:pPr>
              <w:pStyle w:val="Tablas"/>
              <w:rPr>
                <w:sz w:val="18"/>
                <w:szCs w:val="18"/>
              </w:rPr>
            </w:pPr>
            <w:r w:rsidRPr="00EC2801">
              <w:rPr>
                <w:sz w:val="18"/>
                <w:szCs w:val="18"/>
              </w:rPr>
              <w:t>0.02705</w:t>
            </w:r>
          </w:p>
        </w:tc>
        <w:tc>
          <w:tcPr>
            <w:tcW w:w="717" w:type="pct"/>
            <w:tcBorders>
              <w:top w:val="nil"/>
              <w:left w:val="nil"/>
              <w:bottom w:val="single" w:sz="4" w:space="0" w:color="auto"/>
              <w:right w:val="single" w:sz="4" w:space="0" w:color="auto"/>
            </w:tcBorders>
            <w:shd w:val="clear" w:color="auto" w:fill="auto"/>
            <w:noWrap/>
            <w:vAlign w:val="bottom"/>
            <w:hideMark/>
          </w:tcPr>
          <w:p w14:paraId="3BFC0777" w14:textId="77777777" w:rsidR="00EC2801" w:rsidRPr="00EC2801" w:rsidRDefault="00EC2801" w:rsidP="00EC2801">
            <w:pPr>
              <w:pStyle w:val="Tablas"/>
              <w:rPr>
                <w:sz w:val="18"/>
                <w:szCs w:val="18"/>
              </w:rPr>
            </w:pPr>
            <w:r w:rsidRPr="00EC2801">
              <w:rPr>
                <w:sz w:val="18"/>
                <w:szCs w:val="18"/>
              </w:rPr>
              <w:t>0.00355</w:t>
            </w:r>
          </w:p>
        </w:tc>
        <w:tc>
          <w:tcPr>
            <w:tcW w:w="574" w:type="pct"/>
            <w:tcBorders>
              <w:top w:val="nil"/>
              <w:left w:val="nil"/>
              <w:bottom w:val="single" w:sz="4" w:space="0" w:color="auto"/>
              <w:right w:val="single" w:sz="4" w:space="0" w:color="auto"/>
            </w:tcBorders>
            <w:shd w:val="clear" w:color="auto" w:fill="auto"/>
            <w:noWrap/>
            <w:vAlign w:val="bottom"/>
            <w:hideMark/>
          </w:tcPr>
          <w:p w14:paraId="4EB73E1D" w14:textId="77777777" w:rsidR="00EC2801" w:rsidRPr="00EC2801" w:rsidRDefault="00EC2801" w:rsidP="00EC2801">
            <w:pPr>
              <w:pStyle w:val="Tablas"/>
              <w:rPr>
                <w:sz w:val="18"/>
                <w:szCs w:val="18"/>
              </w:rPr>
            </w:pPr>
            <w:r w:rsidRPr="00EC2801">
              <w:rPr>
                <w:sz w:val="18"/>
                <w:szCs w:val="18"/>
              </w:rPr>
              <w:t>0.00001</w:t>
            </w:r>
          </w:p>
        </w:tc>
        <w:tc>
          <w:tcPr>
            <w:tcW w:w="654" w:type="pct"/>
            <w:tcBorders>
              <w:top w:val="nil"/>
              <w:left w:val="nil"/>
              <w:bottom w:val="single" w:sz="4" w:space="0" w:color="auto"/>
              <w:right w:val="single" w:sz="8" w:space="0" w:color="auto"/>
            </w:tcBorders>
            <w:shd w:val="clear" w:color="auto" w:fill="auto"/>
            <w:noWrap/>
            <w:vAlign w:val="bottom"/>
            <w:hideMark/>
          </w:tcPr>
          <w:p w14:paraId="66D6CF3A" w14:textId="77777777" w:rsidR="00EC2801" w:rsidRPr="00EC2801" w:rsidRDefault="00EC2801" w:rsidP="00EC2801">
            <w:pPr>
              <w:pStyle w:val="Tablas"/>
              <w:rPr>
                <w:sz w:val="18"/>
                <w:szCs w:val="18"/>
              </w:rPr>
            </w:pPr>
            <w:r w:rsidRPr="00EC2801">
              <w:rPr>
                <w:sz w:val="18"/>
                <w:szCs w:val="18"/>
              </w:rPr>
              <w:t>0.01742</w:t>
            </w:r>
          </w:p>
        </w:tc>
      </w:tr>
      <w:tr w:rsidR="00EC2801" w:rsidRPr="00EC2801" w14:paraId="6C65D7E2"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6C0E58E6" w14:textId="77777777" w:rsidR="00EC2801" w:rsidRPr="00EC2801" w:rsidRDefault="00EC2801" w:rsidP="00EC2801">
            <w:pPr>
              <w:pStyle w:val="Tablas"/>
              <w:rPr>
                <w:sz w:val="18"/>
                <w:szCs w:val="18"/>
              </w:rPr>
            </w:pPr>
            <w:r w:rsidRPr="00EC2801">
              <w:rPr>
                <w:sz w:val="18"/>
                <w:szCs w:val="18"/>
              </w:rPr>
              <w:t>61</w:t>
            </w:r>
          </w:p>
        </w:tc>
        <w:tc>
          <w:tcPr>
            <w:tcW w:w="722" w:type="pct"/>
            <w:tcBorders>
              <w:top w:val="nil"/>
              <w:left w:val="single" w:sz="8" w:space="0" w:color="auto"/>
              <w:bottom w:val="single" w:sz="4" w:space="0" w:color="auto"/>
              <w:right w:val="nil"/>
            </w:tcBorders>
            <w:shd w:val="clear" w:color="auto" w:fill="auto"/>
            <w:noWrap/>
            <w:vAlign w:val="bottom"/>
            <w:hideMark/>
          </w:tcPr>
          <w:p w14:paraId="7D756351" w14:textId="77777777" w:rsidR="00EC2801" w:rsidRPr="00EC2801" w:rsidRDefault="00EC2801" w:rsidP="00EC2801">
            <w:pPr>
              <w:pStyle w:val="Tablas"/>
              <w:rPr>
                <w:sz w:val="18"/>
                <w:szCs w:val="18"/>
              </w:rPr>
            </w:pPr>
            <w:r w:rsidRPr="00EC2801">
              <w:rPr>
                <w:sz w:val="18"/>
                <w:szCs w:val="18"/>
              </w:rPr>
              <w:t>0.6136</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1B700CB2" w14:textId="77777777" w:rsidR="00EC2801" w:rsidRPr="00EC2801" w:rsidRDefault="00EC2801" w:rsidP="00EC2801">
            <w:pPr>
              <w:pStyle w:val="Tablas"/>
              <w:rPr>
                <w:sz w:val="18"/>
                <w:szCs w:val="18"/>
              </w:rPr>
            </w:pPr>
            <w:r w:rsidRPr="00EC2801">
              <w:rPr>
                <w:sz w:val="18"/>
                <w:szCs w:val="18"/>
              </w:rPr>
              <w:t>0.00717</w:t>
            </w:r>
          </w:p>
        </w:tc>
        <w:tc>
          <w:tcPr>
            <w:tcW w:w="574" w:type="pct"/>
            <w:tcBorders>
              <w:top w:val="nil"/>
              <w:left w:val="nil"/>
              <w:bottom w:val="single" w:sz="4" w:space="0" w:color="auto"/>
              <w:right w:val="single" w:sz="4" w:space="0" w:color="auto"/>
            </w:tcBorders>
            <w:shd w:val="clear" w:color="auto" w:fill="auto"/>
            <w:noWrap/>
            <w:vAlign w:val="bottom"/>
            <w:hideMark/>
          </w:tcPr>
          <w:p w14:paraId="34A3BC4A" w14:textId="77777777" w:rsidR="00EC2801" w:rsidRPr="00EC2801" w:rsidRDefault="00EC2801" w:rsidP="00EC2801">
            <w:pPr>
              <w:pStyle w:val="Tablas"/>
              <w:rPr>
                <w:sz w:val="18"/>
                <w:szCs w:val="18"/>
              </w:rPr>
            </w:pPr>
            <w:r w:rsidRPr="00EC2801">
              <w:rPr>
                <w:sz w:val="18"/>
                <w:szCs w:val="18"/>
              </w:rPr>
              <w:t>0.00110</w:t>
            </w:r>
          </w:p>
        </w:tc>
        <w:tc>
          <w:tcPr>
            <w:tcW w:w="654" w:type="pct"/>
            <w:tcBorders>
              <w:top w:val="nil"/>
              <w:left w:val="nil"/>
              <w:bottom w:val="single" w:sz="4" w:space="0" w:color="auto"/>
              <w:right w:val="single" w:sz="8" w:space="0" w:color="auto"/>
            </w:tcBorders>
            <w:shd w:val="clear" w:color="auto" w:fill="auto"/>
            <w:noWrap/>
            <w:vAlign w:val="bottom"/>
            <w:hideMark/>
          </w:tcPr>
          <w:p w14:paraId="087B427F" w14:textId="77777777" w:rsidR="00EC2801" w:rsidRPr="00EC2801" w:rsidRDefault="00EC2801" w:rsidP="00EC2801">
            <w:pPr>
              <w:pStyle w:val="Tablas"/>
              <w:rPr>
                <w:sz w:val="18"/>
                <w:szCs w:val="18"/>
              </w:rPr>
            </w:pPr>
            <w:r w:rsidRPr="00EC2801">
              <w:rPr>
                <w:sz w:val="18"/>
                <w:szCs w:val="18"/>
              </w:rPr>
              <w:t>0.02835</w:t>
            </w:r>
          </w:p>
        </w:tc>
        <w:tc>
          <w:tcPr>
            <w:tcW w:w="717" w:type="pct"/>
            <w:tcBorders>
              <w:top w:val="nil"/>
              <w:left w:val="nil"/>
              <w:bottom w:val="single" w:sz="4" w:space="0" w:color="auto"/>
              <w:right w:val="single" w:sz="4" w:space="0" w:color="auto"/>
            </w:tcBorders>
            <w:shd w:val="clear" w:color="auto" w:fill="auto"/>
            <w:noWrap/>
            <w:vAlign w:val="bottom"/>
            <w:hideMark/>
          </w:tcPr>
          <w:p w14:paraId="7BB2ACEB" w14:textId="77777777" w:rsidR="00EC2801" w:rsidRPr="00EC2801" w:rsidRDefault="00EC2801" w:rsidP="00EC2801">
            <w:pPr>
              <w:pStyle w:val="Tablas"/>
              <w:rPr>
                <w:sz w:val="18"/>
                <w:szCs w:val="18"/>
              </w:rPr>
            </w:pPr>
            <w:r w:rsidRPr="00EC2801">
              <w:rPr>
                <w:sz w:val="18"/>
                <w:szCs w:val="18"/>
              </w:rPr>
              <w:t>0.00388</w:t>
            </w:r>
          </w:p>
        </w:tc>
        <w:tc>
          <w:tcPr>
            <w:tcW w:w="574" w:type="pct"/>
            <w:tcBorders>
              <w:top w:val="nil"/>
              <w:left w:val="nil"/>
              <w:bottom w:val="single" w:sz="4" w:space="0" w:color="auto"/>
              <w:right w:val="single" w:sz="4" w:space="0" w:color="auto"/>
            </w:tcBorders>
            <w:shd w:val="clear" w:color="auto" w:fill="auto"/>
            <w:noWrap/>
            <w:vAlign w:val="bottom"/>
            <w:hideMark/>
          </w:tcPr>
          <w:p w14:paraId="10A0A8B6"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7E7512F9" w14:textId="77777777" w:rsidR="00EC2801" w:rsidRPr="00EC2801" w:rsidRDefault="00EC2801" w:rsidP="00EC2801">
            <w:pPr>
              <w:pStyle w:val="Tablas"/>
              <w:rPr>
                <w:sz w:val="18"/>
                <w:szCs w:val="18"/>
              </w:rPr>
            </w:pPr>
            <w:r w:rsidRPr="00EC2801">
              <w:rPr>
                <w:sz w:val="18"/>
                <w:szCs w:val="18"/>
              </w:rPr>
              <w:t>0.01841</w:t>
            </w:r>
          </w:p>
        </w:tc>
      </w:tr>
      <w:tr w:rsidR="00EC2801" w:rsidRPr="00EC2801" w14:paraId="67B65C32"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1A17FC01" w14:textId="77777777" w:rsidR="00EC2801" w:rsidRPr="00EC2801" w:rsidRDefault="00EC2801" w:rsidP="00EC2801">
            <w:pPr>
              <w:pStyle w:val="Tablas"/>
              <w:rPr>
                <w:sz w:val="18"/>
                <w:szCs w:val="18"/>
              </w:rPr>
            </w:pPr>
            <w:r w:rsidRPr="00EC2801">
              <w:rPr>
                <w:sz w:val="18"/>
                <w:szCs w:val="18"/>
              </w:rPr>
              <w:t>62</w:t>
            </w:r>
          </w:p>
        </w:tc>
        <w:tc>
          <w:tcPr>
            <w:tcW w:w="722" w:type="pct"/>
            <w:tcBorders>
              <w:top w:val="nil"/>
              <w:left w:val="single" w:sz="8" w:space="0" w:color="auto"/>
              <w:bottom w:val="single" w:sz="4" w:space="0" w:color="auto"/>
              <w:right w:val="nil"/>
            </w:tcBorders>
            <w:shd w:val="clear" w:color="auto" w:fill="auto"/>
            <w:noWrap/>
            <w:vAlign w:val="bottom"/>
            <w:hideMark/>
          </w:tcPr>
          <w:p w14:paraId="252B726E" w14:textId="77777777" w:rsidR="00EC2801" w:rsidRPr="00EC2801" w:rsidRDefault="00EC2801" w:rsidP="00EC2801">
            <w:pPr>
              <w:pStyle w:val="Tablas"/>
              <w:rPr>
                <w:sz w:val="18"/>
                <w:szCs w:val="18"/>
              </w:rPr>
            </w:pPr>
            <w:r w:rsidRPr="00EC2801">
              <w:rPr>
                <w:sz w:val="18"/>
                <w:szCs w:val="18"/>
              </w:rPr>
              <w:t>0.6035</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0ED1A50E" w14:textId="77777777" w:rsidR="00EC2801" w:rsidRPr="00EC2801" w:rsidRDefault="00EC2801" w:rsidP="00EC2801">
            <w:pPr>
              <w:pStyle w:val="Tablas"/>
              <w:rPr>
                <w:sz w:val="18"/>
                <w:szCs w:val="18"/>
              </w:rPr>
            </w:pPr>
            <w:r w:rsidRPr="00EC2801">
              <w:rPr>
                <w:sz w:val="18"/>
                <w:szCs w:val="18"/>
              </w:rPr>
              <w:t>0.00777</w:t>
            </w:r>
          </w:p>
        </w:tc>
        <w:tc>
          <w:tcPr>
            <w:tcW w:w="574" w:type="pct"/>
            <w:tcBorders>
              <w:top w:val="nil"/>
              <w:left w:val="nil"/>
              <w:bottom w:val="single" w:sz="4" w:space="0" w:color="auto"/>
              <w:right w:val="single" w:sz="4" w:space="0" w:color="auto"/>
            </w:tcBorders>
            <w:shd w:val="clear" w:color="auto" w:fill="auto"/>
            <w:noWrap/>
            <w:vAlign w:val="bottom"/>
            <w:hideMark/>
          </w:tcPr>
          <w:p w14:paraId="1BB5BB51" w14:textId="77777777" w:rsidR="00EC2801" w:rsidRPr="00EC2801" w:rsidRDefault="00EC2801" w:rsidP="00EC2801">
            <w:pPr>
              <w:pStyle w:val="Tablas"/>
              <w:rPr>
                <w:sz w:val="18"/>
                <w:szCs w:val="18"/>
              </w:rPr>
            </w:pPr>
            <w:r w:rsidRPr="00EC2801">
              <w:rPr>
                <w:sz w:val="18"/>
                <w:szCs w:val="18"/>
              </w:rPr>
              <w:t>0.00075</w:t>
            </w:r>
          </w:p>
        </w:tc>
        <w:tc>
          <w:tcPr>
            <w:tcW w:w="654" w:type="pct"/>
            <w:tcBorders>
              <w:top w:val="nil"/>
              <w:left w:val="nil"/>
              <w:bottom w:val="single" w:sz="4" w:space="0" w:color="auto"/>
              <w:right w:val="single" w:sz="8" w:space="0" w:color="auto"/>
            </w:tcBorders>
            <w:shd w:val="clear" w:color="auto" w:fill="auto"/>
            <w:noWrap/>
            <w:vAlign w:val="bottom"/>
            <w:hideMark/>
          </w:tcPr>
          <w:p w14:paraId="25DFD2DE" w14:textId="77777777" w:rsidR="00EC2801" w:rsidRPr="00EC2801" w:rsidRDefault="00EC2801" w:rsidP="00EC2801">
            <w:pPr>
              <w:pStyle w:val="Tablas"/>
              <w:rPr>
                <w:sz w:val="18"/>
                <w:szCs w:val="18"/>
              </w:rPr>
            </w:pPr>
            <w:r w:rsidRPr="00EC2801">
              <w:rPr>
                <w:sz w:val="18"/>
                <w:szCs w:val="18"/>
              </w:rPr>
              <w:t>0.02972</w:t>
            </w:r>
          </w:p>
        </w:tc>
        <w:tc>
          <w:tcPr>
            <w:tcW w:w="717" w:type="pct"/>
            <w:tcBorders>
              <w:top w:val="nil"/>
              <w:left w:val="nil"/>
              <w:bottom w:val="single" w:sz="4" w:space="0" w:color="auto"/>
              <w:right w:val="single" w:sz="4" w:space="0" w:color="auto"/>
            </w:tcBorders>
            <w:shd w:val="clear" w:color="auto" w:fill="auto"/>
            <w:noWrap/>
            <w:vAlign w:val="bottom"/>
            <w:hideMark/>
          </w:tcPr>
          <w:p w14:paraId="16A94A38" w14:textId="77777777" w:rsidR="00EC2801" w:rsidRPr="00EC2801" w:rsidRDefault="00EC2801" w:rsidP="00EC2801">
            <w:pPr>
              <w:pStyle w:val="Tablas"/>
              <w:rPr>
                <w:sz w:val="18"/>
                <w:szCs w:val="18"/>
              </w:rPr>
            </w:pPr>
            <w:r w:rsidRPr="00EC2801">
              <w:rPr>
                <w:sz w:val="18"/>
                <w:szCs w:val="18"/>
              </w:rPr>
              <w:t>0.00426</w:t>
            </w:r>
          </w:p>
        </w:tc>
        <w:tc>
          <w:tcPr>
            <w:tcW w:w="574" w:type="pct"/>
            <w:tcBorders>
              <w:top w:val="nil"/>
              <w:left w:val="nil"/>
              <w:bottom w:val="single" w:sz="4" w:space="0" w:color="auto"/>
              <w:right w:val="single" w:sz="4" w:space="0" w:color="auto"/>
            </w:tcBorders>
            <w:shd w:val="clear" w:color="auto" w:fill="auto"/>
            <w:noWrap/>
            <w:vAlign w:val="bottom"/>
            <w:hideMark/>
          </w:tcPr>
          <w:p w14:paraId="77910954"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121FC432" w14:textId="77777777" w:rsidR="00EC2801" w:rsidRPr="00EC2801" w:rsidRDefault="00EC2801" w:rsidP="00EC2801">
            <w:pPr>
              <w:pStyle w:val="Tablas"/>
              <w:rPr>
                <w:sz w:val="18"/>
                <w:szCs w:val="18"/>
              </w:rPr>
            </w:pPr>
            <w:r w:rsidRPr="00EC2801">
              <w:rPr>
                <w:sz w:val="18"/>
                <w:szCs w:val="18"/>
              </w:rPr>
              <w:t>0.01946</w:t>
            </w:r>
          </w:p>
        </w:tc>
      </w:tr>
      <w:tr w:rsidR="00EC2801" w:rsidRPr="00EC2801" w14:paraId="03AB1BBF"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9FBE68B" w14:textId="77777777" w:rsidR="00EC2801" w:rsidRPr="00EC2801" w:rsidRDefault="00EC2801" w:rsidP="00EC2801">
            <w:pPr>
              <w:pStyle w:val="Tablas"/>
              <w:rPr>
                <w:sz w:val="18"/>
                <w:szCs w:val="18"/>
              </w:rPr>
            </w:pPr>
            <w:r w:rsidRPr="00EC2801">
              <w:rPr>
                <w:sz w:val="18"/>
                <w:szCs w:val="18"/>
              </w:rPr>
              <w:t>63</w:t>
            </w:r>
          </w:p>
        </w:tc>
        <w:tc>
          <w:tcPr>
            <w:tcW w:w="722" w:type="pct"/>
            <w:tcBorders>
              <w:top w:val="nil"/>
              <w:left w:val="single" w:sz="8" w:space="0" w:color="auto"/>
              <w:bottom w:val="single" w:sz="4" w:space="0" w:color="auto"/>
              <w:right w:val="nil"/>
            </w:tcBorders>
            <w:shd w:val="clear" w:color="auto" w:fill="auto"/>
            <w:noWrap/>
            <w:vAlign w:val="bottom"/>
            <w:hideMark/>
          </w:tcPr>
          <w:p w14:paraId="2FC8506B" w14:textId="77777777" w:rsidR="00EC2801" w:rsidRPr="00EC2801" w:rsidRDefault="00EC2801" w:rsidP="00EC2801">
            <w:pPr>
              <w:pStyle w:val="Tablas"/>
              <w:rPr>
                <w:sz w:val="18"/>
                <w:szCs w:val="18"/>
              </w:rPr>
            </w:pPr>
            <w:r w:rsidRPr="00EC2801">
              <w:rPr>
                <w:sz w:val="18"/>
                <w:szCs w:val="18"/>
              </w:rPr>
              <w:t>0.5924</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32C1DE41" w14:textId="77777777" w:rsidR="00EC2801" w:rsidRPr="00EC2801" w:rsidRDefault="00EC2801" w:rsidP="00EC2801">
            <w:pPr>
              <w:pStyle w:val="Tablas"/>
              <w:rPr>
                <w:sz w:val="18"/>
                <w:szCs w:val="18"/>
              </w:rPr>
            </w:pPr>
            <w:r w:rsidRPr="00EC2801">
              <w:rPr>
                <w:sz w:val="18"/>
                <w:szCs w:val="18"/>
              </w:rPr>
              <w:t>0.00845</w:t>
            </w:r>
          </w:p>
        </w:tc>
        <w:tc>
          <w:tcPr>
            <w:tcW w:w="574" w:type="pct"/>
            <w:tcBorders>
              <w:top w:val="nil"/>
              <w:left w:val="nil"/>
              <w:bottom w:val="single" w:sz="4" w:space="0" w:color="auto"/>
              <w:right w:val="single" w:sz="4" w:space="0" w:color="auto"/>
            </w:tcBorders>
            <w:shd w:val="clear" w:color="auto" w:fill="auto"/>
            <w:noWrap/>
            <w:vAlign w:val="bottom"/>
            <w:hideMark/>
          </w:tcPr>
          <w:p w14:paraId="52784518" w14:textId="77777777" w:rsidR="00EC2801" w:rsidRPr="00EC2801" w:rsidRDefault="00EC2801" w:rsidP="00EC2801">
            <w:pPr>
              <w:pStyle w:val="Tablas"/>
              <w:rPr>
                <w:sz w:val="18"/>
                <w:szCs w:val="18"/>
              </w:rPr>
            </w:pPr>
            <w:r w:rsidRPr="00EC2801">
              <w:rPr>
                <w:sz w:val="18"/>
                <w:szCs w:val="18"/>
              </w:rPr>
              <w:t>0.00036</w:t>
            </w:r>
          </w:p>
        </w:tc>
        <w:tc>
          <w:tcPr>
            <w:tcW w:w="654" w:type="pct"/>
            <w:tcBorders>
              <w:top w:val="nil"/>
              <w:left w:val="nil"/>
              <w:bottom w:val="single" w:sz="4" w:space="0" w:color="auto"/>
              <w:right w:val="single" w:sz="8" w:space="0" w:color="auto"/>
            </w:tcBorders>
            <w:shd w:val="clear" w:color="auto" w:fill="auto"/>
            <w:noWrap/>
            <w:vAlign w:val="bottom"/>
            <w:hideMark/>
          </w:tcPr>
          <w:p w14:paraId="6AFF8F9E" w14:textId="77777777" w:rsidR="00EC2801" w:rsidRPr="00EC2801" w:rsidRDefault="00EC2801" w:rsidP="00EC2801">
            <w:pPr>
              <w:pStyle w:val="Tablas"/>
              <w:rPr>
                <w:sz w:val="18"/>
                <w:szCs w:val="18"/>
              </w:rPr>
            </w:pPr>
            <w:r w:rsidRPr="00EC2801">
              <w:rPr>
                <w:sz w:val="18"/>
                <w:szCs w:val="18"/>
              </w:rPr>
              <w:t>0.03115</w:t>
            </w:r>
          </w:p>
        </w:tc>
        <w:tc>
          <w:tcPr>
            <w:tcW w:w="717" w:type="pct"/>
            <w:tcBorders>
              <w:top w:val="nil"/>
              <w:left w:val="nil"/>
              <w:bottom w:val="single" w:sz="4" w:space="0" w:color="auto"/>
              <w:right w:val="single" w:sz="4" w:space="0" w:color="auto"/>
            </w:tcBorders>
            <w:shd w:val="clear" w:color="auto" w:fill="auto"/>
            <w:noWrap/>
            <w:vAlign w:val="bottom"/>
            <w:hideMark/>
          </w:tcPr>
          <w:p w14:paraId="6935A1CC" w14:textId="77777777" w:rsidR="00EC2801" w:rsidRPr="00EC2801" w:rsidRDefault="00EC2801" w:rsidP="00EC2801">
            <w:pPr>
              <w:pStyle w:val="Tablas"/>
              <w:rPr>
                <w:sz w:val="18"/>
                <w:szCs w:val="18"/>
              </w:rPr>
            </w:pPr>
            <w:r w:rsidRPr="00EC2801">
              <w:rPr>
                <w:sz w:val="18"/>
                <w:szCs w:val="18"/>
              </w:rPr>
              <w:t>0.00466</w:t>
            </w:r>
          </w:p>
        </w:tc>
        <w:tc>
          <w:tcPr>
            <w:tcW w:w="574" w:type="pct"/>
            <w:tcBorders>
              <w:top w:val="nil"/>
              <w:left w:val="nil"/>
              <w:bottom w:val="single" w:sz="4" w:space="0" w:color="auto"/>
              <w:right w:val="single" w:sz="4" w:space="0" w:color="auto"/>
            </w:tcBorders>
            <w:shd w:val="clear" w:color="auto" w:fill="auto"/>
            <w:noWrap/>
            <w:vAlign w:val="bottom"/>
            <w:hideMark/>
          </w:tcPr>
          <w:p w14:paraId="498D039F"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41D0D5E9" w14:textId="77777777" w:rsidR="00EC2801" w:rsidRPr="00EC2801" w:rsidRDefault="00EC2801" w:rsidP="00EC2801">
            <w:pPr>
              <w:pStyle w:val="Tablas"/>
              <w:rPr>
                <w:sz w:val="18"/>
                <w:szCs w:val="18"/>
              </w:rPr>
            </w:pPr>
            <w:r w:rsidRPr="00EC2801">
              <w:rPr>
                <w:sz w:val="18"/>
                <w:szCs w:val="18"/>
              </w:rPr>
              <w:t>0.02057</w:t>
            </w:r>
          </w:p>
        </w:tc>
      </w:tr>
      <w:tr w:rsidR="00EC2801" w:rsidRPr="00EC2801" w14:paraId="4773F24F" w14:textId="77777777" w:rsidTr="00EC2801">
        <w:trPr>
          <w:trHeight w:val="285"/>
        </w:trPr>
        <w:tc>
          <w:tcPr>
            <w:tcW w:w="388" w:type="pct"/>
            <w:tcBorders>
              <w:top w:val="nil"/>
              <w:left w:val="single" w:sz="8" w:space="0" w:color="auto"/>
              <w:bottom w:val="single" w:sz="4" w:space="0" w:color="auto"/>
              <w:right w:val="nil"/>
            </w:tcBorders>
            <w:shd w:val="clear" w:color="auto" w:fill="auto"/>
            <w:noWrap/>
            <w:vAlign w:val="bottom"/>
            <w:hideMark/>
          </w:tcPr>
          <w:p w14:paraId="56542888" w14:textId="77777777" w:rsidR="00EC2801" w:rsidRPr="00EC2801" w:rsidRDefault="00EC2801" w:rsidP="00EC2801">
            <w:pPr>
              <w:pStyle w:val="Tablas"/>
              <w:rPr>
                <w:sz w:val="18"/>
                <w:szCs w:val="18"/>
              </w:rPr>
            </w:pPr>
            <w:r w:rsidRPr="00EC2801">
              <w:rPr>
                <w:sz w:val="18"/>
                <w:szCs w:val="18"/>
              </w:rPr>
              <w:t>64</w:t>
            </w:r>
          </w:p>
        </w:tc>
        <w:tc>
          <w:tcPr>
            <w:tcW w:w="722" w:type="pct"/>
            <w:tcBorders>
              <w:top w:val="nil"/>
              <w:left w:val="single" w:sz="8" w:space="0" w:color="auto"/>
              <w:bottom w:val="single" w:sz="4" w:space="0" w:color="auto"/>
              <w:right w:val="nil"/>
            </w:tcBorders>
            <w:shd w:val="clear" w:color="auto" w:fill="auto"/>
            <w:noWrap/>
            <w:vAlign w:val="bottom"/>
            <w:hideMark/>
          </w:tcPr>
          <w:p w14:paraId="75A3C172" w14:textId="77777777" w:rsidR="00EC2801" w:rsidRPr="00EC2801" w:rsidRDefault="00EC2801" w:rsidP="00EC2801">
            <w:pPr>
              <w:pStyle w:val="Tablas"/>
              <w:rPr>
                <w:sz w:val="18"/>
                <w:szCs w:val="18"/>
              </w:rPr>
            </w:pPr>
            <w:r w:rsidRPr="00EC2801">
              <w:rPr>
                <w:sz w:val="18"/>
                <w:szCs w:val="18"/>
              </w:rPr>
              <w:t>0.5801</w:t>
            </w:r>
          </w:p>
        </w:tc>
        <w:tc>
          <w:tcPr>
            <w:tcW w:w="717" w:type="pct"/>
            <w:tcBorders>
              <w:top w:val="nil"/>
              <w:left w:val="single" w:sz="8" w:space="0" w:color="auto"/>
              <w:bottom w:val="single" w:sz="4" w:space="0" w:color="auto"/>
              <w:right w:val="single" w:sz="4" w:space="0" w:color="auto"/>
            </w:tcBorders>
            <w:shd w:val="clear" w:color="auto" w:fill="auto"/>
            <w:noWrap/>
            <w:vAlign w:val="bottom"/>
            <w:hideMark/>
          </w:tcPr>
          <w:p w14:paraId="26411CAA" w14:textId="77777777" w:rsidR="00EC2801" w:rsidRPr="00EC2801" w:rsidRDefault="00EC2801" w:rsidP="00EC2801">
            <w:pPr>
              <w:pStyle w:val="Tablas"/>
              <w:rPr>
                <w:sz w:val="18"/>
                <w:szCs w:val="18"/>
              </w:rPr>
            </w:pPr>
            <w:r w:rsidRPr="00EC2801">
              <w:rPr>
                <w:sz w:val="18"/>
                <w:szCs w:val="18"/>
              </w:rPr>
              <w:t>0.00917</w:t>
            </w:r>
          </w:p>
        </w:tc>
        <w:tc>
          <w:tcPr>
            <w:tcW w:w="574" w:type="pct"/>
            <w:tcBorders>
              <w:top w:val="nil"/>
              <w:left w:val="nil"/>
              <w:bottom w:val="single" w:sz="4" w:space="0" w:color="auto"/>
              <w:right w:val="single" w:sz="4" w:space="0" w:color="auto"/>
            </w:tcBorders>
            <w:shd w:val="clear" w:color="auto" w:fill="auto"/>
            <w:noWrap/>
            <w:vAlign w:val="bottom"/>
            <w:hideMark/>
          </w:tcPr>
          <w:p w14:paraId="2AF56F1D" w14:textId="77777777" w:rsidR="00EC2801" w:rsidRPr="00EC2801" w:rsidRDefault="00EC2801" w:rsidP="00EC2801">
            <w:pPr>
              <w:pStyle w:val="Tablas"/>
              <w:rPr>
                <w:sz w:val="18"/>
                <w:szCs w:val="18"/>
              </w:rPr>
            </w:pPr>
            <w:r w:rsidRPr="00EC2801">
              <w:rPr>
                <w:sz w:val="18"/>
                <w:szCs w:val="18"/>
              </w:rPr>
              <w:t>0.00007</w:t>
            </w:r>
          </w:p>
        </w:tc>
        <w:tc>
          <w:tcPr>
            <w:tcW w:w="654" w:type="pct"/>
            <w:tcBorders>
              <w:top w:val="nil"/>
              <w:left w:val="nil"/>
              <w:bottom w:val="single" w:sz="4" w:space="0" w:color="auto"/>
              <w:right w:val="single" w:sz="8" w:space="0" w:color="auto"/>
            </w:tcBorders>
            <w:shd w:val="clear" w:color="auto" w:fill="auto"/>
            <w:noWrap/>
            <w:vAlign w:val="bottom"/>
            <w:hideMark/>
          </w:tcPr>
          <w:p w14:paraId="24B47EB5" w14:textId="77777777" w:rsidR="00EC2801" w:rsidRPr="00EC2801" w:rsidRDefault="00EC2801" w:rsidP="00EC2801">
            <w:pPr>
              <w:pStyle w:val="Tablas"/>
              <w:rPr>
                <w:sz w:val="18"/>
                <w:szCs w:val="18"/>
              </w:rPr>
            </w:pPr>
            <w:r w:rsidRPr="00EC2801">
              <w:rPr>
                <w:sz w:val="18"/>
                <w:szCs w:val="18"/>
              </w:rPr>
              <w:t>0.03265</w:t>
            </w:r>
          </w:p>
        </w:tc>
        <w:tc>
          <w:tcPr>
            <w:tcW w:w="717" w:type="pct"/>
            <w:tcBorders>
              <w:top w:val="nil"/>
              <w:left w:val="nil"/>
              <w:bottom w:val="single" w:sz="4" w:space="0" w:color="auto"/>
              <w:right w:val="single" w:sz="4" w:space="0" w:color="auto"/>
            </w:tcBorders>
            <w:shd w:val="clear" w:color="auto" w:fill="auto"/>
            <w:noWrap/>
            <w:vAlign w:val="bottom"/>
            <w:hideMark/>
          </w:tcPr>
          <w:p w14:paraId="3B6DB10F" w14:textId="77777777" w:rsidR="00EC2801" w:rsidRPr="00EC2801" w:rsidRDefault="00EC2801" w:rsidP="00EC2801">
            <w:pPr>
              <w:pStyle w:val="Tablas"/>
              <w:rPr>
                <w:sz w:val="18"/>
                <w:szCs w:val="18"/>
              </w:rPr>
            </w:pPr>
            <w:r w:rsidRPr="00EC2801">
              <w:rPr>
                <w:sz w:val="18"/>
                <w:szCs w:val="18"/>
              </w:rPr>
              <w:t>0.00508</w:t>
            </w:r>
          </w:p>
        </w:tc>
        <w:tc>
          <w:tcPr>
            <w:tcW w:w="574" w:type="pct"/>
            <w:tcBorders>
              <w:top w:val="nil"/>
              <w:left w:val="nil"/>
              <w:bottom w:val="single" w:sz="4" w:space="0" w:color="auto"/>
              <w:right w:val="single" w:sz="4" w:space="0" w:color="auto"/>
            </w:tcBorders>
            <w:shd w:val="clear" w:color="auto" w:fill="auto"/>
            <w:noWrap/>
            <w:vAlign w:val="bottom"/>
            <w:hideMark/>
          </w:tcPr>
          <w:p w14:paraId="7A2E54FA"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4" w:space="0" w:color="auto"/>
              <w:right w:val="single" w:sz="8" w:space="0" w:color="auto"/>
            </w:tcBorders>
            <w:shd w:val="clear" w:color="auto" w:fill="auto"/>
            <w:noWrap/>
            <w:vAlign w:val="bottom"/>
            <w:hideMark/>
          </w:tcPr>
          <w:p w14:paraId="5E7EF46D" w14:textId="77777777" w:rsidR="00EC2801" w:rsidRPr="00EC2801" w:rsidRDefault="00EC2801" w:rsidP="00EC2801">
            <w:pPr>
              <w:pStyle w:val="Tablas"/>
              <w:rPr>
                <w:sz w:val="18"/>
                <w:szCs w:val="18"/>
              </w:rPr>
            </w:pPr>
            <w:r w:rsidRPr="00EC2801">
              <w:rPr>
                <w:sz w:val="18"/>
                <w:szCs w:val="18"/>
              </w:rPr>
              <w:t>0.02174</w:t>
            </w:r>
          </w:p>
        </w:tc>
      </w:tr>
      <w:tr w:rsidR="00EC2801" w:rsidRPr="00EC2801" w14:paraId="26C4263C" w14:textId="77777777" w:rsidTr="00EC2801">
        <w:trPr>
          <w:trHeight w:val="293"/>
        </w:trPr>
        <w:tc>
          <w:tcPr>
            <w:tcW w:w="388" w:type="pct"/>
            <w:tcBorders>
              <w:top w:val="nil"/>
              <w:left w:val="single" w:sz="8" w:space="0" w:color="auto"/>
              <w:bottom w:val="single" w:sz="8" w:space="0" w:color="auto"/>
              <w:right w:val="nil"/>
            </w:tcBorders>
            <w:shd w:val="clear" w:color="auto" w:fill="auto"/>
            <w:noWrap/>
            <w:vAlign w:val="bottom"/>
            <w:hideMark/>
          </w:tcPr>
          <w:p w14:paraId="46238C14" w14:textId="77777777" w:rsidR="00EC2801" w:rsidRPr="00EC2801" w:rsidRDefault="00EC2801" w:rsidP="00EC2801">
            <w:pPr>
              <w:pStyle w:val="Tablas"/>
              <w:rPr>
                <w:sz w:val="18"/>
                <w:szCs w:val="18"/>
              </w:rPr>
            </w:pPr>
            <w:r w:rsidRPr="00EC2801">
              <w:rPr>
                <w:sz w:val="18"/>
                <w:szCs w:val="18"/>
              </w:rPr>
              <w:t>65</w:t>
            </w:r>
          </w:p>
        </w:tc>
        <w:tc>
          <w:tcPr>
            <w:tcW w:w="722" w:type="pct"/>
            <w:tcBorders>
              <w:top w:val="nil"/>
              <w:left w:val="single" w:sz="8" w:space="0" w:color="auto"/>
              <w:bottom w:val="single" w:sz="8" w:space="0" w:color="auto"/>
              <w:right w:val="nil"/>
            </w:tcBorders>
            <w:shd w:val="clear" w:color="auto" w:fill="auto"/>
            <w:noWrap/>
            <w:vAlign w:val="bottom"/>
            <w:hideMark/>
          </w:tcPr>
          <w:p w14:paraId="5CC1AAC3" w14:textId="77777777" w:rsidR="00EC2801" w:rsidRPr="00EC2801" w:rsidRDefault="00EC2801" w:rsidP="00EC2801">
            <w:pPr>
              <w:pStyle w:val="Tablas"/>
              <w:rPr>
                <w:sz w:val="18"/>
                <w:szCs w:val="18"/>
              </w:rPr>
            </w:pPr>
            <w:r w:rsidRPr="00EC2801">
              <w:rPr>
                <w:sz w:val="18"/>
                <w:szCs w:val="18"/>
              </w:rPr>
              <w:t>0.5668</w:t>
            </w:r>
          </w:p>
        </w:tc>
        <w:tc>
          <w:tcPr>
            <w:tcW w:w="717" w:type="pct"/>
            <w:tcBorders>
              <w:top w:val="nil"/>
              <w:left w:val="single" w:sz="8" w:space="0" w:color="auto"/>
              <w:bottom w:val="single" w:sz="8" w:space="0" w:color="auto"/>
              <w:right w:val="single" w:sz="4" w:space="0" w:color="auto"/>
            </w:tcBorders>
            <w:shd w:val="clear" w:color="auto" w:fill="auto"/>
            <w:noWrap/>
            <w:vAlign w:val="bottom"/>
            <w:hideMark/>
          </w:tcPr>
          <w:p w14:paraId="0CC0F055" w14:textId="77777777" w:rsidR="00EC2801" w:rsidRPr="00EC2801" w:rsidRDefault="00EC2801" w:rsidP="00EC2801">
            <w:pPr>
              <w:pStyle w:val="Tablas"/>
              <w:rPr>
                <w:sz w:val="18"/>
                <w:szCs w:val="18"/>
              </w:rPr>
            </w:pPr>
            <w:r w:rsidRPr="00EC2801">
              <w:rPr>
                <w:sz w:val="18"/>
                <w:szCs w:val="18"/>
              </w:rPr>
              <w:t>0.00997</w:t>
            </w:r>
          </w:p>
        </w:tc>
        <w:tc>
          <w:tcPr>
            <w:tcW w:w="574" w:type="pct"/>
            <w:tcBorders>
              <w:top w:val="nil"/>
              <w:left w:val="nil"/>
              <w:bottom w:val="single" w:sz="8" w:space="0" w:color="auto"/>
              <w:right w:val="single" w:sz="4" w:space="0" w:color="auto"/>
            </w:tcBorders>
            <w:shd w:val="clear" w:color="auto" w:fill="auto"/>
            <w:noWrap/>
            <w:vAlign w:val="bottom"/>
            <w:hideMark/>
          </w:tcPr>
          <w:p w14:paraId="60D09929"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8" w:space="0" w:color="auto"/>
              <w:right w:val="single" w:sz="8" w:space="0" w:color="auto"/>
            </w:tcBorders>
            <w:shd w:val="clear" w:color="auto" w:fill="auto"/>
            <w:noWrap/>
            <w:vAlign w:val="bottom"/>
            <w:hideMark/>
          </w:tcPr>
          <w:p w14:paraId="3D90A125" w14:textId="77777777" w:rsidR="00EC2801" w:rsidRPr="00EC2801" w:rsidRDefault="00EC2801" w:rsidP="00EC2801">
            <w:pPr>
              <w:pStyle w:val="Tablas"/>
              <w:rPr>
                <w:sz w:val="18"/>
                <w:szCs w:val="18"/>
              </w:rPr>
            </w:pPr>
            <w:r w:rsidRPr="00EC2801">
              <w:rPr>
                <w:sz w:val="18"/>
                <w:szCs w:val="18"/>
              </w:rPr>
              <w:t>0.03422</w:t>
            </w:r>
          </w:p>
        </w:tc>
        <w:tc>
          <w:tcPr>
            <w:tcW w:w="717" w:type="pct"/>
            <w:tcBorders>
              <w:top w:val="nil"/>
              <w:left w:val="nil"/>
              <w:bottom w:val="single" w:sz="8" w:space="0" w:color="auto"/>
              <w:right w:val="single" w:sz="4" w:space="0" w:color="auto"/>
            </w:tcBorders>
            <w:shd w:val="clear" w:color="auto" w:fill="auto"/>
            <w:noWrap/>
            <w:vAlign w:val="bottom"/>
            <w:hideMark/>
          </w:tcPr>
          <w:p w14:paraId="7082EDD1" w14:textId="77777777" w:rsidR="00EC2801" w:rsidRPr="00EC2801" w:rsidRDefault="00EC2801" w:rsidP="00EC2801">
            <w:pPr>
              <w:pStyle w:val="Tablas"/>
              <w:rPr>
                <w:sz w:val="18"/>
                <w:szCs w:val="18"/>
              </w:rPr>
            </w:pPr>
            <w:r w:rsidRPr="00EC2801">
              <w:rPr>
                <w:sz w:val="18"/>
                <w:szCs w:val="18"/>
              </w:rPr>
              <w:t>0.00555</w:t>
            </w:r>
          </w:p>
        </w:tc>
        <w:tc>
          <w:tcPr>
            <w:tcW w:w="574" w:type="pct"/>
            <w:tcBorders>
              <w:top w:val="nil"/>
              <w:left w:val="nil"/>
              <w:bottom w:val="single" w:sz="8" w:space="0" w:color="auto"/>
              <w:right w:val="single" w:sz="4" w:space="0" w:color="auto"/>
            </w:tcBorders>
            <w:shd w:val="clear" w:color="auto" w:fill="auto"/>
            <w:noWrap/>
            <w:vAlign w:val="bottom"/>
            <w:hideMark/>
          </w:tcPr>
          <w:p w14:paraId="69EA61E9" w14:textId="77777777" w:rsidR="00EC2801" w:rsidRPr="00EC2801" w:rsidRDefault="00EC2801" w:rsidP="00EC2801">
            <w:pPr>
              <w:pStyle w:val="Tablas"/>
              <w:rPr>
                <w:sz w:val="18"/>
                <w:szCs w:val="18"/>
              </w:rPr>
            </w:pPr>
            <w:r w:rsidRPr="00EC2801">
              <w:rPr>
                <w:sz w:val="18"/>
                <w:szCs w:val="18"/>
              </w:rPr>
              <w:t>0.00000</w:t>
            </w:r>
          </w:p>
        </w:tc>
        <w:tc>
          <w:tcPr>
            <w:tcW w:w="654" w:type="pct"/>
            <w:tcBorders>
              <w:top w:val="nil"/>
              <w:left w:val="nil"/>
              <w:bottom w:val="single" w:sz="8" w:space="0" w:color="auto"/>
              <w:right w:val="single" w:sz="8" w:space="0" w:color="auto"/>
            </w:tcBorders>
            <w:shd w:val="clear" w:color="auto" w:fill="auto"/>
            <w:noWrap/>
            <w:vAlign w:val="bottom"/>
            <w:hideMark/>
          </w:tcPr>
          <w:p w14:paraId="5FBB1291" w14:textId="77777777" w:rsidR="00EC2801" w:rsidRPr="00EC2801" w:rsidRDefault="00EC2801" w:rsidP="00EC2801">
            <w:pPr>
              <w:pStyle w:val="Tablas"/>
              <w:rPr>
                <w:sz w:val="18"/>
                <w:szCs w:val="18"/>
              </w:rPr>
            </w:pPr>
            <w:r w:rsidRPr="00EC2801">
              <w:rPr>
                <w:sz w:val="18"/>
                <w:szCs w:val="18"/>
              </w:rPr>
              <w:t>0.02298</w:t>
            </w:r>
          </w:p>
        </w:tc>
      </w:tr>
    </w:tbl>
    <w:p w14:paraId="28203C2D" w14:textId="77777777" w:rsidR="00084D4E" w:rsidRPr="00C56EC9" w:rsidRDefault="00084D4E" w:rsidP="001C291D">
      <w:pPr>
        <w:rPr>
          <w:lang w:val="es-419"/>
        </w:rPr>
      </w:pPr>
    </w:p>
    <w:p w14:paraId="270EB709" w14:textId="141EDE62" w:rsidR="004C3EA9" w:rsidRPr="00C56EC9" w:rsidRDefault="005C708C" w:rsidP="00AB47C8">
      <w:pPr>
        <w:rPr>
          <w:b/>
          <w:bCs/>
          <w:lang w:val="es-419"/>
        </w:rPr>
      </w:pPr>
      <w:r w:rsidRPr="00C56EC9">
        <w:rPr>
          <w:b/>
          <w:bCs/>
          <w:lang w:val="es-419"/>
        </w:rPr>
        <w:t>Factores de orfandad</w:t>
      </w:r>
    </w:p>
    <w:p w14:paraId="090A13FA" w14:textId="06038225" w:rsidR="007C3AB2" w:rsidRPr="00C56EC9" w:rsidRDefault="00B40AF0" w:rsidP="00AB47C8">
      <w:pPr>
        <w:rPr>
          <w:lang w:val="es-419"/>
        </w:rPr>
      </w:pPr>
      <w:r w:rsidRPr="00C56EC9">
        <w:rPr>
          <w:lang w:val="es-419"/>
        </w:rPr>
        <w:t xml:space="preserve">La edad y el número de hijos son parámetros clave en </w:t>
      </w:r>
      <w:r w:rsidR="005D458A" w:rsidRPr="00C56EC9">
        <w:rPr>
          <w:lang w:val="es-419"/>
        </w:rPr>
        <w:t>el</w:t>
      </w:r>
      <w:r w:rsidRPr="00C56EC9">
        <w:rPr>
          <w:lang w:val="es-419"/>
        </w:rPr>
        <w:t xml:space="preserve"> modelo actuarial porque afectan la sostenibilidad, suficiencia y equidad de los sistemas de pensiones. La edad determina las contribuciones y los beneficios a lo largo del ciclo de vida, mientras que el número de hijos influye en la dinámica de dependencia económica, las pensiones de sobrevivencia y las tasas de fertilidad, que son esenciales para prever la sostenibilidad intergeneracional del sistema.</w:t>
      </w:r>
    </w:p>
    <w:p w14:paraId="5B51B20A" w14:textId="04FEDE4A" w:rsidR="00B06600" w:rsidRPr="00C56EC9" w:rsidRDefault="007C3AB2" w:rsidP="007C3AB2">
      <w:pPr>
        <w:pStyle w:val="Grfico"/>
      </w:pPr>
      <w:r w:rsidRPr="00C56EC9">
        <w:t xml:space="preserve">Tabla </w:t>
      </w:r>
      <w:r w:rsidRPr="00C56EC9">
        <w:fldChar w:fldCharType="begin"/>
      </w:r>
      <w:r w:rsidRPr="00C56EC9">
        <w:instrText xml:space="preserve"> SEQ Tabla \* ARABIC </w:instrText>
      </w:r>
      <w:r w:rsidRPr="00C56EC9">
        <w:fldChar w:fldCharType="separate"/>
      </w:r>
      <w:r w:rsidR="00B24233">
        <w:rPr>
          <w:noProof/>
        </w:rPr>
        <w:t>7</w:t>
      </w:r>
      <w:r w:rsidRPr="00C56EC9">
        <w:fldChar w:fldCharType="end"/>
      </w:r>
      <w:r w:rsidRPr="00C56EC9">
        <w:t>. Número y edad promedio de hijos para los afiliados</w:t>
      </w:r>
    </w:p>
    <w:tbl>
      <w:tblPr>
        <w:tblW w:w="8220" w:type="dxa"/>
        <w:jc w:val="center"/>
        <w:tblLook w:val="04A0" w:firstRow="1" w:lastRow="0" w:firstColumn="1" w:lastColumn="0" w:noHBand="0" w:noVBand="1"/>
      </w:tblPr>
      <w:tblGrid>
        <w:gridCol w:w="1300"/>
        <w:gridCol w:w="1480"/>
        <w:gridCol w:w="1360"/>
        <w:gridCol w:w="1360"/>
        <w:gridCol w:w="1360"/>
        <w:gridCol w:w="1360"/>
      </w:tblGrid>
      <w:tr w:rsidR="007C3AB2" w:rsidRPr="00C56EC9" w14:paraId="138197AA" w14:textId="77777777" w:rsidTr="00710F49">
        <w:trPr>
          <w:trHeight w:val="285"/>
          <w:tblHeader/>
          <w:jc w:val="center"/>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FC2E22" w14:textId="77777777" w:rsidR="007C3AB2" w:rsidRPr="00C56EC9" w:rsidRDefault="007C3AB2" w:rsidP="00204A99">
            <w:pPr>
              <w:pStyle w:val="Tablas"/>
              <w:rPr>
                <w:b/>
                <w:bCs w:val="0"/>
                <w:sz w:val="18"/>
                <w:szCs w:val="18"/>
              </w:rPr>
            </w:pPr>
            <w:r w:rsidRPr="00C56EC9">
              <w:rPr>
                <w:b/>
                <w:bCs w:val="0"/>
                <w:sz w:val="18"/>
                <w:szCs w:val="18"/>
              </w:rPr>
              <w:t>Edad</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0382ACC4" w14:textId="77777777" w:rsidR="007C3AB2" w:rsidRPr="00C56EC9" w:rsidRDefault="007C3AB2" w:rsidP="00204A99">
            <w:pPr>
              <w:pStyle w:val="Tablas"/>
              <w:rPr>
                <w:b/>
                <w:bCs w:val="0"/>
                <w:sz w:val="18"/>
                <w:szCs w:val="18"/>
              </w:rPr>
            </w:pPr>
            <w:r w:rsidRPr="00C56EC9">
              <w:rPr>
                <w:b/>
                <w:bCs w:val="0"/>
                <w:sz w:val="18"/>
                <w:szCs w:val="18"/>
              </w:rPr>
              <w:t>Número de hijos</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472A8995" w14:textId="77777777" w:rsidR="007C3AB2" w:rsidRPr="00C56EC9" w:rsidRDefault="007C3AB2" w:rsidP="00204A99">
            <w:pPr>
              <w:pStyle w:val="Tablas"/>
              <w:rPr>
                <w:b/>
                <w:bCs w:val="0"/>
                <w:sz w:val="18"/>
                <w:szCs w:val="18"/>
              </w:rPr>
            </w:pPr>
            <w:r w:rsidRPr="00C56EC9">
              <w:rPr>
                <w:b/>
                <w:bCs w:val="0"/>
                <w:sz w:val="18"/>
                <w:szCs w:val="18"/>
              </w:rPr>
              <w:t>Edad de hijos</w:t>
            </w:r>
          </w:p>
        </w:tc>
        <w:tc>
          <w:tcPr>
            <w:tcW w:w="1360" w:type="dxa"/>
            <w:tcBorders>
              <w:top w:val="single" w:sz="8" w:space="0" w:color="auto"/>
              <w:left w:val="nil"/>
              <w:bottom w:val="single" w:sz="4" w:space="0" w:color="auto"/>
              <w:right w:val="single" w:sz="4" w:space="0" w:color="auto"/>
            </w:tcBorders>
            <w:shd w:val="clear" w:color="auto" w:fill="auto"/>
            <w:noWrap/>
            <w:vAlign w:val="center"/>
            <w:hideMark/>
          </w:tcPr>
          <w:p w14:paraId="45ED03AD" w14:textId="77777777" w:rsidR="007C3AB2" w:rsidRPr="00C56EC9" w:rsidRDefault="007C3AB2" w:rsidP="00204A99">
            <w:pPr>
              <w:pStyle w:val="Tablas"/>
              <w:rPr>
                <w:b/>
                <w:bCs w:val="0"/>
                <w:sz w:val="18"/>
                <w:szCs w:val="18"/>
              </w:rPr>
            </w:pPr>
            <w:r w:rsidRPr="00C56EC9">
              <w:rPr>
                <w:b/>
                <w:bCs w:val="0"/>
                <w:sz w:val="18"/>
                <w:szCs w:val="18"/>
              </w:rPr>
              <w:t>Edad</w:t>
            </w:r>
          </w:p>
        </w:tc>
        <w:tc>
          <w:tcPr>
            <w:tcW w:w="1360" w:type="dxa"/>
            <w:tcBorders>
              <w:top w:val="single" w:sz="8" w:space="0" w:color="auto"/>
              <w:left w:val="nil"/>
              <w:bottom w:val="single" w:sz="4" w:space="0" w:color="auto"/>
              <w:right w:val="single" w:sz="4" w:space="0" w:color="auto"/>
            </w:tcBorders>
            <w:shd w:val="clear" w:color="auto" w:fill="auto"/>
            <w:noWrap/>
            <w:vAlign w:val="center"/>
            <w:hideMark/>
          </w:tcPr>
          <w:p w14:paraId="30B2E8ED" w14:textId="77777777" w:rsidR="007C3AB2" w:rsidRPr="00C56EC9" w:rsidRDefault="007C3AB2" w:rsidP="00204A99">
            <w:pPr>
              <w:pStyle w:val="Tablas"/>
              <w:rPr>
                <w:b/>
                <w:bCs w:val="0"/>
                <w:sz w:val="18"/>
                <w:szCs w:val="18"/>
              </w:rPr>
            </w:pPr>
            <w:r w:rsidRPr="00C56EC9">
              <w:rPr>
                <w:b/>
                <w:bCs w:val="0"/>
                <w:sz w:val="18"/>
                <w:szCs w:val="18"/>
              </w:rPr>
              <w:t>Número de hijos</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5A9EA736" w14:textId="77777777" w:rsidR="007C3AB2" w:rsidRPr="00C56EC9" w:rsidRDefault="007C3AB2" w:rsidP="00204A99">
            <w:pPr>
              <w:pStyle w:val="Tablas"/>
              <w:rPr>
                <w:b/>
                <w:bCs w:val="0"/>
                <w:sz w:val="18"/>
                <w:szCs w:val="18"/>
              </w:rPr>
            </w:pPr>
            <w:r w:rsidRPr="00C56EC9">
              <w:rPr>
                <w:b/>
                <w:bCs w:val="0"/>
                <w:sz w:val="18"/>
                <w:szCs w:val="18"/>
              </w:rPr>
              <w:t>Edad de hijos</w:t>
            </w:r>
          </w:p>
        </w:tc>
      </w:tr>
      <w:tr w:rsidR="007C3AB2" w:rsidRPr="00C56EC9" w14:paraId="2D0FBA72"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DA40E73" w14:textId="77777777" w:rsidR="007C3AB2" w:rsidRPr="00C56EC9" w:rsidRDefault="007C3AB2" w:rsidP="00204A99">
            <w:pPr>
              <w:pStyle w:val="Tablas"/>
              <w:rPr>
                <w:sz w:val="18"/>
                <w:szCs w:val="18"/>
              </w:rPr>
            </w:pPr>
            <w:r w:rsidRPr="00C56EC9">
              <w:rPr>
                <w:sz w:val="18"/>
                <w:szCs w:val="18"/>
              </w:rPr>
              <w:t>25</w:t>
            </w:r>
          </w:p>
        </w:tc>
        <w:tc>
          <w:tcPr>
            <w:tcW w:w="1480" w:type="dxa"/>
            <w:tcBorders>
              <w:top w:val="nil"/>
              <w:left w:val="nil"/>
              <w:bottom w:val="single" w:sz="4" w:space="0" w:color="auto"/>
              <w:right w:val="single" w:sz="4" w:space="0" w:color="auto"/>
            </w:tcBorders>
            <w:shd w:val="clear" w:color="auto" w:fill="auto"/>
            <w:noWrap/>
            <w:vAlign w:val="bottom"/>
            <w:hideMark/>
          </w:tcPr>
          <w:p w14:paraId="49CB4CBC" w14:textId="77777777" w:rsidR="007C3AB2" w:rsidRPr="00C56EC9" w:rsidRDefault="007C3AB2" w:rsidP="00204A99">
            <w:pPr>
              <w:pStyle w:val="Tablas"/>
              <w:rPr>
                <w:sz w:val="18"/>
                <w:szCs w:val="18"/>
              </w:rPr>
            </w:pPr>
            <w:r w:rsidRPr="00C56EC9">
              <w:rPr>
                <w:sz w:val="18"/>
                <w:szCs w:val="18"/>
              </w:rPr>
              <w:t>0.0380</w:t>
            </w:r>
          </w:p>
        </w:tc>
        <w:tc>
          <w:tcPr>
            <w:tcW w:w="1360" w:type="dxa"/>
            <w:tcBorders>
              <w:top w:val="nil"/>
              <w:left w:val="nil"/>
              <w:bottom w:val="single" w:sz="4" w:space="0" w:color="auto"/>
              <w:right w:val="single" w:sz="8" w:space="0" w:color="auto"/>
            </w:tcBorders>
            <w:shd w:val="clear" w:color="auto" w:fill="auto"/>
            <w:noWrap/>
            <w:vAlign w:val="bottom"/>
            <w:hideMark/>
          </w:tcPr>
          <w:p w14:paraId="174BA4FC" w14:textId="77777777" w:rsidR="007C3AB2" w:rsidRPr="00C56EC9" w:rsidRDefault="007C3AB2" w:rsidP="00204A99">
            <w:pPr>
              <w:pStyle w:val="Tablas"/>
              <w:rPr>
                <w:sz w:val="18"/>
                <w:szCs w:val="18"/>
              </w:rPr>
            </w:pPr>
            <w:r w:rsidRPr="00C56EC9">
              <w:rPr>
                <w:sz w:val="18"/>
                <w:szCs w:val="18"/>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4C052579" w14:textId="77777777" w:rsidR="007C3AB2" w:rsidRPr="00C56EC9" w:rsidRDefault="007C3AB2" w:rsidP="00204A99">
            <w:pPr>
              <w:pStyle w:val="Tablas"/>
              <w:rPr>
                <w:sz w:val="18"/>
                <w:szCs w:val="18"/>
              </w:rPr>
            </w:pPr>
            <w:r w:rsidRPr="00C56EC9">
              <w:rPr>
                <w:sz w:val="18"/>
                <w:szCs w:val="18"/>
              </w:rPr>
              <w:t>48</w:t>
            </w:r>
          </w:p>
        </w:tc>
        <w:tc>
          <w:tcPr>
            <w:tcW w:w="1360" w:type="dxa"/>
            <w:tcBorders>
              <w:top w:val="nil"/>
              <w:left w:val="nil"/>
              <w:bottom w:val="single" w:sz="4" w:space="0" w:color="auto"/>
              <w:right w:val="single" w:sz="4" w:space="0" w:color="auto"/>
            </w:tcBorders>
            <w:shd w:val="clear" w:color="auto" w:fill="auto"/>
            <w:noWrap/>
            <w:vAlign w:val="bottom"/>
            <w:hideMark/>
          </w:tcPr>
          <w:p w14:paraId="7C7B6932" w14:textId="77777777" w:rsidR="007C3AB2" w:rsidRPr="00C56EC9" w:rsidRDefault="007C3AB2" w:rsidP="00204A99">
            <w:pPr>
              <w:pStyle w:val="Tablas"/>
              <w:rPr>
                <w:sz w:val="18"/>
                <w:szCs w:val="18"/>
              </w:rPr>
            </w:pPr>
            <w:r w:rsidRPr="00C56EC9">
              <w:rPr>
                <w:sz w:val="18"/>
                <w:szCs w:val="18"/>
              </w:rPr>
              <w:t>1.0360</w:t>
            </w:r>
          </w:p>
        </w:tc>
        <w:tc>
          <w:tcPr>
            <w:tcW w:w="1360" w:type="dxa"/>
            <w:tcBorders>
              <w:top w:val="nil"/>
              <w:left w:val="nil"/>
              <w:bottom w:val="single" w:sz="4" w:space="0" w:color="auto"/>
              <w:right w:val="single" w:sz="8" w:space="0" w:color="auto"/>
            </w:tcBorders>
            <w:shd w:val="clear" w:color="auto" w:fill="auto"/>
            <w:noWrap/>
            <w:vAlign w:val="bottom"/>
            <w:hideMark/>
          </w:tcPr>
          <w:p w14:paraId="257FA5FE" w14:textId="77777777" w:rsidR="007C3AB2" w:rsidRPr="00C56EC9" w:rsidRDefault="007C3AB2" w:rsidP="00204A99">
            <w:pPr>
              <w:pStyle w:val="Tablas"/>
              <w:rPr>
                <w:sz w:val="18"/>
                <w:szCs w:val="18"/>
              </w:rPr>
            </w:pPr>
            <w:r w:rsidRPr="00C56EC9">
              <w:rPr>
                <w:sz w:val="18"/>
                <w:szCs w:val="18"/>
              </w:rPr>
              <w:t>14.0</w:t>
            </w:r>
          </w:p>
        </w:tc>
      </w:tr>
      <w:tr w:rsidR="007C3AB2" w:rsidRPr="00C56EC9" w14:paraId="3BEF0134"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F707198" w14:textId="77777777" w:rsidR="007C3AB2" w:rsidRPr="00C56EC9" w:rsidRDefault="007C3AB2" w:rsidP="00204A99">
            <w:pPr>
              <w:pStyle w:val="Tablas"/>
              <w:rPr>
                <w:sz w:val="18"/>
                <w:szCs w:val="18"/>
              </w:rPr>
            </w:pPr>
            <w:r w:rsidRPr="00C56EC9">
              <w:rPr>
                <w:sz w:val="18"/>
                <w:szCs w:val="18"/>
              </w:rPr>
              <w:t>26</w:t>
            </w:r>
          </w:p>
        </w:tc>
        <w:tc>
          <w:tcPr>
            <w:tcW w:w="1480" w:type="dxa"/>
            <w:tcBorders>
              <w:top w:val="nil"/>
              <w:left w:val="nil"/>
              <w:bottom w:val="single" w:sz="4" w:space="0" w:color="auto"/>
              <w:right w:val="single" w:sz="4" w:space="0" w:color="auto"/>
            </w:tcBorders>
            <w:shd w:val="clear" w:color="auto" w:fill="auto"/>
            <w:noWrap/>
            <w:vAlign w:val="bottom"/>
            <w:hideMark/>
          </w:tcPr>
          <w:p w14:paraId="27C2A751" w14:textId="77777777" w:rsidR="007C3AB2" w:rsidRPr="00C56EC9" w:rsidRDefault="007C3AB2" w:rsidP="00204A99">
            <w:pPr>
              <w:pStyle w:val="Tablas"/>
              <w:rPr>
                <w:sz w:val="18"/>
                <w:szCs w:val="18"/>
              </w:rPr>
            </w:pPr>
            <w:r w:rsidRPr="00C56EC9">
              <w:rPr>
                <w:sz w:val="18"/>
                <w:szCs w:val="18"/>
              </w:rPr>
              <w:t>0.1940</w:t>
            </w:r>
          </w:p>
        </w:tc>
        <w:tc>
          <w:tcPr>
            <w:tcW w:w="1360" w:type="dxa"/>
            <w:tcBorders>
              <w:top w:val="nil"/>
              <w:left w:val="nil"/>
              <w:bottom w:val="single" w:sz="4" w:space="0" w:color="auto"/>
              <w:right w:val="single" w:sz="8" w:space="0" w:color="auto"/>
            </w:tcBorders>
            <w:shd w:val="clear" w:color="auto" w:fill="auto"/>
            <w:noWrap/>
            <w:vAlign w:val="bottom"/>
            <w:hideMark/>
          </w:tcPr>
          <w:p w14:paraId="719992C2" w14:textId="77777777" w:rsidR="007C3AB2" w:rsidRPr="00C56EC9" w:rsidRDefault="007C3AB2" w:rsidP="00204A99">
            <w:pPr>
              <w:pStyle w:val="Tablas"/>
              <w:rPr>
                <w:sz w:val="18"/>
                <w:szCs w:val="18"/>
              </w:rPr>
            </w:pPr>
            <w:r w:rsidRPr="00C56EC9">
              <w:rPr>
                <w:sz w:val="18"/>
                <w:szCs w:val="18"/>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2BA00F7E" w14:textId="77777777" w:rsidR="007C3AB2" w:rsidRPr="00C56EC9" w:rsidRDefault="007C3AB2" w:rsidP="00204A99">
            <w:pPr>
              <w:pStyle w:val="Tablas"/>
              <w:rPr>
                <w:sz w:val="18"/>
                <w:szCs w:val="18"/>
              </w:rPr>
            </w:pPr>
            <w:r w:rsidRPr="00C56EC9">
              <w:rPr>
                <w:sz w:val="18"/>
                <w:szCs w:val="18"/>
              </w:rPr>
              <w:t>49</w:t>
            </w:r>
          </w:p>
        </w:tc>
        <w:tc>
          <w:tcPr>
            <w:tcW w:w="1360" w:type="dxa"/>
            <w:tcBorders>
              <w:top w:val="nil"/>
              <w:left w:val="nil"/>
              <w:bottom w:val="single" w:sz="4" w:space="0" w:color="auto"/>
              <w:right w:val="single" w:sz="4" w:space="0" w:color="auto"/>
            </w:tcBorders>
            <w:shd w:val="clear" w:color="auto" w:fill="auto"/>
            <w:noWrap/>
            <w:vAlign w:val="bottom"/>
            <w:hideMark/>
          </w:tcPr>
          <w:p w14:paraId="367F27B8" w14:textId="77777777" w:rsidR="007C3AB2" w:rsidRPr="00C56EC9" w:rsidRDefault="007C3AB2" w:rsidP="00204A99">
            <w:pPr>
              <w:pStyle w:val="Tablas"/>
              <w:rPr>
                <w:sz w:val="18"/>
                <w:szCs w:val="18"/>
              </w:rPr>
            </w:pPr>
            <w:r w:rsidRPr="00C56EC9">
              <w:rPr>
                <w:sz w:val="18"/>
                <w:szCs w:val="18"/>
              </w:rPr>
              <w:t>1.0050</w:t>
            </w:r>
          </w:p>
        </w:tc>
        <w:tc>
          <w:tcPr>
            <w:tcW w:w="1360" w:type="dxa"/>
            <w:tcBorders>
              <w:top w:val="nil"/>
              <w:left w:val="nil"/>
              <w:bottom w:val="single" w:sz="4" w:space="0" w:color="auto"/>
              <w:right w:val="single" w:sz="8" w:space="0" w:color="auto"/>
            </w:tcBorders>
            <w:shd w:val="clear" w:color="auto" w:fill="auto"/>
            <w:noWrap/>
            <w:vAlign w:val="bottom"/>
            <w:hideMark/>
          </w:tcPr>
          <w:p w14:paraId="47239A9B" w14:textId="77777777" w:rsidR="007C3AB2" w:rsidRPr="00C56EC9" w:rsidRDefault="007C3AB2" w:rsidP="00204A99">
            <w:pPr>
              <w:pStyle w:val="Tablas"/>
              <w:rPr>
                <w:sz w:val="18"/>
                <w:szCs w:val="18"/>
              </w:rPr>
            </w:pPr>
            <w:r w:rsidRPr="00C56EC9">
              <w:rPr>
                <w:sz w:val="18"/>
                <w:szCs w:val="18"/>
              </w:rPr>
              <w:t>14.0</w:t>
            </w:r>
          </w:p>
        </w:tc>
      </w:tr>
      <w:tr w:rsidR="007C3AB2" w:rsidRPr="00C56EC9" w14:paraId="5666D399"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B0DFA03" w14:textId="77777777" w:rsidR="007C3AB2" w:rsidRPr="00C56EC9" w:rsidRDefault="007C3AB2" w:rsidP="00204A99">
            <w:pPr>
              <w:pStyle w:val="Tablas"/>
              <w:rPr>
                <w:sz w:val="18"/>
                <w:szCs w:val="18"/>
              </w:rPr>
            </w:pPr>
            <w:r w:rsidRPr="00C56EC9">
              <w:rPr>
                <w:sz w:val="18"/>
                <w:szCs w:val="18"/>
              </w:rPr>
              <w:t>27</w:t>
            </w:r>
          </w:p>
        </w:tc>
        <w:tc>
          <w:tcPr>
            <w:tcW w:w="1480" w:type="dxa"/>
            <w:tcBorders>
              <w:top w:val="nil"/>
              <w:left w:val="nil"/>
              <w:bottom w:val="single" w:sz="4" w:space="0" w:color="auto"/>
              <w:right w:val="single" w:sz="4" w:space="0" w:color="auto"/>
            </w:tcBorders>
            <w:shd w:val="clear" w:color="auto" w:fill="auto"/>
            <w:noWrap/>
            <w:vAlign w:val="bottom"/>
            <w:hideMark/>
          </w:tcPr>
          <w:p w14:paraId="423D21ED" w14:textId="77777777" w:rsidR="007C3AB2" w:rsidRPr="00C56EC9" w:rsidRDefault="007C3AB2" w:rsidP="00204A99">
            <w:pPr>
              <w:pStyle w:val="Tablas"/>
              <w:rPr>
                <w:sz w:val="18"/>
                <w:szCs w:val="18"/>
              </w:rPr>
            </w:pPr>
            <w:r w:rsidRPr="00C56EC9">
              <w:rPr>
                <w:sz w:val="18"/>
                <w:szCs w:val="18"/>
              </w:rPr>
              <w:t>0.3360</w:t>
            </w:r>
          </w:p>
        </w:tc>
        <w:tc>
          <w:tcPr>
            <w:tcW w:w="1360" w:type="dxa"/>
            <w:tcBorders>
              <w:top w:val="nil"/>
              <w:left w:val="nil"/>
              <w:bottom w:val="single" w:sz="4" w:space="0" w:color="auto"/>
              <w:right w:val="single" w:sz="8" w:space="0" w:color="auto"/>
            </w:tcBorders>
            <w:shd w:val="clear" w:color="auto" w:fill="auto"/>
            <w:noWrap/>
            <w:vAlign w:val="bottom"/>
            <w:hideMark/>
          </w:tcPr>
          <w:p w14:paraId="3E4B5CF6" w14:textId="77777777" w:rsidR="007C3AB2" w:rsidRPr="00C56EC9" w:rsidRDefault="007C3AB2" w:rsidP="00204A99">
            <w:pPr>
              <w:pStyle w:val="Tablas"/>
              <w:rPr>
                <w:sz w:val="18"/>
                <w:szCs w:val="18"/>
              </w:rPr>
            </w:pPr>
            <w:r w:rsidRPr="00C56EC9">
              <w:rPr>
                <w:sz w:val="18"/>
                <w:szCs w:val="18"/>
              </w:rPr>
              <w:t>6.00</w:t>
            </w:r>
          </w:p>
        </w:tc>
        <w:tc>
          <w:tcPr>
            <w:tcW w:w="1360" w:type="dxa"/>
            <w:tcBorders>
              <w:top w:val="nil"/>
              <w:left w:val="nil"/>
              <w:bottom w:val="single" w:sz="4" w:space="0" w:color="auto"/>
              <w:right w:val="single" w:sz="4" w:space="0" w:color="auto"/>
            </w:tcBorders>
            <w:shd w:val="clear" w:color="auto" w:fill="auto"/>
            <w:noWrap/>
            <w:vAlign w:val="bottom"/>
            <w:hideMark/>
          </w:tcPr>
          <w:p w14:paraId="6C3A175D" w14:textId="77777777" w:rsidR="007C3AB2" w:rsidRPr="00C56EC9" w:rsidRDefault="007C3AB2" w:rsidP="00204A99">
            <w:pPr>
              <w:pStyle w:val="Tablas"/>
              <w:rPr>
                <w:sz w:val="18"/>
                <w:szCs w:val="18"/>
              </w:rPr>
            </w:pPr>
            <w:r w:rsidRPr="00C56EC9">
              <w:rPr>
                <w:sz w:val="18"/>
                <w:szCs w:val="18"/>
              </w:rPr>
              <w:t>50</w:t>
            </w:r>
          </w:p>
        </w:tc>
        <w:tc>
          <w:tcPr>
            <w:tcW w:w="1360" w:type="dxa"/>
            <w:tcBorders>
              <w:top w:val="nil"/>
              <w:left w:val="nil"/>
              <w:bottom w:val="single" w:sz="4" w:space="0" w:color="auto"/>
              <w:right w:val="single" w:sz="4" w:space="0" w:color="auto"/>
            </w:tcBorders>
            <w:shd w:val="clear" w:color="auto" w:fill="auto"/>
            <w:noWrap/>
            <w:vAlign w:val="bottom"/>
            <w:hideMark/>
          </w:tcPr>
          <w:p w14:paraId="0B9F4E5D" w14:textId="77777777" w:rsidR="007C3AB2" w:rsidRPr="00C56EC9" w:rsidRDefault="007C3AB2" w:rsidP="00204A99">
            <w:pPr>
              <w:pStyle w:val="Tablas"/>
              <w:rPr>
                <w:sz w:val="18"/>
                <w:szCs w:val="18"/>
              </w:rPr>
            </w:pPr>
            <w:r w:rsidRPr="00C56EC9">
              <w:rPr>
                <w:sz w:val="18"/>
                <w:szCs w:val="18"/>
              </w:rPr>
              <w:t>0.9710</w:t>
            </w:r>
          </w:p>
        </w:tc>
        <w:tc>
          <w:tcPr>
            <w:tcW w:w="1360" w:type="dxa"/>
            <w:tcBorders>
              <w:top w:val="nil"/>
              <w:left w:val="nil"/>
              <w:bottom w:val="single" w:sz="4" w:space="0" w:color="auto"/>
              <w:right w:val="single" w:sz="8" w:space="0" w:color="auto"/>
            </w:tcBorders>
            <w:shd w:val="clear" w:color="auto" w:fill="auto"/>
            <w:noWrap/>
            <w:vAlign w:val="bottom"/>
            <w:hideMark/>
          </w:tcPr>
          <w:p w14:paraId="798DF7C2" w14:textId="77777777" w:rsidR="007C3AB2" w:rsidRPr="00C56EC9" w:rsidRDefault="007C3AB2" w:rsidP="00204A99">
            <w:pPr>
              <w:pStyle w:val="Tablas"/>
              <w:rPr>
                <w:sz w:val="18"/>
                <w:szCs w:val="18"/>
              </w:rPr>
            </w:pPr>
            <w:r w:rsidRPr="00C56EC9">
              <w:rPr>
                <w:sz w:val="18"/>
                <w:szCs w:val="18"/>
              </w:rPr>
              <w:t>14.0</w:t>
            </w:r>
          </w:p>
        </w:tc>
      </w:tr>
      <w:tr w:rsidR="007C3AB2" w:rsidRPr="00C56EC9" w14:paraId="0223EC1F"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1D073D1" w14:textId="77777777" w:rsidR="007C3AB2" w:rsidRPr="00C56EC9" w:rsidRDefault="007C3AB2" w:rsidP="00204A99">
            <w:pPr>
              <w:pStyle w:val="Tablas"/>
              <w:rPr>
                <w:sz w:val="18"/>
                <w:szCs w:val="18"/>
              </w:rPr>
            </w:pPr>
            <w:r w:rsidRPr="00C56EC9">
              <w:rPr>
                <w:sz w:val="18"/>
                <w:szCs w:val="18"/>
              </w:rPr>
              <w:t>28</w:t>
            </w:r>
          </w:p>
        </w:tc>
        <w:tc>
          <w:tcPr>
            <w:tcW w:w="1480" w:type="dxa"/>
            <w:tcBorders>
              <w:top w:val="nil"/>
              <w:left w:val="nil"/>
              <w:bottom w:val="single" w:sz="4" w:space="0" w:color="auto"/>
              <w:right w:val="single" w:sz="4" w:space="0" w:color="auto"/>
            </w:tcBorders>
            <w:shd w:val="clear" w:color="auto" w:fill="auto"/>
            <w:noWrap/>
            <w:vAlign w:val="bottom"/>
            <w:hideMark/>
          </w:tcPr>
          <w:p w14:paraId="74F7ED98" w14:textId="77777777" w:rsidR="007C3AB2" w:rsidRPr="00C56EC9" w:rsidRDefault="007C3AB2" w:rsidP="00204A99">
            <w:pPr>
              <w:pStyle w:val="Tablas"/>
              <w:rPr>
                <w:sz w:val="18"/>
                <w:szCs w:val="18"/>
              </w:rPr>
            </w:pPr>
            <w:r w:rsidRPr="00C56EC9">
              <w:rPr>
                <w:sz w:val="18"/>
                <w:szCs w:val="18"/>
              </w:rPr>
              <w:t>0.4640</w:t>
            </w:r>
          </w:p>
        </w:tc>
        <w:tc>
          <w:tcPr>
            <w:tcW w:w="1360" w:type="dxa"/>
            <w:tcBorders>
              <w:top w:val="nil"/>
              <w:left w:val="nil"/>
              <w:bottom w:val="single" w:sz="4" w:space="0" w:color="auto"/>
              <w:right w:val="single" w:sz="8" w:space="0" w:color="auto"/>
            </w:tcBorders>
            <w:shd w:val="clear" w:color="auto" w:fill="auto"/>
            <w:noWrap/>
            <w:vAlign w:val="bottom"/>
            <w:hideMark/>
          </w:tcPr>
          <w:p w14:paraId="6662C3CC" w14:textId="77777777" w:rsidR="007C3AB2" w:rsidRPr="00C56EC9" w:rsidRDefault="007C3AB2" w:rsidP="00204A99">
            <w:pPr>
              <w:pStyle w:val="Tablas"/>
              <w:rPr>
                <w:sz w:val="18"/>
                <w:szCs w:val="18"/>
              </w:rPr>
            </w:pPr>
            <w:r w:rsidRPr="00C56EC9">
              <w:rPr>
                <w:sz w:val="18"/>
                <w:szCs w:val="18"/>
              </w:rPr>
              <w:t>6.00</w:t>
            </w:r>
          </w:p>
        </w:tc>
        <w:tc>
          <w:tcPr>
            <w:tcW w:w="1360" w:type="dxa"/>
            <w:tcBorders>
              <w:top w:val="nil"/>
              <w:left w:val="nil"/>
              <w:bottom w:val="single" w:sz="4" w:space="0" w:color="auto"/>
              <w:right w:val="single" w:sz="4" w:space="0" w:color="auto"/>
            </w:tcBorders>
            <w:shd w:val="clear" w:color="auto" w:fill="auto"/>
            <w:noWrap/>
            <w:vAlign w:val="bottom"/>
            <w:hideMark/>
          </w:tcPr>
          <w:p w14:paraId="75FE5261" w14:textId="77777777" w:rsidR="007C3AB2" w:rsidRPr="00C56EC9" w:rsidRDefault="007C3AB2" w:rsidP="00204A99">
            <w:pPr>
              <w:pStyle w:val="Tablas"/>
              <w:rPr>
                <w:sz w:val="18"/>
                <w:szCs w:val="18"/>
              </w:rPr>
            </w:pPr>
            <w:r w:rsidRPr="00C56EC9">
              <w:rPr>
                <w:sz w:val="18"/>
                <w:szCs w:val="18"/>
              </w:rPr>
              <w:t>51</w:t>
            </w:r>
          </w:p>
        </w:tc>
        <w:tc>
          <w:tcPr>
            <w:tcW w:w="1360" w:type="dxa"/>
            <w:tcBorders>
              <w:top w:val="nil"/>
              <w:left w:val="nil"/>
              <w:bottom w:val="single" w:sz="4" w:space="0" w:color="auto"/>
              <w:right w:val="single" w:sz="4" w:space="0" w:color="auto"/>
            </w:tcBorders>
            <w:shd w:val="clear" w:color="auto" w:fill="auto"/>
            <w:noWrap/>
            <w:vAlign w:val="bottom"/>
            <w:hideMark/>
          </w:tcPr>
          <w:p w14:paraId="38AB5B4F" w14:textId="77777777" w:rsidR="007C3AB2" w:rsidRPr="00C56EC9" w:rsidRDefault="007C3AB2" w:rsidP="00204A99">
            <w:pPr>
              <w:pStyle w:val="Tablas"/>
              <w:rPr>
                <w:sz w:val="18"/>
                <w:szCs w:val="18"/>
              </w:rPr>
            </w:pPr>
            <w:r w:rsidRPr="00C56EC9">
              <w:rPr>
                <w:sz w:val="18"/>
                <w:szCs w:val="18"/>
              </w:rPr>
              <w:t>0.9360</w:t>
            </w:r>
          </w:p>
        </w:tc>
        <w:tc>
          <w:tcPr>
            <w:tcW w:w="1360" w:type="dxa"/>
            <w:tcBorders>
              <w:top w:val="nil"/>
              <w:left w:val="nil"/>
              <w:bottom w:val="single" w:sz="4" w:space="0" w:color="auto"/>
              <w:right w:val="single" w:sz="8" w:space="0" w:color="auto"/>
            </w:tcBorders>
            <w:shd w:val="clear" w:color="auto" w:fill="auto"/>
            <w:noWrap/>
            <w:vAlign w:val="bottom"/>
            <w:hideMark/>
          </w:tcPr>
          <w:p w14:paraId="20DABA25" w14:textId="77777777" w:rsidR="007C3AB2" w:rsidRPr="00C56EC9" w:rsidRDefault="007C3AB2" w:rsidP="00204A99">
            <w:pPr>
              <w:pStyle w:val="Tablas"/>
              <w:rPr>
                <w:sz w:val="18"/>
                <w:szCs w:val="18"/>
              </w:rPr>
            </w:pPr>
            <w:r w:rsidRPr="00C56EC9">
              <w:rPr>
                <w:sz w:val="18"/>
                <w:szCs w:val="18"/>
              </w:rPr>
              <w:t>15.0</w:t>
            </w:r>
          </w:p>
        </w:tc>
      </w:tr>
      <w:tr w:rsidR="007C3AB2" w:rsidRPr="00C56EC9" w14:paraId="0EF54F0E"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7260A19" w14:textId="77777777" w:rsidR="007C3AB2" w:rsidRPr="00C56EC9" w:rsidRDefault="007C3AB2" w:rsidP="00204A99">
            <w:pPr>
              <w:pStyle w:val="Tablas"/>
              <w:rPr>
                <w:sz w:val="18"/>
                <w:szCs w:val="18"/>
              </w:rPr>
            </w:pPr>
            <w:r w:rsidRPr="00C56EC9">
              <w:rPr>
                <w:sz w:val="18"/>
                <w:szCs w:val="18"/>
              </w:rPr>
              <w:t>29</w:t>
            </w:r>
          </w:p>
        </w:tc>
        <w:tc>
          <w:tcPr>
            <w:tcW w:w="1480" w:type="dxa"/>
            <w:tcBorders>
              <w:top w:val="nil"/>
              <w:left w:val="nil"/>
              <w:bottom w:val="single" w:sz="4" w:space="0" w:color="auto"/>
              <w:right w:val="single" w:sz="4" w:space="0" w:color="auto"/>
            </w:tcBorders>
            <w:shd w:val="clear" w:color="auto" w:fill="auto"/>
            <w:noWrap/>
            <w:vAlign w:val="bottom"/>
            <w:hideMark/>
          </w:tcPr>
          <w:p w14:paraId="495E3AB3" w14:textId="77777777" w:rsidR="007C3AB2" w:rsidRPr="00C56EC9" w:rsidRDefault="007C3AB2" w:rsidP="00204A99">
            <w:pPr>
              <w:pStyle w:val="Tablas"/>
              <w:rPr>
                <w:sz w:val="18"/>
                <w:szCs w:val="18"/>
              </w:rPr>
            </w:pPr>
            <w:r w:rsidRPr="00C56EC9">
              <w:rPr>
                <w:sz w:val="18"/>
                <w:szCs w:val="18"/>
              </w:rPr>
              <w:t>0.5790</w:t>
            </w:r>
          </w:p>
        </w:tc>
        <w:tc>
          <w:tcPr>
            <w:tcW w:w="1360" w:type="dxa"/>
            <w:tcBorders>
              <w:top w:val="nil"/>
              <w:left w:val="nil"/>
              <w:bottom w:val="single" w:sz="4" w:space="0" w:color="auto"/>
              <w:right w:val="single" w:sz="8" w:space="0" w:color="auto"/>
            </w:tcBorders>
            <w:shd w:val="clear" w:color="auto" w:fill="auto"/>
            <w:noWrap/>
            <w:vAlign w:val="bottom"/>
            <w:hideMark/>
          </w:tcPr>
          <w:p w14:paraId="3EFEB8CC" w14:textId="77777777" w:rsidR="007C3AB2" w:rsidRPr="00C56EC9" w:rsidRDefault="007C3AB2" w:rsidP="00204A99">
            <w:pPr>
              <w:pStyle w:val="Tablas"/>
              <w:rPr>
                <w:sz w:val="18"/>
                <w:szCs w:val="18"/>
              </w:rPr>
            </w:pPr>
            <w:r w:rsidRPr="00C56EC9">
              <w:rPr>
                <w:sz w:val="18"/>
                <w:szCs w:val="18"/>
              </w:rPr>
              <w:t>7.00</w:t>
            </w:r>
          </w:p>
        </w:tc>
        <w:tc>
          <w:tcPr>
            <w:tcW w:w="1360" w:type="dxa"/>
            <w:tcBorders>
              <w:top w:val="nil"/>
              <w:left w:val="nil"/>
              <w:bottom w:val="single" w:sz="4" w:space="0" w:color="auto"/>
              <w:right w:val="single" w:sz="4" w:space="0" w:color="auto"/>
            </w:tcBorders>
            <w:shd w:val="clear" w:color="auto" w:fill="auto"/>
            <w:noWrap/>
            <w:vAlign w:val="bottom"/>
            <w:hideMark/>
          </w:tcPr>
          <w:p w14:paraId="4D0446CC" w14:textId="77777777" w:rsidR="007C3AB2" w:rsidRPr="00C56EC9" w:rsidRDefault="007C3AB2" w:rsidP="00204A99">
            <w:pPr>
              <w:pStyle w:val="Tablas"/>
              <w:rPr>
                <w:sz w:val="18"/>
                <w:szCs w:val="18"/>
              </w:rPr>
            </w:pPr>
            <w:r w:rsidRPr="00C56EC9">
              <w:rPr>
                <w:sz w:val="18"/>
                <w:szCs w:val="18"/>
              </w:rPr>
              <w:t>52</w:t>
            </w:r>
          </w:p>
        </w:tc>
        <w:tc>
          <w:tcPr>
            <w:tcW w:w="1360" w:type="dxa"/>
            <w:tcBorders>
              <w:top w:val="nil"/>
              <w:left w:val="nil"/>
              <w:bottom w:val="single" w:sz="4" w:space="0" w:color="auto"/>
              <w:right w:val="single" w:sz="4" w:space="0" w:color="auto"/>
            </w:tcBorders>
            <w:shd w:val="clear" w:color="auto" w:fill="auto"/>
            <w:noWrap/>
            <w:vAlign w:val="bottom"/>
            <w:hideMark/>
          </w:tcPr>
          <w:p w14:paraId="381CCE09" w14:textId="77777777" w:rsidR="007C3AB2" w:rsidRPr="00C56EC9" w:rsidRDefault="007C3AB2" w:rsidP="00204A99">
            <w:pPr>
              <w:pStyle w:val="Tablas"/>
              <w:rPr>
                <w:sz w:val="18"/>
                <w:szCs w:val="18"/>
              </w:rPr>
            </w:pPr>
            <w:r w:rsidRPr="00C56EC9">
              <w:rPr>
                <w:sz w:val="18"/>
                <w:szCs w:val="18"/>
              </w:rPr>
              <w:t>0.8990</w:t>
            </w:r>
          </w:p>
        </w:tc>
        <w:tc>
          <w:tcPr>
            <w:tcW w:w="1360" w:type="dxa"/>
            <w:tcBorders>
              <w:top w:val="nil"/>
              <w:left w:val="nil"/>
              <w:bottom w:val="single" w:sz="4" w:space="0" w:color="auto"/>
              <w:right w:val="single" w:sz="8" w:space="0" w:color="auto"/>
            </w:tcBorders>
            <w:shd w:val="clear" w:color="auto" w:fill="auto"/>
            <w:noWrap/>
            <w:vAlign w:val="bottom"/>
            <w:hideMark/>
          </w:tcPr>
          <w:p w14:paraId="44190583" w14:textId="77777777" w:rsidR="007C3AB2" w:rsidRPr="00C56EC9" w:rsidRDefault="007C3AB2" w:rsidP="00204A99">
            <w:pPr>
              <w:pStyle w:val="Tablas"/>
              <w:rPr>
                <w:sz w:val="18"/>
                <w:szCs w:val="18"/>
              </w:rPr>
            </w:pPr>
            <w:r w:rsidRPr="00C56EC9">
              <w:rPr>
                <w:sz w:val="18"/>
                <w:szCs w:val="18"/>
              </w:rPr>
              <w:t>15.0</w:t>
            </w:r>
          </w:p>
        </w:tc>
      </w:tr>
      <w:tr w:rsidR="007C3AB2" w:rsidRPr="00C56EC9" w14:paraId="621658F0"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3E6851B" w14:textId="77777777" w:rsidR="007C3AB2" w:rsidRPr="00C56EC9" w:rsidRDefault="007C3AB2" w:rsidP="00204A99">
            <w:pPr>
              <w:pStyle w:val="Tablas"/>
              <w:rPr>
                <w:sz w:val="18"/>
                <w:szCs w:val="18"/>
              </w:rPr>
            </w:pPr>
            <w:r w:rsidRPr="00C56EC9">
              <w:rPr>
                <w:sz w:val="18"/>
                <w:szCs w:val="18"/>
              </w:rPr>
              <w:t>30</w:t>
            </w:r>
          </w:p>
        </w:tc>
        <w:tc>
          <w:tcPr>
            <w:tcW w:w="1480" w:type="dxa"/>
            <w:tcBorders>
              <w:top w:val="nil"/>
              <w:left w:val="nil"/>
              <w:bottom w:val="single" w:sz="4" w:space="0" w:color="auto"/>
              <w:right w:val="single" w:sz="4" w:space="0" w:color="auto"/>
            </w:tcBorders>
            <w:shd w:val="clear" w:color="auto" w:fill="auto"/>
            <w:noWrap/>
            <w:vAlign w:val="bottom"/>
            <w:hideMark/>
          </w:tcPr>
          <w:p w14:paraId="6D8D3F69" w14:textId="77777777" w:rsidR="007C3AB2" w:rsidRPr="00C56EC9" w:rsidRDefault="007C3AB2" w:rsidP="00204A99">
            <w:pPr>
              <w:pStyle w:val="Tablas"/>
              <w:rPr>
                <w:sz w:val="18"/>
                <w:szCs w:val="18"/>
              </w:rPr>
            </w:pPr>
            <w:r w:rsidRPr="00C56EC9">
              <w:rPr>
                <w:sz w:val="18"/>
                <w:szCs w:val="18"/>
              </w:rPr>
              <w:t>0.6810</w:t>
            </w:r>
          </w:p>
        </w:tc>
        <w:tc>
          <w:tcPr>
            <w:tcW w:w="1360" w:type="dxa"/>
            <w:tcBorders>
              <w:top w:val="nil"/>
              <w:left w:val="nil"/>
              <w:bottom w:val="single" w:sz="4" w:space="0" w:color="auto"/>
              <w:right w:val="single" w:sz="8" w:space="0" w:color="auto"/>
            </w:tcBorders>
            <w:shd w:val="clear" w:color="auto" w:fill="auto"/>
            <w:noWrap/>
            <w:vAlign w:val="bottom"/>
            <w:hideMark/>
          </w:tcPr>
          <w:p w14:paraId="5EC6A0D8" w14:textId="77777777" w:rsidR="007C3AB2" w:rsidRPr="00C56EC9" w:rsidRDefault="007C3AB2" w:rsidP="00204A99">
            <w:pPr>
              <w:pStyle w:val="Tablas"/>
              <w:rPr>
                <w:sz w:val="18"/>
                <w:szCs w:val="18"/>
              </w:rPr>
            </w:pPr>
            <w:r w:rsidRPr="00C56EC9">
              <w:rPr>
                <w:sz w:val="18"/>
                <w:szCs w:val="18"/>
              </w:rPr>
              <w:t>8.00</w:t>
            </w:r>
          </w:p>
        </w:tc>
        <w:tc>
          <w:tcPr>
            <w:tcW w:w="1360" w:type="dxa"/>
            <w:tcBorders>
              <w:top w:val="nil"/>
              <w:left w:val="nil"/>
              <w:bottom w:val="single" w:sz="4" w:space="0" w:color="auto"/>
              <w:right w:val="single" w:sz="4" w:space="0" w:color="auto"/>
            </w:tcBorders>
            <w:shd w:val="clear" w:color="auto" w:fill="auto"/>
            <w:noWrap/>
            <w:vAlign w:val="bottom"/>
            <w:hideMark/>
          </w:tcPr>
          <w:p w14:paraId="0515687F" w14:textId="77777777" w:rsidR="007C3AB2" w:rsidRPr="00C56EC9" w:rsidRDefault="007C3AB2" w:rsidP="00204A99">
            <w:pPr>
              <w:pStyle w:val="Tablas"/>
              <w:rPr>
                <w:sz w:val="18"/>
                <w:szCs w:val="18"/>
              </w:rPr>
            </w:pPr>
            <w:r w:rsidRPr="00C56EC9">
              <w:rPr>
                <w:sz w:val="18"/>
                <w:szCs w:val="18"/>
              </w:rPr>
              <w:t>53</w:t>
            </w:r>
          </w:p>
        </w:tc>
        <w:tc>
          <w:tcPr>
            <w:tcW w:w="1360" w:type="dxa"/>
            <w:tcBorders>
              <w:top w:val="nil"/>
              <w:left w:val="nil"/>
              <w:bottom w:val="single" w:sz="4" w:space="0" w:color="auto"/>
              <w:right w:val="single" w:sz="4" w:space="0" w:color="auto"/>
            </w:tcBorders>
            <w:shd w:val="clear" w:color="auto" w:fill="auto"/>
            <w:noWrap/>
            <w:vAlign w:val="bottom"/>
            <w:hideMark/>
          </w:tcPr>
          <w:p w14:paraId="21568470" w14:textId="77777777" w:rsidR="007C3AB2" w:rsidRPr="00C56EC9" w:rsidRDefault="007C3AB2" w:rsidP="00204A99">
            <w:pPr>
              <w:pStyle w:val="Tablas"/>
              <w:rPr>
                <w:sz w:val="18"/>
                <w:szCs w:val="18"/>
              </w:rPr>
            </w:pPr>
            <w:r w:rsidRPr="00C56EC9">
              <w:rPr>
                <w:sz w:val="18"/>
                <w:szCs w:val="18"/>
              </w:rPr>
              <w:t>0.8600</w:t>
            </w:r>
          </w:p>
        </w:tc>
        <w:tc>
          <w:tcPr>
            <w:tcW w:w="1360" w:type="dxa"/>
            <w:tcBorders>
              <w:top w:val="nil"/>
              <w:left w:val="nil"/>
              <w:bottom w:val="single" w:sz="4" w:space="0" w:color="auto"/>
              <w:right w:val="single" w:sz="8" w:space="0" w:color="auto"/>
            </w:tcBorders>
            <w:shd w:val="clear" w:color="auto" w:fill="auto"/>
            <w:noWrap/>
            <w:vAlign w:val="bottom"/>
            <w:hideMark/>
          </w:tcPr>
          <w:p w14:paraId="0F238E4A" w14:textId="77777777" w:rsidR="007C3AB2" w:rsidRPr="00C56EC9" w:rsidRDefault="007C3AB2" w:rsidP="00204A99">
            <w:pPr>
              <w:pStyle w:val="Tablas"/>
              <w:rPr>
                <w:sz w:val="18"/>
                <w:szCs w:val="18"/>
              </w:rPr>
            </w:pPr>
            <w:r w:rsidRPr="00C56EC9">
              <w:rPr>
                <w:sz w:val="18"/>
                <w:szCs w:val="18"/>
              </w:rPr>
              <w:t>15.0</w:t>
            </w:r>
          </w:p>
        </w:tc>
      </w:tr>
      <w:tr w:rsidR="007C3AB2" w:rsidRPr="00C56EC9" w14:paraId="30757983"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E5EE7E6" w14:textId="77777777" w:rsidR="007C3AB2" w:rsidRPr="00C56EC9" w:rsidRDefault="007C3AB2" w:rsidP="00204A99">
            <w:pPr>
              <w:pStyle w:val="Tablas"/>
              <w:rPr>
                <w:sz w:val="18"/>
                <w:szCs w:val="18"/>
              </w:rPr>
            </w:pPr>
            <w:r w:rsidRPr="00C56EC9">
              <w:rPr>
                <w:sz w:val="18"/>
                <w:szCs w:val="18"/>
              </w:rPr>
              <w:t>31</w:t>
            </w:r>
          </w:p>
        </w:tc>
        <w:tc>
          <w:tcPr>
            <w:tcW w:w="1480" w:type="dxa"/>
            <w:tcBorders>
              <w:top w:val="nil"/>
              <w:left w:val="nil"/>
              <w:bottom w:val="single" w:sz="4" w:space="0" w:color="auto"/>
              <w:right w:val="single" w:sz="4" w:space="0" w:color="auto"/>
            </w:tcBorders>
            <w:shd w:val="clear" w:color="auto" w:fill="auto"/>
            <w:noWrap/>
            <w:vAlign w:val="bottom"/>
            <w:hideMark/>
          </w:tcPr>
          <w:p w14:paraId="69F32DEE" w14:textId="77777777" w:rsidR="007C3AB2" w:rsidRPr="00C56EC9" w:rsidRDefault="007C3AB2" w:rsidP="00204A99">
            <w:pPr>
              <w:pStyle w:val="Tablas"/>
              <w:rPr>
                <w:sz w:val="18"/>
                <w:szCs w:val="18"/>
              </w:rPr>
            </w:pPr>
            <w:r w:rsidRPr="00C56EC9">
              <w:rPr>
                <w:sz w:val="18"/>
                <w:szCs w:val="18"/>
              </w:rPr>
              <w:t>0.7710</w:t>
            </w:r>
          </w:p>
        </w:tc>
        <w:tc>
          <w:tcPr>
            <w:tcW w:w="1360" w:type="dxa"/>
            <w:tcBorders>
              <w:top w:val="nil"/>
              <w:left w:val="nil"/>
              <w:bottom w:val="single" w:sz="4" w:space="0" w:color="auto"/>
              <w:right w:val="single" w:sz="8" w:space="0" w:color="auto"/>
            </w:tcBorders>
            <w:shd w:val="clear" w:color="auto" w:fill="auto"/>
            <w:noWrap/>
            <w:vAlign w:val="bottom"/>
            <w:hideMark/>
          </w:tcPr>
          <w:p w14:paraId="3135F953" w14:textId="77777777" w:rsidR="007C3AB2" w:rsidRPr="00C56EC9" w:rsidRDefault="007C3AB2" w:rsidP="00204A99">
            <w:pPr>
              <w:pStyle w:val="Tablas"/>
              <w:rPr>
                <w:sz w:val="18"/>
                <w:szCs w:val="18"/>
              </w:rPr>
            </w:pPr>
            <w:r w:rsidRPr="00C56EC9">
              <w:rPr>
                <w:sz w:val="18"/>
                <w:szCs w:val="18"/>
              </w:rPr>
              <w:t>8.00</w:t>
            </w:r>
          </w:p>
        </w:tc>
        <w:tc>
          <w:tcPr>
            <w:tcW w:w="1360" w:type="dxa"/>
            <w:tcBorders>
              <w:top w:val="nil"/>
              <w:left w:val="nil"/>
              <w:bottom w:val="single" w:sz="4" w:space="0" w:color="auto"/>
              <w:right w:val="single" w:sz="4" w:space="0" w:color="auto"/>
            </w:tcBorders>
            <w:shd w:val="clear" w:color="auto" w:fill="auto"/>
            <w:noWrap/>
            <w:vAlign w:val="bottom"/>
            <w:hideMark/>
          </w:tcPr>
          <w:p w14:paraId="7EAAB446" w14:textId="77777777" w:rsidR="007C3AB2" w:rsidRPr="00C56EC9" w:rsidRDefault="007C3AB2" w:rsidP="00204A99">
            <w:pPr>
              <w:pStyle w:val="Tablas"/>
              <w:rPr>
                <w:sz w:val="18"/>
                <w:szCs w:val="18"/>
              </w:rPr>
            </w:pPr>
            <w:r w:rsidRPr="00C56EC9">
              <w:rPr>
                <w:sz w:val="18"/>
                <w:szCs w:val="18"/>
              </w:rPr>
              <w:t>54</w:t>
            </w:r>
          </w:p>
        </w:tc>
        <w:tc>
          <w:tcPr>
            <w:tcW w:w="1360" w:type="dxa"/>
            <w:tcBorders>
              <w:top w:val="nil"/>
              <w:left w:val="nil"/>
              <w:bottom w:val="single" w:sz="4" w:space="0" w:color="auto"/>
              <w:right w:val="single" w:sz="4" w:space="0" w:color="auto"/>
            </w:tcBorders>
            <w:shd w:val="clear" w:color="auto" w:fill="auto"/>
            <w:noWrap/>
            <w:vAlign w:val="bottom"/>
            <w:hideMark/>
          </w:tcPr>
          <w:p w14:paraId="75D2DA70" w14:textId="77777777" w:rsidR="007C3AB2" w:rsidRPr="00C56EC9" w:rsidRDefault="007C3AB2" w:rsidP="00204A99">
            <w:pPr>
              <w:pStyle w:val="Tablas"/>
              <w:rPr>
                <w:sz w:val="18"/>
                <w:szCs w:val="18"/>
              </w:rPr>
            </w:pPr>
            <w:r w:rsidRPr="00C56EC9">
              <w:rPr>
                <w:sz w:val="18"/>
                <w:szCs w:val="18"/>
              </w:rPr>
              <w:t>0.8200</w:t>
            </w:r>
          </w:p>
        </w:tc>
        <w:tc>
          <w:tcPr>
            <w:tcW w:w="1360" w:type="dxa"/>
            <w:tcBorders>
              <w:top w:val="nil"/>
              <w:left w:val="nil"/>
              <w:bottom w:val="single" w:sz="4" w:space="0" w:color="auto"/>
              <w:right w:val="single" w:sz="8" w:space="0" w:color="auto"/>
            </w:tcBorders>
            <w:shd w:val="clear" w:color="auto" w:fill="auto"/>
            <w:noWrap/>
            <w:vAlign w:val="bottom"/>
            <w:hideMark/>
          </w:tcPr>
          <w:p w14:paraId="3512E204" w14:textId="77777777" w:rsidR="007C3AB2" w:rsidRPr="00C56EC9" w:rsidRDefault="007C3AB2" w:rsidP="00204A99">
            <w:pPr>
              <w:pStyle w:val="Tablas"/>
              <w:rPr>
                <w:sz w:val="18"/>
                <w:szCs w:val="18"/>
              </w:rPr>
            </w:pPr>
            <w:r w:rsidRPr="00C56EC9">
              <w:rPr>
                <w:sz w:val="18"/>
                <w:szCs w:val="18"/>
              </w:rPr>
              <w:t>15.0</w:t>
            </w:r>
          </w:p>
        </w:tc>
      </w:tr>
      <w:tr w:rsidR="007C3AB2" w:rsidRPr="00C56EC9" w14:paraId="5A8A55AD"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C36A10" w14:textId="77777777" w:rsidR="007C3AB2" w:rsidRPr="00C56EC9" w:rsidRDefault="007C3AB2" w:rsidP="00204A99">
            <w:pPr>
              <w:pStyle w:val="Tablas"/>
              <w:rPr>
                <w:sz w:val="18"/>
                <w:szCs w:val="18"/>
              </w:rPr>
            </w:pPr>
            <w:r w:rsidRPr="00C56EC9">
              <w:rPr>
                <w:sz w:val="18"/>
                <w:szCs w:val="18"/>
              </w:rPr>
              <w:t>32</w:t>
            </w:r>
          </w:p>
        </w:tc>
        <w:tc>
          <w:tcPr>
            <w:tcW w:w="1480" w:type="dxa"/>
            <w:tcBorders>
              <w:top w:val="nil"/>
              <w:left w:val="nil"/>
              <w:bottom w:val="single" w:sz="4" w:space="0" w:color="auto"/>
              <w:right w:val="single" w:sz="4" w:space="0" w:color="auto"/>
            </w:tcBorders>
            <w:shd w:val="clear" w:color="auto" w:fill="auto"/>
            <w:noWrap/>
            <w:vAlign w:val="bottom"/>
            <w:hideMark/>
          </w:tcPr>
          <w:p w14:paraId="54C8A8A0" w14:textId="77777777" w:rsidR="007C3AB2" w:rsidRPr="00C56EC9" w:rsidRDefault="007C3AB2" w:rsidP="00204A99">
            <w:pPr>
              <w:pStyle w:val="Tablas"/>
              <w:rPr>
                <w:sz w:val="18"/>
                <w:szCs w:val="18"/>
              </w:rPr>
            </w:pPr>
            <w:r w:rsidRPr="00C56EC9">
              <w:rPr>
                <w:sz w:val="18"/>
                <w:szCs w:val="18"/>
              </w:rPr>
              <w:t>0.8500</w:t>
            </w:r>
          </w:p>
        </w:tc>
        <w:tc>
          <w:tcPr>
            <w:tcW w:w="1360" w:type="dxa"/>
            <w:tcBorders>
              <w:top w:val="nil"/>
              <w:left w:val="nil"/>
              <w:bottom w:val="single" w:sz="4" w:space="0" w:color="auto"/>
              <w:right w:val="single" w:sz="8" w:space="0" w:color="auto"/>
            </w:tcBorders>
            <w:shd w:val="clear" w:color="auto" w:fill="auto"/>
            <w:noWrap/>
            <w:vAlign w:val="bottom"/>
            <w:hideMark/>
          </w:tcPr>
          <w:p w14:paraId="30F9E089" w14:textId="77777777" w:rsidR="007C3AB2" w:rsidRPr="00C56EC9" w:rsidRDefault="007C3AB2" w:rsidP="00204A99">
            <w:pPr>
              <w:pStyle w:val="Tablas"/>
              <w:rPr>
                <w:sz w:val="18"/>
                <w:szCs w:val="18"/>
              </w:rPr>
            </w:pPr>
            <w:r w:rsidRPr="00C56EC9">
              <w:rPr>
                <w:sz w:val="18"/>
                <w:szCs w:val="18"/>
              </w:rPr>
              <w:t>9.00</w:t>
            </w:r>
          </w:p>
        </w:tc>
        <w:tc>
          <w:tcPr>
            <w:tcW w:w="1360" w:type="dxa"/>
            <w:tcBorders>
              <w:top w:val="nil"/>
              <w:left w:val="nil"/>
              <w:bottom w:val="single" w:sz="4" w:space="0" w:color="auto"/>
              <w:right w:val="single" w:sz="4" w:space="0" w:color="auto"/>
            </w:tcBorders>
            <w:shd w:val="clear" w:color="auto" w:fill="auto"/>
            <w:noWrap/>
            <w:vAlign w:val="bottom"/>
            <w:hideMark/>
          </w:tcPr>
          <w:p w14:paraId="7D27BC83" w14:textId="77777777" w:rsidR="007C3AB2" w:rsidRPr="00C56EC9" w:rsidRDefault="007C3AB2" w:rsidP="00204A99">
            <w:pPr>
              <w:pStyle w:val="Tablas"/>
              <w:rPr>
                <w:sz w:val="18"/>
                <w:szCs w:val="18"/>
              </w:rPr>
            </w:pPr>
            <w:r w:rsidRPr="00C56EC9">
              <w:rPr>
                <w:sz w:val="18"/>
                <w:szCs w:val="18"/>
              </w:rPr>
              <w:t>55</w:t>
            </w:r>
          </w:p>
        </w:tc>
        <w:tc>
          <w:tcPr>
            <w:tcW w:w="1360" w:type="dxa"/>
            <w:tcBorders>
              <w:top w:val="nil"/>
              <w:left w:val="nil"/>
              <w:bottom w:val="single" w:sz="4" w:space="0" w:color="auto"/>
              <w:right w:val="single" w:sz="4" w:space="0" w:color="auto"/>
            </w:tcBorders>
            <w:shd w:val="clear" w:color="auto" w:fill="auto"/>
            <w:noWrap/>
            <w:vAlign w:val="bottom"/>
            <w:hideMark/>
          </w:tcPr>
          <w:p w14:paraId="7877D823" w14:textId="77777777" w:rsidR="007C3AB2" w:rsidRPr="00C56EC9" w:rsidRDefault="007C3AB2" w:rsidP="00204A99">
            <w:pPr>
              <w:pStyle w:val="Tablas"/>
              <w:rPr>
                <w:sz w:val="18"/>
                <w:szCs w:val="18"/>
              </w:rPr>
            </w:pPr>
            <w:r w:rsidRPr="00C56EC9">
              <w:rPr>
                <w:sz w:val="18"/>
                <w:szCs w:val="18"/>
              </w:rPr>
              <w:t>0.7790</w:t>
            </w:r>
          </w:p>
        </w:tc>
        <w:tc>
          <w:tcPr>
            <w:tcW w:w="1360" w:type="dxa"/>
            <w:tcBorders>
              <w:top w:val="nil"/>
              <w:left w:val="nil"/>
              <w:bottom w:val="single" w:sz="4" w:space="0" w:color="auto"/>
              <w:right w:val="single" w:sz="8" w:space="0" w:color="auto"/>
            </w:tcBorders>
            <w:shd w:val="clear" w:color="auto" w:fill="auto"/>
            <w:noWrap/>
            <w:vAlign w:val="bottom"/>
            <w:hideMark/>
          </w:tcPr>
          <w:p w14:paraId="28AB9BF2" w14:textId="77777777" w:rsidR="007C3AB2" w:rsidRPr="00C56EC9" w:rsidRDefault="007C3AB2" w:rsidP="00204A99">
            <w:pPr>
              <w:pStyle w:val="Tablas"/>
              <w:rPr>
                <w:sz w:val="18"/>
                <w:szCs w:val="18"/>
              </w:rPr>
            </w:pPr>
            <w:r w:rsidRPr="00C56EC9">
              <w:rPr>
                <w:sz w:val="18"/>
                <w:szCs w:val="18"/>
              </w:rPr>
              <w:t>15.0</w:t>
            </w:r>
          </w:p>
        </w:tc>
      </w:tr>
      <w:tr w:rsidR="007C3AB2" w:rsidRPr="00C56EC9" w14:paraId="67C505D0"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805A19F" w14:textId="77777777" w:rsidR="007C3AB2" w:rsidRPr="00C56EC9" w:rsidRDefault="007C3AB2" w:rsidP="00204A99">
            <w:pPr>
              <w:pStyle w:val="Tablas"/>
              <w:rPr>
                <w:sz w:val="18"/>
                <w:szCs w:val="18"/>
              </w:rPr>
            </w:pPr>
            <w:r w:rsidRPr="00C56EC9">
              <w:rPr>
                <w:sz w:val="18"/>
                <w:szCs w:val="18"/>
              </w:rPr>
              <w:t>33</w:t>
            </w:r>
          </w:p>
        </w:tc>
        <w:tc>
          <w:tcPr>
            <w:tcW w:w="1480" w:type="dxa"/>
            <w:tcBorders>
              <w:top w:val="nil"/>
              <w:left w:val="nil"/>
              <w:bottom w:val="single" w:sz="4" w:space="0" w:color="auto"/>
              <w:right w:val="single" w:sz="4" w:space="0" w:color="auto"/>
            </w:tcBorders>
            <w:shd w:val="clear" w:color="auto" w:fill="auto"/>
            <w:noWrap/>
            <w:vAlign w:val="bottom"/>
            <w:hideMark/>
          </w:tcPr>
          <w:p w14:paraId="5B160715" w14:textId="77777777" w:rsidR="007C3AB2" w:rsidRPr="00C56EC9" w:rsidRDefault="007C3AB2" w:rsidP="00204A99">
            <w:pPr>
              <w:pStyle w:val="Tablas"/>
              <w:rPr>
                <w:sz w:val="18"/>
                <w:szCs w:val="18"/>
              </w:rPr>
            </w:pPr>
            <w:r w:rsidRPr="00C56EC9">
              <w:rPr>
                <w:sz w:val="18"/>
                <w:szCs w:val="18"/>
              </w:rPr>
              <w:t>0.9190</w:t>
            </w:r>
          </w:p>
        </w:tc>
        <w:tc>
          <w:tcPr>
            <w:tcW w:w="1360" w:type="dxa"/>
            <w:tcBorders>
              <w:top w:val="nil"/>
              <w:left w:val="nil"/>
              <w:bottom w:val="single" w:sz="4" w:space="0" w:color="auto"/>
              <w:right w:val="single" w:sz="8" w:space="0" w:color="auto"/>
            </w:tcBorders>
            <w:shd w:val="clear" w:color="auto" w:fill="auto"/>
            <w:noWrap/>
            <w:vAlign w:val="bottom"/>
            <w:hideMark/>
          </w:tcPr>
          <w:p w14:paraId="771AA4EA" w14:textId="77777777" w:rsidR="007C3AB2" w:rsidRPr="00C56EC9" w:rsidRDefault="007C3AB2" w:rsidP="00204A99">
            <w:pPr>
              <w:pStyle w:val="Tablas"/>
              <w:rPr>
                <w:sz w:val="18"/>
                <w:szCs w:val="18"/>
              </w:rPr>
            </w:pPr>
            <w:r w:rsidRPr="00C56EC9">
              <w:rPr>
                <w:sz w:val="18"/>
                <w:szCs w:val="18"/>
              </w:rPr>
              <w:t>9.00</w:t>
            </w:r>
          </w:p>
        </w:tc>
        <w:tc>
          <w:tcPr>
            <w:tcW w:w="1360" w:type="dxa"/>
            <w:tcBorders>
              <w:top w:val="nil"/>
              <w:left w:val="nil"/>
              <w:bottom w:val="single" w:sz="4" w:space="0" w:color="auto"/>
              <w:right w:val="single" w:sz="4" w:space="0" w:color="auto"/>
            </w:tcBorders>
            <w:shd w:val="clear" w:color="auto" w:fill="auto"/>
            <w:noWrap/>
            <w:vAlign w:val="bottom"/>
            <w:hideMark/>
          </w:tcPr>
          <w:p w14:paraId="5435A19D" w14:textId="77777777" w:rsidR="007C3AB2" w:rsidRPr="00C56EC9" w:rsidRDefault="007C3AB2" w:rsidP="00204A99">
            <w:pPr>
              <w:pStyle w:val="Tablas"/>
              <w:rPr>
                <w:sz w:val="18"/>
                <w:szCs w:val="18"/>
              </w:rPr>
            </w:pPr>
            <w:r w:rsidRPr="00C56EC9">
              <w:rPr>
                <w:sz w:val="18"/>
                <w:szCs w:val="18"/>
              </w:rPr>
              <w:t>56</w:t>
            </w:r>
          </w:p>
        </w:tc>
        <w:tc>
          <w:tcPr>
            <w:tcW w:w="1360" w:type="dxa"/>
            <w:tcBorders>
              <w:top w:val="nil"/>
              <w:left w:val="nil"/>
              <w:bottom w:val="single" w:sz="4" w:space="0" w:color="auto"/>
              <w:right w:val="single" w:sz="4" w:space="0" w:color="auto"/>
            </w:tcBorders>
            <w:shd w:val="clear" w:color="auto" w:fill="auto"/>
            <w:noWrap/>
            <w:vAlign w:val="bottom"/>
            <w:hideMark/>
          </w:tcPr>
          <w:p w14:paraId="2885E093" w14:textId="77777777" w:rsidR="007C3AB2" w:rsidRPr="00C56EC9" w:rsidRDefault="007C3AB2" w:rsidP="00204A99">
            <w:pPr>
              <w:pStyle w:val="Tablas"/>
              <w:rPr>
                <w:sz w:val="18"/>
                <w:szCs w:val="18"/>
              </w:rPr>
            </w:pPr>
            <w:r w:rsidRPr="00C56EC9">
              <w:rPr>
                <w:sz w:val="18"/>
                <w:szCs w:val="18"/>
              </w:rPr>
              <w:t>0.7130</w:t>
            </w:r>
          </w:p>
        </w:tc>
        <w:tc>
          <w:tcPr>
            <w:tcW w:w="1360" w:type="dxa"/>
            <w:tcBorders>
              <w:top w:val="nil"/>
              <w:left w:val="nil"/>
              <w:bottom w:val="single" w:sz="4" w:space="0" w:color="auto"/>
              <w:right w:val="single" w:sz="8" w:space="0" w:color="auto"/>
            </w:tcBorders>
            <w:shd w:val="clear" w:color="auto" w:fill="auto"/>
            <w:noWrap/>
            <w:vAlign w:val="bottom"/>
            <w:hideMark/>
          </w:tcPr>
          <w:p w14:paraId="33052764" w14:textId="77777777" w:rsidR="007C3AB2" w:rsidRPr="00C56EC9" w:rsidRDefault="007C3AB2" w:rsidP="00204A99">
            <w:pPr>
              <w:pStyle w:val="Tablas"/>
              <w:rPr>
                <w:sz w:val="18"/>
                <w:szCs w:val="18"/>
              </w:rPr>
            </w:pPr>
            <w:r w:rsidRPr="00C56EC9">
              <w:rPr>
                <w:sz w:val="18"/>
                <w:szCs w:val="18"/>
              </w:rPr>
              <w:t>15.0</w:t>
            </w:r>
          </w:p>
        </w:tc>
      </w:tr>
      <w:tr w:rsidR="007C3AB2" w:rsidRPr="00C56EC9" w14:paraId="4EC16C2A"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C7CD847" w14:textId="77777777" w:rsidR="007C3AB2" w:rsidRPr="00C56EC9" w:rsidRDefault="007C3AB2" w:rsidP="00204A99">
            <w:pPr>
              <w:pStyle w:val="Tablas"/>
              <w:rPr>
                <w:sz w:val="18"/>
                <w:szCs w:val="18"/>
              </w:rPr>
            </w:pPr>
            <w:r w:rsidRPr="00C56EC9">
              <w:rPr>
                <w:sz w:val="18"/>
                <w:szCs w:val="18"/>
              </w:rPr>
              <w:t>34</w:t>
            </w:r>
          </w:p>
        </w:tc>
        <w:tc>
          <w:tcPr>
            <w:tcW w:w="1480" w:type="dxa"/>
            <w:tcBorders>
              <w:top w:val="nil"/>
              <w:left w:val="nil"/>
              <w:bottom w:val="single" w:sz="4" w:space="0" w:color="auto"/>
              <w:right w:val="single" w:sz="4" w:space="0" w:color="auto"/>
            </w:tcBorders>
            <w:shd w:val="clear" w:color="auto" w:fill="auto"/>
            <w:noWrap/>
            <w:vAlign w:val="bottom"/>
            <w:hideMark/>
          </w:tcPr>
          <w:p w14:paraId="2C81DBDC" w14:textId="77777777" w:rsidR="007C3AB2" w:rsidRPr="00C56EC9" w:rsidRDefault="007C3AB2" w:rsidP="00204A99">
            <w:pPr>
              <w:pStyle w:val="Tablas"/>
              <w:rPr>
                <w:sz w:val="18"/>
                <w:szCs w:val="18"/>
              </w:rPr>
            </w:pPr>
            <w:r w:rsidRPr="00C56EC9">
              <w:rPr>
                <w:sz w:val="18"/>
                <w:szCs w:val="18"/>
              </w:rPr>
              <w:t>0.9770</w:t>
            </w:r>
          </w:p>
        </w:tc>
        <w:tc>
          <w:tcPr>
            <w:tcW w:w="1360" w:type="dxa"/>
            <w:tcBorders>
              <w:top w:val="nil"/>
              <w:left w:val="nil"/>
              <w:bottom w:val="single" w:sz="4" w:space="0" w:color="auto"/>
              <w:right w:val="single" w:sz="8" w:space="0" w:color="auto"/>
            </w:tcBorders>
            <w:shd w:val="clear" w:color="auto" w:fill="auto"/>
            <w:noWrap/>
            <w:vAlign w:val="bottom"/>
            <w:hideMark/>
          </w:tcPr>
          <w:p w14:paraId="0CDC4604" w14:textId="77777777" w:rsidR="007C3AB2" w:rsidRPr="00C56EC9" w:rsidRDefault="007C3AB2" w:rsidP="00204A99">
            <w:pPr>
              <w:pStyle w:val="Tablas"/>
              <w:rPr>
                <w:sz w:val="18"/>
                <w:szCs w:val="18"/>
              </w:rPr>
            </w:pPr>
            <w:r w:rsidRPr="00C56EC9">
              <w:rPr>
                <w:sz w:val="18"/>
                <w:szCs w:val="18"/>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7976B8AE" w14:textId="77777777" w:rsidR="007C3AB2" w:rsidRPr="00C56EC9" w:rsidRDefault="007C3AB2" w:rsidP="00204A99">
            <w:pPr>
              <w:pStyle w:val="Tablas"/>
              <w:rPr>
                <w:sz w:val="18"/>
                <w:szCs w:val="18"/>
              </w:rPr>
            </w:pPr>
            <w:r w:rsidRPr="00C56EC9">
              <w:rPr>
                <w:sz w:val="18"/>
                <w:szCs w:val="18"/>
              </w:rPr>
              <w:t>57</w:t>
            </w:r>
          </w:p>
        </w:tc>
        <w:tc>
          <w:tcPr>
            <w:tcW w:w="1360" w:type="dxa"/>
            <w:tcBorders>
              <w:top w:val="nil"/>
              <w:left w:val="nil"/>
              <w:bottom w:val="single" w:sz="4" w:space="0" w:color="auto"/>
              <w:right w:val="single" w:sz="4" w:space="0" w:color="auto"/>
            </w:tcBorders>
            <w:shd w:val="clear" w:color="auto" w:fill="auto"/>
            <w:noWrap/>
            <w:vAlign w:val="bottom"/>
            <w:hideMark/>
          </w:tcPr>
          <w:p w14:paraId="5A97D203" w14:textId="77777777" w:rsidR="007C3AB2" w:rsidRPr="00C56EC9" w:rsidRDefault="007C3AB2" w:rsidP="00204A99">
            <w:pPr>
              <w:pStyle w:val="Tablas"/>
              <w:rPr>
                <w:sz w:val="18"/>
                <w:szCs w:val="18"/>
              </w:rPr>
            </w:pPr>
            <w:r w:rsidRPr="00C56EC9">
              <w:rPr>
                <w:sz w:val="18"/>
                <w:szCs w:val="18"/>
              </w:rPr>
              <w:t>0.5960</w:t>
            </w:r>
          </w:p>
        </w:tc>
        <w:tc>
          <w:tcPr>
            <w:tcW w:w="1360" w:type="dxa"/>
            <w:tcBorders>
              <w:top w:val="nil"/>
              <w:left w:val="nil"/>
              <w:bottom w:val="single" w:sz="4" w:space="0" w:color="auto"/>
              <w:right w:val="single" w:sz="8" w:space="0" w:color="auto"/>
            </w:tcBorders>
            <w:shd w:val="clear" w:color="auto" w:fill="auto"/>
            <w:noWrap/>
            <w:vAlign w:val="bottom"/>
            <w:hideMark/>
          </w:tcPr>
          <w:p w14:paraId="0D609F06" w14:textId="77777777" w:rsidR="007C3AB2" w:rsidRPr="00C56EC9" w:rsidRDefault="007C3AB2" w:rsidP="00204A99">
            <w:pPr>
              <w:pStyle w:val="Tablas"/>
              <w:rPr>
                <w:sz w:val="18"/>
                <w:szCs w:val="18"/>
              </w:rPr>
            </w:pPr>
            <w:r w:rsidRPr="00C56EC9">
              <w:rPr>
                <w:sz w:val="18"/>
                <w:szCs w:val="18"/>
              </w:rPr>
              <w:t>15.0</w:t>
            </w:r>
          </w:p>
        </w:tc>
      </w:tr>
      <w:tr w:rsidR="007C3AB2" w:rsidRPr="00C56EC9" w14:paraId="5126BB9D"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D5F6FEE" w14:textId="77777777" w:rsidR="007C3AB2" w:rsidRPr="00C56EC9" w:rsidRDefault="007C3AB2" w:rsidP="00204A99">
            <w:pPr>
              <w:pStyle w:val="Tablas"/>
              <w:rPr>
                <w:sz w:val="18"/>
                <w:szCs w:val="18"/>
              </w:rPr>
            </w:pPr>
            <w:r w:rsidRPr="00C56EC9">
              <w:rPr>
                <w:sz w:val="18"/>
                <w:szCs w:val="18"/>
              </w:rPr>
              <w:t>35</w:t>
            </w:r>
          </w:p>
        </w:tc>
        <w:tc>
          <w:tcPr>
            <w:tcW w:w="1480" w:type="dxa"/>
            <w:tcBorders>
              <w:top w:val="nil"/>
              <w:left w:val="nil"/>
              <w:bottom w:val="single" w:sz="4" w:space="0" w:color="auto"/>
              <w:right w:val="single" w:sz="4" w:space="0" w:color="auto"/>
            </w:tcBorders>
            <w:shd w:val="clear" w:color="auto" w:fill="auto"/>
            <w:noWrap/>
            <w:vAlign w:val="bottom"/>
            <w:hideMark/>
          </w:tcPr>
          <w:p w14:paraId="0155F427" w14:textId="77777777" w:rsidR="007C3AB2" w:rsidRPr="00C56EC9" w:rsidRDefault="007C3AB2" w:rsidP="00204A99">
            <w:pPr>
              <w:pStyle w:val="Tablas"/>
              <w:rPr>
                <w:sz w:val="18"/>
                <w:szCs w:val="18"/>
              </w:rPr>
            </w:pPr>
            <w:r w:rsidRPr="00C56EC9">
              <w:rPr>
                <w:sz w:val="18"/>
                <w:szCs w:val="18"/>
              </w:rPr>
              <w:t>1.0260</w:t>
            </w:r>
          </w:p>
        </w:tc>
        <w:tc>
          <w:tcPr>
            <w:tcW w:w="1360" w:type="dxa"/>
            <w:tcBorders>
              <w:top w:val="nil"/>
              <w:left w:val="nil"/>
              <w:bottom w:val="single" w:sz="4" w:space="0" w:color="auto"/>
              <w:right w:val="single" w:sz="8" w:space="0" w:color="auto"/>
            </w:tcBorders>
            <w:shd w:val="clear" w:color="auto" w:fill="auto"/>
            <w:noWrap/>
            <w:vAlign w:val="bottom"/>
            <w:hideMark/>
          </w:tcPr>
          <w:p w14:paraId="598424DA" w14:textId="77777777" w:rsidR="007C3AB2" w:rsidRPr="00C56EC9" w:rsidRDefault="007C3AB2" w:rsidP="00204A99">
            <w:pPr>
              <w:pStyle w:val="Tablas"/>
              <w:rPr>
                <w:sz w:val="18"/>
                <w:szCs w:val="18"/>
              </w:rPr>
            </w:pPr>
            <w:r w:rsidRPr="00C56EC9">
              <w:rPr>
                <w:sz w:val="18"/>
                <w:szCs w:val="18"/>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3D86B13D" w14:textId="77777777" w:rsidR="007C3AB2" w:rsidRPr="00C56EC9" w:rsidRDefault="007C3AB2" w:rsidP="00204A99">
            <w:pPr>
              <w:pStyle w:val="Tablas"/>
              <w:rPr>
                <w:sz w:val="18"/>
                <w:szCs w:val="18"/>
              </w:rPr>
            </w:pPr>
            <w:r w:rsidRPr="00C56EC9">
              <w:rPr>
                <w:sz w:val="18"/>
                <w:szCs w:val="18"/>
              </w:rPr>
              <w:t>58</w:t>
            </w:r>
          </w:p>
        </w:tc>
        <w:tc>
          <w:tcPr>
            <w:tcW w:w="1360" w:type="dxa"/>
            <w:tcBorders>
              <w:top w:val="nil"/>
              <w:left w:val="nil"/>
              <w:bottom w:val="single" w:sz="4" w:space="0" w:color="auto"/>
              <w:right w:val="single" w:sz="4" w:space="0" w:color="auto"/>
            </w:tcBorders>
            <w:shd w:val="clear" w:color="auto" w:fill="auto"/>
            <w:noWrap/>
            <w:vAlign w:val="bottom"/>
            <w:hideMark/>
          </w:tcPr>
          <w:p w14:paraId="734A41A1" w14:textId="77777777" w:rsidR="007C3AB2" w:rsidRPr="00C56EC9" w:rsidRDefault="007C3AB2" w:rsidP="00204A99">
            <w:pPr>
              <w:pStyle w:val="Tablas"/>
              <w:rPr>
                <w:sz w:val="18"/>
                <w:szCs w:val="18"/>
              </w:rPr>
            </w:pPr>
            <w:r w:rsidRPr="00C56EC9">
              <w:rPr>
                <w:sz w:val="18"/>
                <w:szCs w:val="18"/>
              </w:rPr>
              <w:t>0.4600</w:t>
            </w:r>
          </w:p>
        </w:tc>
        <w:tc>
          <w:tcPr>
            <w:tcW w:w="1360" w:type="dxa"/>
            <w:tcBorders>
              <w:top w:val="nil"/>
              <w:left w:val="nil"/>
              <w:bottom w:val="single" w:sz="4" w:space="0" w:color="auto"/>
              <w:right w:val="single" w:sz="8" w:space="0" w:color="auto"/>
            </w:tcBorders>
            <w:shd w:val="clear" w:color="auto" w:fill="auto"/>
            <w:noWrap/>
            <w:vAlign w:val="bottom"/>
            <w:hideMark/>
          </w:tcPr>
          <w:p w14:paraId="02C4C0D7" w14:textId="77777777" w:rsidR="007C3AB2" w:rsidRPr="00C56EC9" w:rsidRDefault="007C3AB2" w:rsidP="00204A99">
            <w:pPr>
              <w:pStyle w:val="Tablas"/>
              <w:rPr>
                <w:sz w:val="18"/>
                <w:szCs w:val="18"/>
              </w:rPr>
            </w:pPr>
            <w:r w:rsidRPr="00C56EC9">
              <w:rPr>
                <w:sz w:val="18"/>
                <w:szCs w:val="18"/>
              </w:rPr>
              <w:t>15.0</w:t>
            </w:r>
          </w:p>
        </w:tc>
      </w:tr>
      <w:tr w:rsidR="007C3AB2" w:rsidRPr="00C56EC9" w14:paraId="2A4EE552"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5F86920" w14:textId="77777777" w:rsidR="007C3AB2" w:rsidRPr="00C56EC9" w:rsidRDefault="007C3AB2" w:rsidP="00204A99">
            <w:pPr>
              <w:pStyle w:val="Tablas"/>
              <w:rPr>
                <w:sz w:val="18"/>
                <w:szCs w:val="18"/>
              </w:rPr>
            </w:pPr>
            <w:r w:rsidRPr="00C56EC9">
              <w:rPr>
                <w:sz w:val="18"/>
                <w:szCs w:val="18"/>
              </w:rPr>
              <w:t>36</w:t>
            </w:r>
          </w:p>
        </w:tc>
        <w:tc>
          <w:tcPr>
            <w:tcW w:w="1480" w:type="dxa"/>
            <w:tcBorders>
              <w:top w:val="nil"/>
              <w:left w:val="nil"/>
              <w:bottom w:val="single" w:sz="4" w:space="0" w:color="auto"/>
              <w:right w:val="single" w:sz="4" w:space="0" w:color="auto"/>
            </w:tcBorders>
            <w:shd w:val="clear" w:color="auto" w:fill="auto"/>
            <w:noWrap/>
            <w:vAlign w:val="bottom"/>
            <w:hideMark/>
          </w:tcPr>
          <w:p w14:paraId="35E5E178" w14:textId="77777777" w:rsidR="007C3AB2" w:rsidRPr="00C56EC9" w:rsidRDefault="007C3AB2" w:rsidP="00204A99">
            <w:pPr>
              <w:pStyle w:val="Tablas"/>
              <w:rPr>
                <w:sz w:val="18"/>
                <w:szCs w:val="18"/>
              </w:rPr>
            </w:pPr>
            <w:r w:rsidRPr="00C56EC9">
              <w:rPr>
                <w:sz w:val="18"/>
                <w:szCs w:val="18"/>
              </w:rPr>
              <w:t>1.0660</w:t>
            </w:r>
          </w:p>
        </w:tc>
        <w:tc>
          <w:tcPr>
            <w:tcW w:w="1360" w:type="dxa"/>
            <w:tcBorders>
              <w:top w:val="nil"/>
              <w:left w:val="nil"/>
              <w:bottom w:val="single" w:sz="4" w:space="0" w:color="auto"/>
              <w:right w:val="single" w:sz="8" w:space="0" w:color="auto"/>
            </w:tcBorders>
            <w:shd w:val="clear" w:color="auto" w:fill="auto"/>
            <w:noWrap/>
            <w:vAlign w:val="bottom"/>
            <w:hideMark/>
          </w:tcPr>
          <w:p w14:paraId="4F078133" w14:textId="77777777" w:rsidR="007C3AB2" w:rsidRPr="00C56EC9" w:rsidRDefault="007C3AB2" w:rsidP="00204A99">
            <w:pPr>
              <w:pStyle w:val="Tablas"/>
              <w:rPr>
                <w:sz w:val="18"/>
                <w:szCs w:val="18"/>
              </w:rPr>
            </w:pPr>
            <w:r w:rsidRPr="00C56EC9">
              <w:rPr>
                <w:sz w:val="18"/>
                <w:szCs w:val="18"/>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DF45BBD" w14:textId="77777777" w:rsidR="007C3AB2" w:rsidRPr="00C56EC9" w:rsidRDefault="007C3AB2" w:rsidP="00204A99">
            <w:pPr>
              <w:pStyle w:val="Tablas"/>
              <w:rPr>
                <w:sz w:val="18"/>
                <w:szCs w:val="18"/>
              </w:rPr>
            </w:pPr>
            <w:r w:rsidRPr="00C56EC9">
              <w:rPr>
                <w:sz w:val="18"/>
                <w:szCs w:val="18"/>
              </w:rPr>
              <w:t>59</w:t>
            </w:r>
          </w:p>
        </w:tc>
        <w:tc>
          <w:tcPr>
            <w:tcW w:w="1360" w:type="dxa"/>
            <w:tcBorders>
              <w:top w:val="nil"/>
              <w:left w:val="nil"/>
              <w:bottom w:val="single" w:sz="4" w:space="0" w:color="auto"/>
              <w:right w:val="single" w:sz="4" w:space="0" w:color="auto"/>
            </w:tcBorders>
            <w:shd w:val="clear" w:color="auto" w:fill="auto"/>
            <w:noWrap/>
            <w:vAlign w:val="bottom"/>
            <w:hideMark/>
          </w:tcPr>
          <w:p w14:paraId="5270562C" w14:textId="77777777" w:rsidR="007C3AB2" w:rsidRPr="00C56EC9" w:rsidRDefault="007C3AB2" w:rsidP="00204A99">
            <w:pPr>
              <w:pStyle w:val="Tablas"/>
              <w:rPr>
                <w:sz w:val="18"/>
                <w:szCs w:val="18"/>
              </w:rPr>
            </w:pPr>
            <w:r w:rsidRPr="00C56EC9">
              <w:rPr>
                <w:sz w:val="18"/>
                <w:szCs w:val="18"/>
              </w:rPr>
              <w:t>0.4340</w:t>
            </w:r>
          </w:p>
        </w:tc>
        <w:tc>
          <w:tcPr>
            <w:tcW w:w="1360" w:type="dxa"/>
            <w:tcBorders>
              <w:top w:val="nil"/>
              <w:left w:val="nil"/>
              <w:bottom w:val="single" w:sz="4" w:space="0" w:color="auto"/>
              <w:right w:val="single" w:sz="8" w:space="0" w:color="auto"/>
            </w:tcBorders>
            <w:shd w:val="clear" w:color="auto" w:fill="auto"/>
            <w:noWrap/>
            <w:vAlign w:val="bottom"/>
            <w:hideMark/>
          </w:tcPr>
          <w:p w14:paraId="3AA6C135" w14:textId="77777777" w:rsidR="007C3AB2" w:rsidRPr="00C56EC9" w:rsidRDefault="007C3AB2" w:rsidP="00204A99">
            <w:pPr>
              <w:pStyle w:val="Tablas"/>
              <w:rPr>
                <w:sz w:val="18"/>
                <w:szCs w:val="18"/>
              </w:rPr>
            </w:pPr>
            <w:r w:rsidRPr="00C56EC9">
              <w:rPr>
                <w:sz w:val="18"/>
                <w:szCs w:val="18"/>
              </w:rPr>
              <w:t>15.0</w:t>
            </w:r>
          </w:p>
        </w:tc>
      </w:tr>
      <w:tr w:rsidR="007C3AB2" w:rsidRPr="00C56EC9" w14:paraId="1ED9EA7E"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FC0572D" w14:textId="77777777" w:rsidR="007C3AB2" w:rsidRPr="00C56EC9" w:rsidRDefault="007C3AB2" w:rsidP="00204A99">
            <w:pPr>
              <w:pStyle w:val="Tablas"/>
              <w:rPr>
                <w:sz w:val="18"/>
                <w:szCs w:val="18"/>
              </w:rPr>
            </w:pPr>
            <w:r w:rsidRPr="00C56EC9">
              <w:rPr>
                <w:sz w:val="18"/>
                <w:szCs w:val="18"/>
              </w:rPr>
              <w:t>37</w:t>
            </w:r>
          </w:p>
        </w:tc>
        <w:tc>
          <w:tcPr>
            <w:tcW w:w="1480" w:type="dxa"/>
            <w:tcBorders>
              <w:top w:val="nil"/>
              <w:left w:val="nil"/>
              <w:bottom w:val="single" w:sz="4" w:space="0" w:color="auto"/>
              <w:right w:val="single" w:sz="4" w:space="0" w:color="auto"/>
            </w:tcBorders>
            <w:shd w:val="clear" w:color="auto" w:fill="auto"/>
            <w:noWrap/>
            <w:vAlign w:val="bottom"/>
            <w:hideMark/>
          </w:tcPr>
          <w:p w14:paraId="00DD31C4" w14:textId="77777777" w:rsidR="007C3AB2" w:rsidRPr="00C56EC9" w:rsidRDefault="007C3AB2" w:rsidP="00204A99">
            <w:pPr>
              <w:pStyle w:val="Tablas"/>
              <w:rPr>
                <w:sz w:val="18"/>
                <w:szCs w:val="18"/>
              </w:rPr>
            </w:pPr>
            <w:r w:rsidRPr="00C56EC9">
              <w:rPr>
                <w:sz w:val="18"/>
                <w:szCs w:val="18"/>
              </w:rPr>
              <w:t>1.0970</w:t>
            </w:r>
          </w:p>
        </w:tc>
        <w:tc>
          <w:tcPr>
            <w:tcW w:w="1360" w:type="dxa"/>
            <w:tcBorders>
              <w:top w:val="nil"/>
              <w:left w:val="nil"/>
              <w:bottom w:val="single" w:sz="4" w:space="0" w:color="auto"/>
              <w:right w:val="single" w:sz="8" w:space="0" w:color="auto"/>
            </w:tcBorders>
            <w:shd w:val="clear" w:color="auto" w:fill="auto"/>
            <w:noWrap/>
            <w:vAlign w:val="bottom"/>
            <w:hideMark/>
          </w:tcPr>
          <w:p w14:paraId="40CAEC91" w14:textId="77777777" w:rsidR="007C3AB2" w:rsidRPr="00C56EC9" w:rsidRDefault="007C3AB2" w:rsidP="00204A99">
            <w:pPr>
              <w:pStyle w:val="Tablas"/>
              <w:rPr>
                <w:sz w:val="18"/>
                <w:szCs w:val="18"/>
              </w:rPr>
            </w:pPr>
            <w:r w:rsidRPr="00C56EC9">
              <w:rPr>
                <w:sz w:val="18"/>
                <w:szCs w:val="18"/>
              </w:rPr>
              <w:t>11.00</w:t>
            </w:r>
          </w:p>
        </w:tc>
        <w:tc>
          <w:tcPr>
            <w:tcW w:w="1360" w:type="dxa"/>
            <w:tcBorders>
              <w:top w:val="nil"/>
              <w:left w:val="nil"/>
              <w:bottom w:val="single" w:sz="4" w:space="0" w:color="auto"/>
              <w:right w:val="single" w:sz="4" w:space="0" w:color="auto"/>
            </w:tcBorders>
            <w:shd w:val="clear" w:color="auto" w:fill="auto"/>
            <w:noWrap/>
            <w:vAlign w:val="bottom"/>
            <w:hideMark/>
          </w:tcPr>
          <w:p w14:paraId="43E251A4" w14:textId="77777777" w:rsidR="007C3AB2" w:rsidRPr="00C56EC9" w:rsidRDefault="007C3AB2" w:rsidP="00204A99">
            <w:pPr>
              <w:pStyle w:val="Tablas"/>
              <w:rPr>
                <w:sz w:val="18"/>
                <w:szCs w:val="18"/>
              </w:rPr>
            </w:pPr>
            <w:r w:rsidRPr="00C56EC9">
              <w:rPr>
                <w:sz w:val="18"/>
                <w:szCs w:val="18"/>
              </w:rPr>
              <w:t>60</w:t>
            </w:r>
          </w:p>
        </w:tc>
        <w:tc>
          <w:tcPr>
            <w:tcW w:w="1360" w:type="dxa"/>
            <w:tcBorders>
              <w:top w:val="nil"/>
              <w:left w:val="nil"/>
              <w:bottom w:val="single" w:sz="4" w:space="0" w:color="auto"/>
              <w:right w:val="single" w:sz="4" w:space="0" w:color="auto"/>
            </w:tcBorders>
            <w:shd w:val="clear" w:color="auto" w:fill="auto"/>
            <w:noWrap/>
            <w:vAlign w:val="bottom"/>
            <w:hideMark/>
          </w:tcPr>
          <w:p w14:paraId="5C62D326" w14:textId="77777777" w:rsidR="007C3AB2" w:rsidRPr="00C56EC9" w:rsidRDefault="007C3AB2" w:rsidP="00204A99">
            <w:pPr>
              <w:pStyle w:val="Tablas"/>
              <w:rPr>
                <w:sz w:val="18"/>
                <w:szCs w:val="18"/>
              </w:rPr>
            </w:pPr>
            <w:r w:rsidRPr="00C56EC9">
              <w:rPr>
                <w:sz w:val="18"/>
                <w:szCs w:val="18"/>
              </w:rPr>
              <w:t>0.4100</w:t>
            </w:r>
          </w:p>
        </w:tc>
        <w:tc>
          <w:tcPr>
            <w:tcW w:w="1360" w:type="dxa"/>
            <w:tcBorders>
              <w:top w:val="nil"/>
              <w:left w:val="nil"/>
              <w:bottom w:val="single" w:sz="4" w:space="0" w:color="auto"/>
              <w:right w:val="single" w:sz="8" w:space="0" w:color="auto"/>
            </w:tcBorders>
            <w:shd w:val="clear" w:color="auto" w:fill="auto"/>
            <w:noWrap/>
            <w:vAlign w:val="bottom"/>
            <w:hideMark/>
          </w:tcPr>
          <w:p w14:paraId="564B3916" w14:textId="77777777" w:rsidR="007C3AB2" w:rsidRPr="00C56EC9" w:rsidRDefault="007C3AB2" w:rsidP="00204A99">
            <w:pPr>
              <w:pStyle w:val="Tablas"/>
              <w:rPr>
                <w:sz w:val="18"/>
                <w:szCs w:val="18"/>
              </w:rPr>
            </w:pPr>
            <w:r w:rsidRPr="00C56EC9">
              <w:rPr>
                <w:sz w:val="18"/>
                <w:szCs w:val="18"/>
              </w:rPr>
              <w:t>15.0</w:t>
            </w:r>
          </w:p>
        </w:tc>
      </w:tr>
      <w:tr w:rsidR="007C3AB2" w:rsidRPr="00C56EC9" w14:paraId="6BA308CE"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905B406" w14:textId="77777777" w:rsidR="007C3AB2" w:rsidRPr="00C56EC9" w:rsidRDefault="007C3AB2" w:rsidP="00204A99">
            <w:pPr>
              <w:pStyle w:val="Tablas"/>
              <w:rPr>
                <w:sz w:val="18"/>
                <w:szCs w:val="18"/>
              </w:rPr>
            </w:pPr>
            <w:r w:rsidRPr="00C56EC9">
              <w:rPr>
                <w:sz w:val="18"/>
                <w:szCs w:val="18"/>
              </w:rPr>
              <w:t>38</w:t>
            </w:r>
          </w:p>
        </w:tc>
        <w:tc>
          <w:tcPr>
            <w:tcW w:w="1480" w:type="dxa"/>
            <w:tcBorders>
              <w:top w:val="nil"/>
              <w:left w:val="nil"/>
              <w:bottom w:val="single" w:sz="4" w:space="0" w:color="auto"/>
              <w:right w:val="single" w:sz="4" w:space="0" w:color="auto"/>
            </w:tcBorders>
            <w:shd w:val="clear" w:color="auto" w:fill="auto"/>
            <w:noWrap/>
            <w:vAlign w:val="bottom"/>
            <w:hideMark/>
          </w:tcPr>
          <w:p w14:paraId="5AD81242" w14:textId="77777777" w:rsidR="007C3AB2" w:rsidRPr="00C56EC9" w:rsidRDefault="007C3AB2" w:rsidP="00204A99">
            <w:pPr>
              <w:pStyle w:val="Tablas"/>
              <w:rPr>
                <w:sz w:val="18"/>
                <w:szCs w:val="18"/>
              </w:rPr>
            </w:pPr>
            <w:r w:rsidRPr="00C56EC9">
              <w:rPr>
                <w:sz w:val="18"/>
                <w:szCs w:val="18"/>
              </w:rPr>
              <w:t>1.1210</w:t>
            </w:r>
          </w:p>
        </w:tc>
        <w:tc>
          <w:tcPr>
            <w:tcW w:w="1360" w:type="dxa"/>
            <w:tcBorders>
              <w:top w:val="nil"/>
              <w:left w:val="nil"/>
              <w:bottom w:val="single" w:sz="4" w:space="0" w:color="auto"/>
              <w:right w:val="single" w:sz="8" w:space="0" w:color="auto"/>
            </w:tcBorders>
            <w:shd w:val="clear" w:color="auto" w:fill="auto"/>
            <w:noWrap/>
            <w:vAlign w:val="bottom"/>
            <w:hideMark/>
          </w:tcPr>
          <w:p w14:paraId="2E416424" w14:textId="77777777" w:rsidR="007C3AB2" w:rsidRPr="00C56EC9" w:rsidRDefault="007C3AB2" w:rsidP="00204A99">
            <w:pPr>
              <w:pStyle w:val="Tablas"/>
              <w:rPr>
                <w:sz w:val="18"/>
                <w:szCs w:val="18"/>
              </w:rPr>
            </w:pPr>
            <w:r w:rsidRPr="00C56EC9">
              <w:rPr>
                <w:sz w:val="18"/>
                <w:szCs w:val="18"/>
              </w:rPr>
              <w:t>11.00</w:t>
            </w:r>
          </w:p>
        </w:tc>
        <w:tc>
          <w:tcPr>
            <w:tcW w:w="1360" w:type="dxa"/>
            <w:tcBorders>
              <w:top w:val="nil"/>
              <w:left w:val="nil"/>
              <w:bottom w:val="single" w:sz="4" w:space="0" w:color="auto"/>
              <w:right w:val="single" w:sz="4" w:space="0" w:color="auto"/>
            </w:tcBorders>
            <w:shd w:val="clear" w:color="auto" w:fill="auto"/>
            <w:noWrap/>
            <w:vAlign w:val="bottom"/>
            <w:hideMark/>
          </w:tcPr>
          <w:p w14:paraId="1DAB7DB7" w14:textId="77777777" w:rsidR="007C3AB2" w:rsidRPr="00C56EC9" w:rsidRDefault="007C3AB2" w:rsidP="00204A99">
            <w:pPr>
              <w:pStyle w:val="Tablas"/>
              <w:rPr>
                <w:sz w:val="18"/>
                <w:szCs w:val="18"/>
              </w:rPr>
            </w:pPr>
            <w:r w:rsidRPr="00C56EC9">
              <w:rPr>
                <w:sz w:val="18"/>
                <w:szCs w:val="18"/>
              </w:rPr>
              <w:t>61</w:t>
            </w:r>
          </w:p>
        </w:tc>
        <w:tc>
          <w:tcPr>
            <w:tcW w:w="1360" w:type="dxa"/>
            <w:tcBorders>
              <w:top w:val="nil"/>
              <w:left w:val="nil"/>
              <w:bottom w:val="single" w:sz="4" w:space="0" w:color="auto"/>
              <w:right w:val="single" w:sz="4" w:space="0" w:color="auto"/>
            </w:tcBorders>
            <w:shd w:val="clear" w:color="auto" w:fill="auto"/>
            <w:noWrap/>
            <w:vAlign w:val="bottom"/>
            <w:hideMark/>
          </w:tcPr>
          <w:p w14:paraId="570297A4" w14:textId="77777777" w:rsidR="007C3AB2" w:rsidRPr="00C56EC9" w:rsidRDefault="007C3AB2" w:rsidP="00204A99">
            <w:pPr>
              <w:pStyle w:val="Tablas"/>
              <w:rPr>
                <w:sz w:val="18"/>
                <w:szCs w:val="18"/>
              </w:rPr>
            </w:pPr>
            <w:r w:rsidRPr="00C56EC9">
              <w:rPr>
                <w:sz w:val="18"/>
                <w:szCs w:val="18"/>
              </w:rPr>
              <w:t>0.3860</w:t>
            </w:r>
          </w:p>
        </w:tc>
        <w:tc>
          <w:tcPr>
            <w:tcW w:w="1360" w:type="dxa"/>
            <w:tcBorders>
              <w:top w:val="nil"/>
              <w:left w:val="nil"/>
              <w:bottom w:val="single" w:sz="4" w:space="0" w:color="auto"/>
              <w:right w:val="single" w:sz="8" w:space="0" w:color="auto"/>
            </w:tcBorders>
            <w:shd w:val="clear" w:color="auto" w:fill="auto"/>
            <w:noWrap/>
            <w:vAlign w:val="bottom"/>
            <w:hideMark/>
          </w:tcPr>
          <w:p w14:paraId="19805755" w14:textId="77777777" w:rsidR="007C3AB2" w:rsidRPr="00C56EC9" w:rsidRDefault="007C3AB2" w:rsidP="00204A99">
            <w:pPr>
              <w:pStyle w:val="Tablas"/>
              <w:rPr>
                <w:sz w:val="18"/>
                <w:szCs w:val="18"/>
              </w:rPr>
            </w:pPr>
            <w:r w:rsidRPr="00C56EC9">
              <w:rPr>
                <w:sz w:val="18"/>
                <w:szCs w:val="18"/>
              </w:rPr>
              <w:t>15.0</w:t>
            </w:r>
          </w:p>
        </w:tc>
      </w:tr>
      <w:tr w:rsidR="007C3AB2" w:rsidRPr="00C56EC9" w14:paraId="48F405B3"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895B820" w14:textId="77777777" w:rsidR="007C3AB2" w:rsidRPr="00C56EC9" w:rsidRDefault="007C3AB2" w:rsidP="00204A99">
            <w:pPr>
              <w:pStyle w:val="Tablas"/>
              <w:rPr>
                <w:sz w:val="18"/>
                <w:szCs w:val="18"/>
              </w:rPr>
            </w:pPr>
            <w:r w:rsidRPr="00C56EC9">
              <w:rPr>
                <w:sz w:val="18"/>
                <w:szCs w:val="18"/>
              </w:rPr>
              <w:t>39</w:t>
            </w:r>
          </w:p>
        </w:tc>
        <w:tc>
          <w:tcPr>
            <w:tcW w:w="1480" w:type="dxa"/>
            <w:tcBorders>
              <w:top w:val="nil"/>
              <w:left w:val="nil"/>
              <w:bottom w:val="single" w:sz="4" w:space="0" w:color="auto"/>
              <w:right w:val="single" w:sz="4" w:space="0" w:color="auto"/>
            </w:tcBorders>
            <w:shd w:val="clear" w:color="auto" w:fill="auto"/>
            <w:noWrap/>
            <w:vAlign w:val="bottom"/>
            <w:hideMark/>
          </w:tcPr>
          <w:p w14:paraId="52C5960A" w14:textId="77777777" w:rsidR="007C3AB2" w:rsidRPr="00C56EC9" w:rsidRDefault="007C3AB2" w:rsidP="00204A99">
            <w:pPr>
              <w:pStyle w:val="Tablas"/>
              <w:rPr>
                <w:sz w:val="18"/>
                <w:szCs w:val="18"/>
              </w:rPr>
            </w:pPr>
            <w:r w:rsidRPr="00C56EC9">
              <w:rPr>
                <w:sz w:val="18"/>
                <w:szCs w:val="18"/>
              </w:rPr>
              <w:t>1.1370</w:t>
            </w:r>
          </w:p>
        </w:tc>
        <w:tc>
          <w:tcPr>
            <w:tcW w:w="1360" w:type="dxa"/>
            <w:tcBorders>
              <w:top w:val="nil"/>
              <w:left w:val="nil"/>
              <w:bottom w:val="single" w:sz="4" w:space="0" w:color="auto"/>
              <w:right w:val="single" w:sz="8" w:space="0" w:color="auto"/>
            </w:tcBorders>
            <w:shd w:val="clear" w:color="auto" w:fill="auto"/>
            <w:noWrap/>
            <w:vAlign w:val="bottom"/>
            <w:hideMark/>
          </w:tcPr>
          <w:p w14:paraId="0119E57D" w14:textId="77777777" w:rsidR="007C3AB2" w:rsidRPr="00C56EC9" w:rsidRDefault="007C3AB2" w:rsidP="00204A99">
            <w:pPr>
              <w:pStyle w:val="Tablas"/>
              <w:rPr>
                <w:sz w:val="18"/>
                <w:szCs w:val="18"/>
              </w:rPr>
            </w:pPr>
            <w:r w:rsidRPr="00C56EC9">
              <w:rPr>
                <w:sz w:val="18"/>
                <w:szCs w:val="18"/>
              </w:rPr>
              <w:t>12.00</w:t>
            </w:r>
          </w:p>
        </w:tc>
        <w:tc>
          <w:tcPr>
            <w:tcW w:w="1360" w:type="dxa"/>
            <w:tcBorders>
              <w:top w:val="nil"/>
              <w:left w:val="nil"/>
              <w:bottom w:val="single" w:sz="4" w:space="0" w:color="auto"/>
              <w:right w:val="single" w:sz="4" w:space="0" w:color="auto"/>
            </w:tcBorders>
            <w:shd w:val="clear" w:color="auto" w:fill="auto"/>
            <w:noWrap/>
            <w:vAlign w:val="bottom"/>
            <w:hideMark/>
          </w:tcPr>
          <w:p w14:paraId="59859672" w14:textId="77777777" w:rsidR="007C3AB2" w:rsidRPr="00C56EC9" w:rsidRDefault="007C3AB2" w:rsidP="00204A99">
            <w:pPr>
              <w:pStyle w:val="Tablas"/>
              <w:rPr>
                <w:sz w:val="18"/>
                <w:szCs w:val="18"/>
              </w:rPr>
            </w:pPr>
            <w:r w:rsidRPr="00C56EC9">
              <w:rPr>
                <w:sz w:val="18"/>
                <w:szCs w:val="18"/>
              </w:rPr>
              <w:t>62</w:t>
            </w:r>
          </w:p>
        </w:tc>
        <w:tc>
          <w:tcPr>
            <w:tcW w:w="1360" w:type="dxa"/>
            <w:tcBorders>
              <w:top w:val="nil"/>
              <w:left w:val="nil"/>
              <w:bottom w:val="single" w:sz="4" w:space="0" w:color="auto"/>
              <w:right w:val="single" w:sz="4" w:space="0" w:color="auto"/>
            </w:tcBorders>
            <w:shd w:val="clear" w:color="auto" w:fill="auto"/>
            <w:noWrap/>
            <w:vAlign w:val="bottom"/>
            <w:hideMark/>
          </w:tcPr>
          <w:p w14:paraId="74E9696E" w14:textId="77777777" w:rsidR="007C3AB2" w:rsidRPr="00C56EC9" w:rsidRDefault="007C3AB2" w:rsidP="00204A99">
            <w:pPr>
              <w:pStyle w:val="Tablas"/>
              <w:rPr>
                <w:sz w:val="18"/>
                <w:szCs w:val="18"/>
              </w:rPr>
            </w:pPr>
            <w:r w:rsidRPr="00C56EC9">
              <w:rPr>
                <w:sz w:val="18"/>
                <w:szCs w:val="18"/>
              </w:rPr>
              <w:t>0.3630</w:t>
            </w:r>
          </w:p>
        </w:tc>
        <w:tc>
          <w:tcPr>
            <w:tcW w:w="1360" w:type="dxa"/>
            <w:tcBorders>
              <w:top w:val="nil"/>
              <w:left w:val="nil"/>
              <w:bottom w:val="single" w:sz="4" w:space="0" w:color="auto"/>
              <w:right w:val="single" w:sz="8" w:space="0" w:color="auto"/>
            </w:tcBorders>
            <w:shd w:val="clear" w:color="auto" w:fill="auto"/>
            <w:noWrap/>
            <w:vAlign w:val="bottom"/>
            <w:hideMark/>
          </w:tcPr>
          <w:p w14:paraId="397E9A58" w14:textId="77777777" w:rsidR="007C3AB2" w:rsidRPr="00C56EC9" w:rsidRDefault="007C3AB2" w:rsidP="00204A99">
            <w:pPr>
              <w:pStyle w:val="Tablas"/>
              <w:rPr>
                <w:sz w:val="18"/>
                <w:szCs w:val="18"/>
              </w:rPr>
            </w:pPr>
            <w:r w:rsidRPr="00C56EC9">
              <w:rPr>
                <w:sz w:val="18"/>
                <w:szCs w:val="18"/>
              </w:rPr>
              <w:t>15.0</w:t>
            </w:r>
          </w:p>
        </w:tc>
      </w:tr>
      <w:tr w:rsidR="007C3AB2" w:rsidRPr="00C56EC9" w14:paraId="633DE03C"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48B74CD" w14:textId="77777777" w:rsidR="007C3AB2" w:rsidRPr="00C56EC9" w:rsidRDefault="007C3AB2" w:rsidP="00204A99">
            <w:pPr>
              <w:pStyle w:val="Tablas"/>
              <w:rPr>
                <w:sz w:val="18"/>
                <w:szCs w:val="18"/>
              </w:rPr>
            </w:pPr>
            <w:r w:rsidRPr="00C56EC9">
              <w:rPr>
                <w:sz w:val="18"/>
                <w:szCs w:val="18"/>
              </w:rPr>
              <w:t>40</w:t>
            </w:r>
          </w:p>
        </w:tc>
        <w:tc>
          <w:tcPr>
            <w:tcW w:w="1480" w:type="dxa"/>
            <w:tcBorders>
              <w:top w:val="nil"/>
              <w:left w:val="nil"/>
              <w:bottom w:val="single" w:sz="4" w:space="0" w:color="auto"/>
              <w:right w:val="single" w:sz="4" w:space="0" w:color="auto"/>
            </w:tcBorders>
            <w:shd w:val="clear" w:color="auto" w:fill="auto"/>
            <w:noWrap/>
            <w:vAlign w:val="bottom"/>
            <w:hideMark/>
          </w:tcPr>
          <w:p w14:paraId="050CAEF9" w14:textId="77777777" w:rsidR="007C3AB2" w:rsidRPr="00C56EC9" w:rsidRDefault="007C3AB2" w:rsidP="00204A99">
            <w:pPr>
              <w:pStyle w:val="Tablas"/>
              <w:rPr>
                <w:sz w:val="18"/>
                <w:szCs w:val="18"/>
              </w:rPr>
            </w:pPr>
            <w:r w:rsidRPr="00C56EC9">
              <w:rPr>
                <w:sz w:val="18"/>
                <w:szCs w:val="18"/>
              </w:rPr>
              <w:t>1.1470</w:t>
            </w:r>
          </w:p>
        </w:tc>
        <w:tc>
          <w:tcPr>
            <w:tcW w:w="1360" w:type="dxa"/>
            <w:tcBorders>
              <w:top w:val="nil"/>
              <w:left w:val="nil"/>
              <w:bottom w:val="single" w:sz="4" w:space="0" w:color="auto"/>
              <w:right w:val="single" w:sz="8" w:space="0" w:color="auto"/>
            </w:tcBorders>
            <w:shd w:val="clear" w:color="auto" w:fill="auto"/>
            <w:noWrap/>
            <w:vAlign w:val="bottom"/>
            <w:hideMark/>
          </w:tcPr>
          <w:p w14:paraId="52A13968" w14:textId="77777777" w:rsidR="007C3AB2" w:rsidRPr="00C56EC9" w:rsidRDefault="007C3AB2" w:rsidP="00204A99">
            <w:pPr>
              <w:pStyle w:val="Tablas"/>
              <w:rPr>
                <w:sz w:val="18"/>
                <w:szCs w:val="18"/>
              </w:rPr>
            </w:pPr>
            <w:r w:rsidRPr="00C56EC9">
              <w:rPr>
                <w:sz w:val="18"/>
                <w:szCs w:val="18"/>
              </w:rPr>
              <w:t>12.00</w:t>
            </w:r>
          </w:p>
        </w:tc>
        <w:tc>
          <w:tcPr>
            <w:tcW w:w="1360" w:type="dxa"/>
            <w:tcBorders>
              <w:top w:val="nil"/>
              <w:left w:val="nil"/>
              <w:bottom w:val="single" w:sz="4" w:space="0" w:color="auto"/>
              <w:right w:val="single" w:sz="4" w:space="0" w:color="auto"/>
            </w:tcBorders>
            <w:shd w:val="clear" w:color="auto" w:fill="auto"/>
            <w:noWrap/>
            <w:vAlign w:val="bottom"/>
            <w:hideMark/>
          </w:tcPr>
          <w:p w14:paraId="0E243868" w14:textId="77777777" w:rsidR="007C3AB2" w:rsidRPr="00C56EC9" w:rsidRDefault="007C3AB2" w:rsidP="00204A99">
            <w:pPr>
              <w:pStyle w:val="Tablas"/>
              <w:rPr>
                <w:sz w:val="18"/>
                <w:szCs w:val="18"/>
              </w:rPr>
            </w:pPr>
            <w:r w:rsidRPr="00C56EC9">
              <w:rPr>
                <w:sz w:val="18"/>
                <w:szCs w:val="18"/>
              </w:rPr>
              <w:t>63</w:t>
            </w:r>
          </w:p>
        </w:tc>
        <w:tc>
          <w:tcPr>
            <w:tcW w:w="1360" w:type="dxa"/>
            <w:tcBorders>
              <w:top w:val="nil"/>
              <w:left w:val="nil"/>
              <w:bottom w:val="single" w:sz="4" w:space="0" w:color="auto"/>
              <w:right w:val="single" w:sz="4" w:space="0" w:color="auto"/>
            </w:tcBorders>
            <w:shd w:val="clear" w:color="auto" w:fill="auto"/>
            <w:noWrap/>
            <w:vAlign w:val="bottom"/>
            <w:hideMark/>
          </w:tcPr>
          <w:p w14:paraId="1E94974B" w14:textId="77777777" w:rsidR="007C3AB2" w:rsidRPr="00C56EC9" w:rsidRDefault="007C3AB2" w:rsidP="00204A99">
            <w:pPr>
              <w:pStyle w:val="Tablas"/>
              <w:rPr>
                <w:sz w:val="18"/>
                <w:szCs w:val="18"/>
              </w:rPr>
            </w:pPr>
            <w:r w:rsidRPr="00C56EC9">
              <w:rPr>
                <w:sz w:val="18"/>
                <w:szCs w:val="18"/>
              </w:rPr>
              <w:t>0.3400</w:t>
            </w:r>
          </w:p>
        </w:tc>
        <w:tc>
          <w:tcPr>
            <w:tcW w:w="1360" w:type="dxa"/>
            <w:tcBorders>
              <w:top w:val="nil"/>
              <w:left w:val="nil"/>
              <w:bottom w:val="single" w:sz="4" w:space="0" w:color="auto"/>
              <w:right w:val="single" w:sz="8" w:space="0" w:color="auto"/>
            </w:tcBorders>
            <w:shd w:val="clear" w:color="auto" w:fill="auto"/>
            <w:noWrap/>
            <w:vAlign w:val="bottom"/>
            <w:hideMark/>
          </w:tcPr>
          <w:p w14:paraId="457CE3D9" w14:textId="77777777" w:rsidR="007C3AB2" w:rsidRPr="00C56EC9" w:rsidRDefault="007C3AB2" w:rsidP="00204A99">
            <w:pPr>
              <w:pStyle w:val="Tablas"/>
              <w:rPr>
                <w:sz w:val="18"/>
                <w:szCs w:val="18"/>
              </w:rPr>
            </w:pPr>
            <w:r w:rsidRPr="00C56EC9">
              <w:rPr>
                <w:sz w:val="18"/>
                <w:szCs w:val="18"/>
              </w:rPr>
              <w:t>16.0</w:t>
            </w:r>
          </w:p>
        </w:tc>
      </w:tr>
      <w:tr w:rsidR="007C3AB2" w:rsidRPr="00C56EC9" w14:paraId="4FE156F3"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D046EC" w14:textId="77777777" w:rsidR="007C3AB2" w:rsidRPr="00C56EC9" w:rsidRDefault="007C3AB2" w:rsidP="00204A99">
            <w:pPr>
              <w:pStyle w:val="Tablas"/>
              <w:rPr>
                <w:sz w:val="18"/>
                <w:szCs w:val="18"/>
              </w:rPr>
            </w:pPr>
            <w:r w:rsidRPr="00C56EC9">
              <w:rPr>
                <w:sz w:val="18"/>
                <w:szCs w:val="18"/>
              </w:rPr>
              <w:t>41</w:t>
            </w:r>
          </w:p>
        </w:tc>
        <w:tc>
          <w:tcPr>
            <w:tcW w:w="1480" w:type="dxa"/>
            <w:tcBorders>
              <w:top w:val="nil"/>
              <w:left w:val="nil"/>
              <w:bottom w:val="single" w:sz="4" w:space="0" w:color="auto"/>
              <w:right w:val="single" w:sz="4" w:space="0" w:color="auto"/>
            </w:tcBorders>
            <w:shd w:val="clear" w:color="auto" w:fill="auto"/>
            <w:noWrap/>
            <w:vAlign w:val="bottom"/>
            <w:hideMark/>
          </w:tcPr>
          <w:p w14:paraId="6C3D9F80" w14:textId="77777777" w:rsidR="007C3AB2" w:rsidRPr="00C56EC9" w:rsidRDefault="007C3AB2" w:rsidP="00204A99">
            <w:pPr>
              <w:pStyle w:val="Tablas"/>
              <w:rPr>
                <w:sz w:val="18"/>
                <w:szCs w:val="18"/>
              </w:rPr>
            </w:pPr>
            <w:r w:rsidRPr="00C56EC9">
              <w:rPr>
                <w:sz w:val="18"/>
                <w:szCs w:val="18"/>
              </w:rPr>
              <w:t>1.1500</w:t>
            </w:r>
          </w:p>
        </w:tc>
        <w:tc>
          <w:tcPr>
            <w:tcW w:w="1360" w:type="dxa"/>
            <w:tcBorders>
              <w:top w:val="nil"/>
              <w:left w:val="nil"/>
              <w:bottom w:val="single" w:sz="4" w:space="0" w:color="auto"/>
              <w:right w:val="single" w:sz="8" w:space="0" w:color="auto"/>
            </w:tcBorders>
            <w:shd w:val="clear" w:color="auto" w:fill="auto"/>
            <w:noWrap/>
            <w:vAlign w:val="bottom"/>
            <w:hideMark/>
          </w:tcPr>
          <w:p w14:paraId="131CF48D" w14:textId="77777777" w:rsidR="007C3AB2" w:rsidRPr="00C56EC9" w:rsidRDefault="007C3AB2" w:rsidP="00204A99">
            <w:pPr>
              <w:pStyle w:val="Tablas"/>
              <w:rPr>
                <w:sz w:val="18"/>
                <w:szCs w:val="18"/>
              </w:rPr>
            </w:pPr>
            <w:r w:rsidRPr="00C56EC9">
              <w:rPr>
                <w:sz w:val="18"/>
                <w:szCs w:val="18"/>
              </w:rPr>
              <w:t>12.00</w:t>
            </w:r>
          </w:p>
        </w:tc>
        <w:tc>
          <w:tcPr>
            <w:tcW w:w="1360" w:type="dxa"/>
            <w:tcBorders>
              <w:top w:val="nil"/>
              <w:left w:val="nil"/>
              <w:bottom w:val="single" w:sz="4" w:space="0" w:color="auto"/>
              <w:right w:val="single" w:sz="4" w:space="0" w:color="auto"/>
            </w:tcBorders>
            <w:shd w:val="clear" w:color="auto" w:fill="auto"/>
            <w:noWrap/>
            <w:vAlign w:val="bottom"/>
            <w:hideMark/>
          </w:tcPr>
          <w:p w14:paraId="58DE9339" w14:textId="77777777" w:rsidR="007C3AB2" w:rsidRPr="00C56EC9" w:rsidRDefault="007C3AB2" w:rsidP="00204A99">
            <w:pPr>
              <w:pStyle w:val="Tablas"/>
              <w:rPr>
                <w:sz w:val="18"/>
                <w:szCs w:val="18"/>
              </w:rPr>
            </w:pPr>
            <w:r w:rsidRPr="00C56EC9">
              <w:rPr>
                <w:sz w:val="18"/>
                <w:szCs w:val="18"/>
              </w:rPr>
              <w:t>64</w:t>
            </w:r>
          </w:p>
        </w:tc>
        <w:tc>
          <w:tcPr>
            <w:tcW w:w="1360" w:type="dxa"/>
            <w:tcBorders>
              <w:top w:val="nil"/>
              <w:left w:val="nil"/>
              <w:bottom w:val="single" w:sz="4" w:space="0" w:color="auto"/>
              <w:right w:val="single" w:sz="4" w:space="0" w:color="auto"/>
            </w:tcBorders>
            <w:shd w:val="clear" w:color="auto" w:fill="auto"/>
            <w:noWrap/>
            <w:vAlign w:val="bottom"/>
            <w:hideMark/>
          </w:tcPr>
          <w:p w14:paraId="6DC2CEEA" w14:textId="77777777" w:rsidR="007C3AB2" w:rsidRPr="00C56EC9" w:rsidRDefault="007C3AB2" w:rsidP="00204A99">
            <w:pPr>
              <w:pStyle w:val="Tablas"/>
              <w:rPr>
                <w:sz w:val="18"/>
                <w:szCs w:val="18"/>
              </w:rPr>
            </w:pPr>
            <w:r w:rsidRPr="00C56EC9">
              <w:rPr>
                <w:sz w:val="18"/>
                <w:szCs w:val="18"/>
              </w:rPr>
              <w:t>0.3190</w:t>
            </w:r>
          </w:p>
        </w:tc>
        <w:tc>
          <w:tcPr>
            <w:tcW w:w="1360" w:type="dxa"/>
            <w:tcBorders>
              <w:top w:val="nil"/>
              <w:left w:val="nil"/>
              <w:bottom w:val="single" w:sz="4" w:space="0" w:color="auto"/>
              <w:right w:val="single" w:sz="8" w:space="0" w:color="auto"/>
            </w:tcBorders>
            <w:shd w:val="clear" w:color="auto" w:fill="auto"/>
            <w:noWrap/>
            <w:vAlign w:val="bottom"/>
            <w:hideMark/>
          </w:tcPr>
          <w:p w14:paraId="6588E5B6" w14:textId="77777777" w:rsidR="007C3AB2" w:rsidRPr="00C56EC9" w:rsidRDefault="007C3AB2" w:rsidP="00204A99">
            <w:pPr>
              <w:pStyle w:val="Tablas"/>
              <w:rPr>
                <w:sz w:val="18"/>
                <w:szCs w:val="18"/>
              </w:rPr>
            </w:pPr>
            <w:r w:rsidRPr="00C56EC9">
              <w:rPr>
                <w:sz w:val="18"/>
                <w:szCs w:val="18"/>
              </w:rPr>
              <w:t>17.0</w:t>
            </w:r>
          </w:p>
        </w:tc>
      </w:tr>
      <w:tr w:rsidR="007C3AB2" w:rsidRPr="00C56EC9" w14:paraId="1BCD765B"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2D18E55" w14:textId="77777777" w:rsidR="007C3AB2" w:rsidRPr="00C56EC9" w:rsidRDefault="007C3AB2" w:rsidP="00204A99">
            <w:pPr>
              <w:pStyle w:val="Tablas"/>
              <w:rPr>
                <w:sz w:val="18"/>
                <w:szCs w:val="18"/>
              </w:rPr>
            </w:pPr>
            <w:r w:rsidRPr="00C56EC9">
              <w:rPr>
                <w:sz w:val="18"/>
                <w:szCs w:val="18"/>
              </w:rPr>
              <w:t>42</w:t>
            </w:r>
          </w:p>
        </w:tc>
        <w:tc>
          <w:tcPr>
            <w:tcW w:w="1480" w:type="dxa"/>
            <w:tcBorders>
              <w:top w:val="nil"/>
              <w:left w:val="nil"/>
              <w:bottom w:val="single" w:sz="4" w:space="0" w:color="auto"/>
              <w:right w:val="single" w:sz="4" w:space="0" w:color="auto"/>
            </w:tcBorders>
            <w:shd w:val="clear" w:color="auto" w:fill="auto"/>
            <w:noWrap/>
            <w:vAlign w:val="bottom"/>
            <w:hideMark/>
          </w:tcPr>
          <w:p w14:paraId="0C4E157E" w14:textId="77777777" w:rsidR="007C3AB2" w:rsidRPr="00C56EC9" w:rsidRDefault="007C3AB2" w:rsidP="00204A99">
            <w:pPr>
              <w:pStyle w:val="Tablas"/>
              <w:rPr>
                <w:sz w:val="18"/>
                <w:szCs w:val="18"/>
              </w:rPr>
            </w:pPr>
            <w:r w:rsidRPr="00C56EC9">
              <w:rPr>
                <w:sz w:val="18"/>
                <w:szCs w:val="18"/>
              </w:rPr>
              <w:t>1.1480</w:t>
            </w:r>
          </w:p>
        </w:tc>
        <w:tc>
          <w:tcPr>
            <w:tcW w:w="1360" w:type="dxa"/>
            <w:tcBorders>
              <w:top w:val="nil"/>
              <w:left w:val="nil"/>
              <w:bottom w:val="single" w:sz="4" w:space="0" w:color="auto"/>
              <w:right w:val="single" w:sz="8" w:space="0" w:color="auto"/>
            </w:tcBorders>
            <w:shd w:val="clear" w:color="auto" w:fill="auto"/>
            <w:noWrap/>
            <w:vAlign w:val="bottom"/>
            <w:hideMark/>
          </w:tcPr>
          <w:p w14:paraId="2A9B489C" w14:textId="77777777" w:rsidR="007C3AB2" w:rsidRPr="00C56EC9" w:rsidRDefault="007C3AB2" w:rsidP="00204A99">
            <w:pPr>
              <w:pStyle w:val="Tablas"/>
              <w:rPr>
                <w:sz w:val="18"/>
                <w:szCs w:val="18"/>
              </w:rPr>
            </w:pPr>
            <w:r w:rsidRPr="00C56EC9">
              <w:rPr>
                <w:sz w:val="18"/>
                <w:szCs w:val="18"/>
              </w:rPr>
              <w:t>13.00</w:t>
            </w:r>
          </w:p>
        </w:tc>
        <w:tc>
          <w:tcPr>
            <w:tcW w:w="1360" w:type="dxa"/>
            <w:tcBorders>
              <w:top w:val="nil"/>
              <w:left w:val="nil"/>
              <w:bottom w:val="single" w:sz="4" w:space="0" w:color="auto"/>
              <w:right w:val="single" w:sz="4" w:space="0" w:color="auto"/>
            </w:tcBorders>
            <w:shd w:val="clear" w:color="auto" w:fill="auto"/>
            <w:noWrap/>
            <w:vAlign w:val="bottom"/>
            <w:hideMark/>
          </w:tcPr>
          <w:p w14:paraId="223D473D" w14:textId="77777777" w:rsidR="007C3AB2" w:rsidRPr="00C56EC9" w:rsidRDefault="007C3AB2" w:rsidP="00204A99">
            <w:pPr>
              <w:pStyle w:val="Tablas"/>
              <w:rPr>
                <w:sz w:val="18"/>
                <w:szCs w:val="18"/>
              </w:rPr>
            </w:pPr>
            <w:r w:rsidRPr="00C56EC9">
              <w:rPr>
                <w:sz w:val="18"/>
                <w:szCs w:val="18"/>
              </w:rPr>
              <w:t>65</w:t>
            </w:r>
          </w:p>
        </w:tc>
        <w:tc>
          <w:tcPr>
            <w:tcW w:w="1360" w:type="dxa"/>
            <w:tcBorders>
              <w:top w:val="nil"/>
              <w:left w:val="nil"/>
              <w:bottom w:val="single" w:sz="4" w:space="0" w:color="auto"/>
              <w:right w:val="single" w:sz="4" w:space="0" w:color="auto"/>
            </w:tcBorders>
            <w:shd w:val="clear" w:color="auto" w:fill="auto"/>
            <w:noWrap/>
            <w:vAlign w:val="bottom"/>
            <w:hideMark/>
          </w:tcPr>
          <w:p w14:paraId="23E2BC57" w14:textId="77777777" w:rsidR="007C3AB2" w:rsidRPr="00C56EC9" w:rsidRDefault="007C3AB2" w:rsidP="00204A99">
            <w:pPr>
              <w:pStyle w:val="Tablas"/>
              <w:rPr>
                <w:sz w:val="18"/>
                <w:szCs w:val="18"/>
              </w:rPr>
            </w:pPr>
            <w:r w:rsidRPr="00C56EC9">
              <w:rPr>
                <w:sz w:val="18"/>
                <w:szCs w:val="18"/>
              </w:rPr>
              <w:t>0.2980</w:t>
            </w:r>
          </w:p>
        </w:tc>
        <w:tc>
          <w:tcPr>
            <w:tcW w:w="1360" w:type="dxa"/>
            <w:tcBorders>
              <w:top w:val="nil"/>
              <w:left w:val="nil"/>
              <w:bottom w:val="single" w:sz="4" w:space="0" w:color="auto"/>
              <w:right w:val="single" w:sz="8" w:space="0" w:color="auto"/>
            </w:tcBorders>
            <w:shd w:val="clear" w:color="auto" w:fill="auto"/>
            <w:noWrap/>
            <w:vAlign w:val="bottom"/>
            <w:hideMark/>
          </w:tcPr>
          <w:p w14:paraId="4C600C87" w14:textId="77777777" w:rsidR="007C3AB2" w:rsidRPr="00C56EC9" w:rsidRDefault="007C3AB2" w:rsidP="00204A99">
            <w:pPr>
              <w:pStyle w:val="Tablas"/>
              <w:rPr>
                <w:sz w:val="18"/>
                <w:szCs w:val="18"/>
              </w:rPr>
            </w:pPr>
            <w:r w:rsidRPr="00C56EC9">
              <w:rPr>
                <w:sz w:val="18"/>
                <w:szCs w:val="18"/>
              </w:rPr>
              <w:t>18.0</w:t>
            </w:r>
          </w:p>
        </w:tc>
      </w:tr>
      <w:tr w:rsidR="007C3AB2" w:rsidRPr="00C56EC9" w14:paraId="03AB376E"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4423655" w14:textId="77777777" w:rsidR="007C3AB2" w:rsidRPr="00C56EC9" w:rsidRDefault="007C3AB2" w:rsidP="00204A99">
            <w:pPr>
              <w:pStyle w:val="Tablas"/>
              <w:rPr>
                <w:sz w:val="18"/>
                <w:szCs w:val="18"/>
              </w:rPr>
            </w:pPr>
            <w:r w:rsidRPr="00C56EC9">
              <w:rPr>
                <w:sz w:val="18"/>
                <w:szCs w:val="18"/>
              </w:rPr>
              <w:t>43</w:t>
            </w:r>
          </w:p>
        </w:tc>
        <w:tc>
          <w:tcPr>
            <w:tcW w:w="1480" w:type="dxa"/>
            <w:tcBorders>
              <w:top w:val="nil"/>
              <w:left w:val="nil"/>
              <w:bottom w:val="single" w:sz="4" w:space="0" w:color="auto"/>
              <w:right w:val="single" w:sz="4" w:space="0" w:color="auto"/>
            </w:tcBorders>
            <w:shd w:val="clear" w:color="auto" w:fill="auto"/>
            <w:noWrap/>
            <w:vAlign w:val="bottom"/>
            <w:hideMark/>
          </w:tcPr>
          <w:p w14:paraId="6B2B3A56" w14:textId="77777777" w:rsidR="007C3AB2" w:rsidRPr="00C56EC9" w:rsidRDefault="007C3AB2" w:rsidP="00204A99">
            <w:pPr>
              <w:pStyle w:val="Tablas"/>
              <w:rPr>
                <w:sz w:val="18"/>
                <w:szCs w:val="18"/>
              </w:rPr>
            </w:pPr>
            <w:r w:rsidRPr="00C56EC9">
              <w:rPr>
                <w:sz w:val="18"/>
                <w:szCs w:val="18"/>
              </w:rPr>
              <w:t>1.1400</w:t>
            </w:r>
          </w:p>
        </w:tc>
        <w:tc>
          <w:tcPr>
            <w:tcW w:w="1360" w:type="dxa"/>
            <w:tcBorders>
              <w:top w:val="nil"/>
              <w:left w:val="nil"/>
              <w:bottom w:val="single" w:sz="4" w:space="0" w:color="auto"/>
              <w:right w:val="single" w:sz="8" w:space="0" w:color="auto"/>
            </w:tcBorders>
            <w:shd w:val="clear" w:color="auto" w:fill="auto"/>
            <w:noWrap/>
            <w:vAlign w:val="bottom"/>
            <w:hideMark/>
          </w:tcPr>
          <w:p w14:paraId="7469DED0" w14:textId="77777777" w:rsidR="007C3AB2" w:rsidRPr="00C56EC9" w:rsidRDefault="007C3AB2" w:rsidP="00204A99">
            <w:pPr>
              <w:pStyle w:val="Tablas"/>
              <w:rPr>
                <w:sz w:val="18"/>
                <w:szCs w:val="18"/>
              </w:rPr>
            </w:pPr>
            <w:r w:rsidRPr="00C56EC9">
              <w:rPr>
                <w:sz w:val="18"/>
                <w:szCs w:val="18"/>
              </w:rPr>
              <w:t>13.00</w:t>
            </w:r>
          </w:p>
        </w:tc>
        <w:tc>
          <w:tcPr>
            <w:tcW w:w="1360" w:type="dxa"/>
            <w:tcBorders>
              <w:top w:val="nil"/>
              <w:left w:val="nil"/>
              <w:bottom w:val="single" w:sz="4" w:space="0" w:color="auto"/>
              <w:right w:val="single" w:sz="4" w:space="0" w:color="auto"/>
            </w:tcBorders>
            <w:shd w:val="clear" w:color="auto" w:fill="auto"/>
            <w:noWrap/>
            <w:vAlign w:val="bottom"/>
            <w:hideMark/>
          </w:tcPr>
          <w:p w14:paraId="1C95CF38" w14:textId="77777777" w:rsidR="007C3AB2" w:rsidRPr="00C56EC9" w:rsidRDefault="007C3AB2" w:rsidP="00204A99">
            <w:pPr>
              <w:pStyle w:val="Tablas"/>
              <w:rPr>
                <w:sz w:val="18"/>
                <w:szCs w:val="18"/>
              </w:rPr>
            </w:pPr>
            <w:r w:rsidRPr="00C56EC9">
              <w:rPr>
                <w:sz w:val="18"/>
                <w:szCs w:val="18"/>
              </w:rPr>
              <w:t>66</w:t>
            </w:r>
          </w:p>
        </w:tc>
        <w:tc>
          <w:tcPr>
            <w:tcW w:w="1360" w:type="dxa"/>
            <w:tcBorders>
              <w:top w:val="nil"/>
              <w:left w:val="nil"/>
              <w:bottom w:val="single" w:sz="4" w:space="0" w:color="auto"/>
              <w:right w:val="single" w:sz="4" w:space="0" w:color="auto"/>
            </w:tcBorders>
            <w:shd w:val="clear" w:color="auto" w:fill="auto"/>
            <w:noWrap/>
            <w:vAlign w:val="bottom"/>
            <w:hideMark/>
          </w:tcPr>
          <w:p w14:paraId="3A3B6259" w14:textId="77777777" w:rsidR="007C3AB2" w:rsidRPr="00C56EC9" w:rsidRDefault="007C3AB2" w:rsidP="00204A99">
            <w:pPr>
              <w:pStyle w:val="Tablas"/>
              <w:rPr>
                <w:sz w:val="18"/>
                <w:szCs w:val="18"/>
              </w:rPr>
            </w:pPr>
            <w:r w:rsidRPr="00C56EC9">
              <w:rPr>
                <w:sz w:val="18"/>
                <w:szCs w:val="18"/>
              </w:rPr>
              <w:t>0.2780</w:t>
            </w:r>
          </w:p>
        </w:tc>
        <w:tc>
          <w:tcPr>
            <w:tcW w:w="1360" w:type="dxa"/>
            <w:tcBorders>
              <w:top w:val="nil"/>
              <w:left w:val="nil"/>
              <w:bottom w:val="single" w:sz="4" w:space="0" w:color="auto"/>
              <w:right w:val="single" w:sz="8" w:space="0" w:color="auto"/>
            </w:tcBorders>
            <w:shd w:val="clear" w:color="auto" w:fill="auto"/>
            <w:noWrap/>
            <w:vAlign w:val="bottom"/>
            <w:hideMark/>
          </w:tcPr>
          <w:p w14:paraId="1338C35B" w14:textId="77777777" w:rsidR="007C3AB2" w:rsidRPr="00C56EC9" w:rsidRDefault="007C3AB2" w:rsidP="00204A99">
            <w:pPr>
              <w:pStyle w:val="Tablas"/>
              <w:rPr>
                <w:sz w:val="18"/>
                <w:szCs w:val="18"/>
              </w:rPr>
            </w:pPr>
            <w:r w:rsidRPr="00C56EC9">
              <w:rPr>
                <w:sz w:val="18"/>
                <w:szCs w:val="18"/>
              </w:rPr>
              <w:t>18.0</w:t>
            </w:r>
          </w:p>
        </w:tc>
      </w:tr>
      <w:tr w:rsidR="007C3AB2" w:rsidRPr="00C56EC9" w14:paraId="639D5A7E"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A7A215E" w14:textId="77777777" w:rsidR="007C3AB2" w:rsidRPr="00C56EC9" w:rsidRDefault="007C3AB2" w:rsidP="00204A99">
            <w:pPr>
              <w:pStyle w:val="Tablas"/>
              <w:rPr>
                <w:sz w:val="18"/>
                <w:szCs w:val="18"/>
              </w:rPr>
            </w:pPr>
            <w:r w:rsidRPr="00C56EC9">
              <w:rPr>
                <w:sz w:val="18"/>
                <w:szCs w:val="18"/>
              </w:rPr>
              <w:lastRenderedPageBreak/>
              <w:t>44</w:t>
            </w:r>
          </w:p>
        </w:tc>
        <w:tc>
          <w:tcPr>
            <w:tcW w:w="1480" w:type="dxa"/>
            <w:tcBorders>
              <w:top w:val="nil"/>
              <w:left w:val="nil"/>
              <w:bottom w:val="single" w:sz="4" w:space="0" w:color="auto"/>
              <w:right w:val="single" w:sz="4" w:space="0" w:color="auto"/>
            </w:tcBorders>
            <w:shd w:val="clear" w:color="auto" w:fill="auto"/>
            <w:noWrap/>
            <w:vAlign w:val="bottom"/>
            <w:hideMark/>
          </w:tcPr>
          <w:p w14:paraId="1A5F0C03" w14:textId="77777777" w:rsidR="007C3AB2" w:rsidRPr="00C56EC9" w:rsidRDefault="007C3AB2" w:rsidP="00204A99">
            <w:pPr>
              <w:pStyle w:val="Tablas"/>
              <w:rPr>
                <w:sz w:val="18"/>
                <w:szCs w:val="18"/>
              </w:rPr>
            </w:pPr>
            <w:r w:rsidRPr="00C56EC9">
              <w:rPr>
                <w:sz w:val="18"/>
                <w:szCs w:val="18"/>
              </w:rPr>
              <w:t>1.1270</w:t>
            </w:r>
          </w:p>
        </w:tc>
        <w:tc>
          <w:tcPr>
            <w:tcW w:w="1360" w:type="dxa"/>
            <w:tcBorders>
              <w:top w:val="nil"/>
              <w:left w:val="nil"/>
              <w:bottom w:val="single" w:sz="4" w:space="0" w:color="auto"/>
              <w:right w:val="single" w:sz="8" w:space="0" w:color="auto"/>
            </w:tcBorders>
            <w:shd w:val="clear" w:color="auto" w:fill="auto"/>
            <w:noWrap/>
            <w:vAlign w:val="bottom"/>
            <w:hideMark/>
          </w:tcPr>
          <w:p w14:paraId="4B5C820A" w14:textId="77777777" w:rsidR="007C3AB2" w:rsidRPr="00C56EC9" w:rsidRDefault="007C3AB2" w:rsidP="00204A99">
            <w:pPr>
              <w:pStyle w:val="Tablas"/>
              <w:rPr>
                <w:sz w:val="18"/>
                <w:szCs w:val="18"/>
              </w:rPr>
            </w:pPr>
            <w:r w:rsidRPr="00C56EC9">
              <w:rPr>
                <w:sz w:val="18"/>
                <w:szCs w:val="18"/>
              </w:rPr>
              <w:t>13.00</w:t>
            </w:r>
          </w:p>
        </w:tc>
        <w:tc>
          <w:tcPr>
            <w:tcW w:w="1360" w:type="dxa"/>
            <w:tcBorders>
              <w:top w:val="nil"/>
              <w:left w:val="nil"/>
              <w:bottom w:val="single" w:sz="4" w:space="0" w:color="auto"/>
              <w:right w:val="single" w:sz="4" w:space="0" w:color="auto"/>
            </w:tcBorders>
            <w:shd w:val="clear" w:color="auto" w:fill="auto"/>
            <w:noWrap/>
            <w:vAlign w:val="bottom"/>
            <w:hideMark/>
          </w:tcPr>
          <w:p w14:paraId="36F5A741" w14:textId="77777777" w:rsidR="007C3AB2" w:rsidRPr="00C56EC9" w:rsidRDefault="007C3AB2" w:rsidP="00204A99">
            <w:pPr>
              <w:pStyle w:val="Tablas"/>
              <w:rPr>
                <w:sz w:val="18"/>
                <w:szCs w:val="18"/>
              </w:rPr>
            </w:pPr>
            <w:r w:rsidRPr="00C56EC9">
              <w:rPr>
                <w:sz w:val="18"/>
                <w:szCs w:val="18"/>
              </w:rPr>
              <w:t>67</w:t>
            </w:r>
          </w:p>
        </w:tc>
        <w:tc>
          <w:tcPr>
            <w:tcW w:w="1360" w:type="dxa"/>
            <w:tcBorders>
              <w:top w:val="nil"/>
              <w:left w:val="nil"/>
              <w:bottom w:val="single" w:sz="4" w:space="0" w:color="auto"/>
              <w:right w:val="single" w:sz="4" w:space="0" w:color="auto"/>
            </w:tcBorders>
            <w:shd w:val="clear" w:color="auto" w:fill="auto"/>
            <w:noWrap/>
            <w:vAlign w:val="bottom"/>
            <w:hideMark/>
          </w:tcPr>
          <w:p w14:paraId="091E387E" w14:textId="77777777" w:rsidR="007C3AB2" w:rsidRPr="00C56EC9" w:rsidRDefault="007C3AB2" w:rsidP="00204A99">
            <w:pPr>
              <w:pStyle w:val="Tablas"/>
              <w:rPr>
                <w:sz w:val="18"/>
                <w:szCs w:val="18"/>
              </w:rPr>
            </w:pPr>
            <w:r w:rsidRPr="00C56EC9">
              <w:rPr>
                <w:sz w:val="18"/>
                <w:szCs w:val="18"/>
              </w:rPr>
              <w:t>0.2590</w:t>
            </w:r>
          </w:p>
        </w:tc>
        <w:tc>
          <w:tcPr>
            <w:tcW w:w="1360" w:type="dxa"/>
            <w:tcBorders>
              <w:top w:val="nil"/>
              <w:left w:val="nil"/>
              <w:bottom w:val="single" w:sz="4" w:space="0" w:color="auto"/>
              <w:right w:val="single" w:sz="8" w:space="0" w:color="auto"/>
            </w:tcBorders>
            <w:shd w:val="clear" w:color="auto" w:fill="auto"/>
            <w:noWrap/>
            <w:vAlign w:val="bottom"/>
            <w:hideMark/>
          </w:tcPr>
          <w:p w14:paraId="6769DF03" w14:textId="77777777" w:rsidR="007C3AB2" w:rsidRPr="00C56EC9" w:rsidRDefault="007C3AB2" w:rsidP="00204A99">
            <w:pPr>
              <w:pStyle w:val="Tablas"/>
              <w:rPr>
                <w:sz w:val="18"/>
                <w:szCs w:val="18"/>
              </w:rPr>
            </w:pPr>
            <w:r w:rsidRPr="00C56EC9">
              <w:rPr>
                <w:sz w:val="18"/>
                <w:szCs w:val="18"/>
              </w:rPr>
              <w:t>18.0</w:t>
            </w:r>
          </w:p>
        </w:tc>
      </w:tr>
      <w:tr w:rsidR="007C3AB2" w:rsidRPr="00C56EC9" w14:paraId="7E246C15"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A57CE6" w14:textId="77777777" w:rsidR="007C3AB2" w:rsidRPr="00C56EC9" w:rsidRDefault="007C3AB2" w:rsidP="00204A99">
            <w:pPr>
              <w:pStyle w:val="Tablas"/>
              <w:rPr>
                <w:sz w:val="18"/>
                <w:szCs w:val="18"/>
              </w:rPr>
            </w:pPr>
            <w:r w:rsidRPr="00C56EC9">
              <w:rPr>
                <w:sz w:val="18"/>
                <w:szCs w:val="18"/>
              </w:rPr>
              <w:t>45</w:t>
            </w:r>
          </w:p>
        </w:tc>
        <w:tc>
          <w:tcPr>
            <w:tcW w:w="1480" w:type="dxa"/>
            <w:tcBorders>
              <w:top w:val="nil"/>
              <w:left w:val="nil"/>
              <w:bottom w:val="single" w:sz="4" w:space="0" w:color="auto"/>
              <w:right w:val="single" w:sz="4" w:space="0" w:color="auto"/>
            </w:tcBorders>
            <w:shd w:val="clear" w:color="auto" w:fill="auto"/>
            <w:noWrap/>
            <w:vAlign w:val="bottom"/>
            <w:hideMark/>
          </w:tcPr>
          <w:p w14:paraId="35B55753" w14:textId="77777777" w:rsidR="007C3AB2" w:rsidRPr="00C56EC9" w:rsidRDefault="007C3AB2" w:rsidP="00204A99">
            <w:pPr>
              <w:pStyle w:val="Tablas"/>
              <w:rPr>
                <w:sz w:val="18"/>
                <w:szCs w:val="18"/>
              </w:rPr>
            </w:pPr>
            <w:r w:rsidRPr="00C56EC9">
              <w:rPr>
                <w:sz w:val="18"/>
                <w:szCs w:val="18"/>
              </w:rPr>
              <w:t>1.1100</w:t>
            </w:r>
          </w:p>
        </w:tc>
        <w:tc>
          <w:tcPr>
            <w:tcW w:w="1360" w:type="dxa"/>
            <w:tcBorders>
              <w:top w:val="nil"/>
              <w:left w:val="nil"/>
              <w:bottom w:val="single" w:sz="4" w:space="0" w:color="auto"/>
              <w:right w:val="single" w:sz="8" w:space="0" w:color="auto"/>
            </w:tcBorders>
            <w:shd w:val="clear" w:color="auto" w:fill="auto"/>
            <w:noWrap/>
            <w:vAlign w:val="bottom"/>
            <w:hideMark/>
          </w:tcPr>
          <w:p w14:paraId="08E3E7D8" w14:textId="77777777" w:rsidR="007C3AB2" w:rsidRPr="00C56EC9" w:rsidRDefault="007C3AB2" w:rsidP="00204A99">
            <w:pPr>
              <w:pStyle w:val="Tablas"/>
              <w:rPr>
                <w:sz w:val="18"/>
                <w:szCs w:val="18"/>
              </w:rPr>
            </w:pPr>
            <w:r w:rsidRPr="00C56EC9">
              <w:rPr>
                <w:sz w:val="18"/>
                <w:szCs w:val="18"/>
              </w:rPr>
              <w:t>13.00</w:t>
            </w:r>
          </w:p>
        </w:tc>
        <w:tc>
          <w:tcPr>
            <w:tcW w:w="1360" w:type="dxa"/>
            <w:tcBorders>
              <w:top w:val="nil"/>
              <w:left w:val="nil"/>
              <w:bottom w:val="single" w:sz="4" w:space="0" w:color="auto"/>
              <w:right w:val="single" w:sz="4" w:space="0" w:color="auto"/>
            </w:tcBorders>
            <w:shd w:val="clear" w:color="auto" w:fill="auto"/>
            <w:noWrap/>
            <w:vAlign w:val="bottom"/>
            <w:hideMark/>
          </w:tcPr>
          <w:p w14:paraId="2A41F108" w14:textId="77777777" w:rsidR="007C3AB2" w:rsidRPr="00C56EC9" w:rsidRDefault="007C3AB2" w:rsidP="00204A99">
            <w:pPr>
              <w:pStyle w:val="Tablas"/>
              <w:rPr>
                <w:sz w:val="18"/>
                <w:szCs w:val="18"/>
              </w:rPr>
            </w:pPr>
            <w:r w:rsidRPr="00C56EC9">
              <w:rPr>
                <w:sz w:val="18"/>
                <w:szCs w:val="18"/>
              </w:rPr>
              <w:t>68</w:t>
            </w:r>
          </w:p>
        </w:tc>
        <w:tc>
          <w:tcPr>
            <w:tcW w:w="1360" w:type="dxa"/>
            <w:tcBorders>
              <w:top w:val="nil"/>
              <w:left w:val="nil"/>
              <w:bottom w:val="single" w:sz="4" w:space="0" w:color="auto"/>
              <w:right w:val="single" w:sz="4" w:space="0" w:color="auto"/>
            </w:tcBorders>
            <w:shd w:val="clear" w:color="auto" w:fill="auto"/>
            <w:noWrap/>
            <w:vAlign w:val="bottom"/>
            <w:hideMark/>
          </w:tcPr>
          <w:p w14:paraId="3EC89626" w14:textId="77777777" w:rsidR="007C3AB2" w:rsidRPr="00C56EC9" w:rsidRDefault="007C3AB2" w:rsidP="00204A99">
            <w:pPr>
              <w:pStyle w:val="Tablas"/>
              <w:rPr>
                <w:sz w:val="18"/>
                <w:szCs w:val="18"/>
              </w:rPr>
            </w:pPr>
            <w:r w:rsidRPr="00C56EC9">
              <w:rPr>
                <w:sz w:val="18"/>
                <w:szCs w:val="18"/>
              </w:rPr>
              <w:t>0.2410</w:t>
            </w:r>
          </w:p>
        </w:tc>
        <w:tc>
          <w:tcPr>
            <w:tcW w:w="1360" w:type="dxa"/>
            <w:tcBorders>
              <w:top w:val="nil"/>
              <w:left w:val="nil"/>
              <w:bottom w:val="single" w:sz="4" w:space="0" w:color="auto"/>
              <w:right w:val="single" w:sz="8" w:space="0" w:color="auto"/>
            </w:tcBorders>
            <w:shd w:val="clear" w:color="auto" w:fill="auto"/>
            <w:noWrap/>
            <w:vAlign w:val="bottom"/>
            <w:hideMark/>
          </w:tcPr>
          <w:p w14:paraId="30350C44" w14:textId="77777777" w:rsidR="007C3AB2" w:rsidRPr="00C56EC9" w:rsidRDefault="007C3AB2" w:rsidP="00204A99">
            <w:pPr>
              <w:pStyle w:val="Tablas"/>
              <w:rPr>
                <w:sz w:val="18"/>
                <w:szCs w:val="18"/>
              </w:rPr>
            </w:pPr>
            <w:r w:rsidRPr="00C56EC9">
              <w:rPr>
                <w:sz w:val="18"/>
                <w:szCs w:val="18"/>
              </w:rPr>
              <w:t>18.0</w:t>
            </w:r>
          </w:p>
        </w:tc>
      </w:tr>
      <w:tr w:rsidR="007C3AB2" w:rsidRPr="00C56EC9" w14:paraId="2999781F" w14:textId="77777777" w:rsidTr="00B91057">
        <w:trPr>
          <w:trHeight w:val="285"/>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6536A99" w14:textId="77777777" w:rsidR="007C3AB2" w:rsidRPr="00C56EC9" w:rsidRDefault="007C3AB2" w:rsidP="00204A99">
            <w:pPr>
              <w:pStyle w:val="Tablas"/>
              <w:rPr>
                <w:sz w:val="18"/>
                <w:szCs w:val="18"/>
              </w:rPr>
            </w:pPr>
            <w:r w:rsidRPr="00C56EC9">
              <w:rPr>
                <w:sz w:val="18"/>
                <w:szCs w:val="18"/>
              </w:rPr>
              <w:t>46</w:t>
            </w:r>
          </w:p>
        </w:tc>
        <w:tc>
          <w:tcPr>
            <w:tcW w:w="1480" w:type="dxa"/>
            <w:tcBorders>
              <w:top w:val="nil"/>
              <w:left w:val="nil"/>
              <w:bottom w:val="single" w:sz="4" w:space="0" w:color="auto"/>
              <w:right w:val="single" w:sz="4" w:space="0" w:color="auto"/>
            </w:tcBorders>
            <w:shd w:val="clear" w:color="auto" w:fill="auto"/>
            <w:noWrap/>
            <w:vAlign w:val="bottom"/>
            <w:hideMark/>
          </w:tcPr>
          <w:p w14:paraId="592D4AEB" w14:textId="77777777" w:rsidR="007C3AB2" w:rsidRPr="00C56EC9" w:rsidRDefault="007C3AB2" w:rsidP="00204A99">
            <w:pPr>
              <w:pStyle w:val="Tablas"/>
              <w:rPr>
                <w:sz w:val="18"/>
                <w:szCs w:val="18"/>
              </w:rPr>
            </w:pPr>
            <w:r w:rsidRPr="00C56EC9">
              <w:rPr>
                <w:sz w:val="18"/>
                <w:szCs w:val="18"/>
              </w:rPr>
              <w:t>1.0890</w:t>
            </w:r>
          </w:p>
        </w:tc>
        <w:tc>
          <w:tcPr>
            <w:tcW w:w="1360" w:type="dxa"/>
            <w:tcBorders>
              <w:top w:val="nil"/>
              <w:left w:val="nil"/>
              <w:bottom w:val="single" w:sz="4" w:space="0" w:color="auto"/>
              <w:right w:val="single" w:sz="8" w:space="0" w:color="auto"/>
            </w:tcBorders>
            <w:shd w:val="clear" w:color="auto" w:fill="auto"/>
            <w:noWrap/>
            <w:vAlign w:val="bottom"/>
            <w:hideMark/>
          </w:tcPr>
          <w:p w14:paraId="39A00352" w14:textId="77777777" w:rsidR="007C3AB2" w:rsidRPr="00C56EC9" w:rsidRDefault="007C3AB2" w:rsidP="00204A99">
            <w:pPr>
              <w:pStyle w:val="Tablas"/>
              <w:rPr>
                <w:sz w:val="18"/>
                <w:szCs w:val="18"/>
              </w:rPr>
            </w:pPr>
            <w:r w:rsidRPr="00C56EC9">
              <w:rPr>
                <w:sz w:val="18"/>
                <w:szCs w:val="18"/>
              </w:rPr>
              <w:t>14.00</w:t>
            </w:r>
          </w:p>
        </w:tc>
        <w:tc>
          <w:tcPr>
            <w:tcW w:w="1360" w:type="dxa"/>
            <w:tcBorders>
              <w:top w:val="nil"/>
              <w:left w:val="nil"/>
              <w:bottom w:val="single" w:sz="4" w:space="0" w:color="auto"/>
              <w:right w:val="single" w:sz="4" w:space="0" w:color="auto"/>
            </w:tcBorders>
            <w:shd w:val="clear" w:color="auto" w:fill="auto"/>
            <w:noWrap/>
            <w:vAlign w:val="bottom"/>
            <w:hideMark/>
          </w:tcPr>
          <w:p w14:paraId="4AAC347C" w14:textId="77777777" w:rsidR="007C3AB2" w:rsidRPr="00C56EC9" w:rsidRDefault="007C3AB2" w:rsidP="00204A99">
            <w:pPr>
              <w:pStyle w:val="Tablas"/>
              <w:rPr>
                <w:sz w:val="18"/>
                <w:szCs w:val="18"/>
              </w:rPr>
            </w:pPr>
            <w:r w:rsidRPr="00C56EC9">
              <w:rPr>
                <w:sz w:val="18"/>
                <w:szCs w:val="18"/>
              </w:rPr>
              <w:t>69</w:t>
            </w:r>
          </w:p>
        </w:tc>
        <w:tc>
          <w:tcPr>
            <w:tcW w:w="1360" w:type="dxa"/>
            <w:tcBorders>
              <w:top w:val="nil"/>
              <w:left w:val="nil"/>
              <w:bottom w:val="single" w:sz="4" w:space="0" w:color="auto"/>
              <w:right w:val="single" w:sz="4" w:space="0" w:color="auto"/>
            </w:tcBorders>
            <w:shd w:val="clear" w:color="auto" w:fill="auto"/>
            <w:noWrap/>
            <w:vAlign w:val="bottom"/>
            <w:hideMark/>
          </w:tcPr>
          <w:p w14:paraId="4B664EC4" w14:textId="77777777" w:rsidR="007C3AB2" w:rsidRPr="00C56EC9" w:rsidRDefault="007C3AB2" w:rsidP="00204A99">
            <w:pPr>
              <w:pStyle w:val="Tablas"/>
              <w:rPr>
                <w:sz w:val="18"/>
                <w:szCs w:val="18"/>
              </w:rPr>
            </w:pPr>
            <w:r w:rsidRPr="00C56EC9">
              <w:rPr>
                <w:sz w:val="18"/>
                <w:szCs w:val="18"/>
              </w:rPr>
              <w:t>0.2230</w:t>
            </w:r>
          </w:p>
        </w:tc>
        <w:tc>
          <w:tcPr>
            <w:tcW w:w="1360" w:type="dxa"/>
            <w:tcBorders>
              <w:top w:val="nil"/>
              <w:left w:val="nil"/>
              <w:bottom w:val="single" w:sz="4" w:space="0" w:color="auto"/>
              <w:right w:val="single" w:sz="8" w:space="0" w:color="auto"/>
            </w:tcBorders>
            <w:shd w:val="clear" w:color="auto" w:fill="auto"/>
            <w:noWrap/>
            <w:vAlign w:val="bottom"/>
            <w:hideMark/>
          </w:tcPr>
          <w:p w14:paraId="2EE88740" w14:textId="77777777" w:rsidR="007C3AB2" w:rsidRPr="00C56EC9" w:rsidRDefault="007C3AB2" w:rsidP="00204A99">
            <w:pPr>
              <w:pStyle w:val="Tablas"/>
              <w:rPr>
                <w:sz w:val="18"/>
                <w:szCs w:val="18"/>
              </w:rPr>
            </w:pPr>
            <w:r w:rsidRPr="00C56EC9">
              <w:rPr>
                <w:sz w:val="18"/>
                <w:szCs w:val="18"/>
              </w:rPr>
              <w:t>18.0</w:t>
            </w:r>
          </w:p>
        </w:tc>
      </w:tr>
      <w:tr w:rsidR="007C3AB2" w:rsidRPr="00C56EC9" w14:paraId="5113A75E" w14:textId="77777777" w:rsidTr="00B91057">
        <w:trPr>
          <w:trHeight w:val="29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7FA1F6E1" w14:textId="77777777" w:rsidR="007C3AB2" w:rsidRPr="00C56EC9" w:rsidRDefault="007C3AB2" w:rsidP="00204A99">
            <w:pPr>
              <w:pStyle w:val="Tablas"/>
              <w:rPr>
                <w:sz w:val="18"/>
                <w:szCs w:val="18"/>
              </w:rPr>
            </w:pPr>
            <w:r w:rsidRPr="00C56EC9">
              <w:rPr>
                <w:sz w:val="18"/>
                <w:szCs w:val="18"/>
              </w:rPr>
              <w:t>47</w:t>
            </w:r>
          </w:p>
        </w:tc>
        <w:tc>
          <w:tcPr>
            <w:tcW w:w="1480" w:type="dxa"/>
            <w:tcBorders>
              <w:top w:val="nil"/>
              <w:left w:val="nil"/>
              <w:bottom w:val="single" w:sz="8" w:space="0" w:color="auto"/>
              <w:right w:val="single" w:sz="4" w:space="0" w:color="auto"/>
            </w:tcBorders>
            <w:shd w:val="clear" w:color="auto" w:fill="auto"/>
            <w:noWrap/>
            <w:vAlign w:val="bottom"/>
            <w:hideMark/>
          </w:tcPr>
          <w:p w14:paraId="038909BB" w14:textId="77777777" w:rsidR="007C3AB2" w:rsidRPr="00C56EC9" w:rsidRDefault="007C3AB2" w:rsidP="00204A99">
            <w:pPr>
              <w:pStyle w:val="Tablas"/>
              <w:rPr>
                <w:sz w:val="18"/>
                <w:szCs w:val="18"/>
              </w:rPr>
            </w:pPr>
            <w:r w:rsidRPr="00C56EC9">
              <w:rPr>
                <w:sz w:val="18"/>
                <w:szCs w:val="18"/>
              </w:rPr>
              <w:t>1.064</w:t>
            </w:r>
          </w:p>
        </w:tc>
        <w:tc>
          <w:tcPr>
            <w:tcW w:w="1360" w:type="dxa"/>
            <w:tcBorders>
              <w:top w:val="nil"/>
              <w:left w:val="nil"/>
              <w:bottom w:val="single" w:sz="8" w:space="0" w:color="auto"/>
              <w:right w:val="single" w:sz="8" w:space="0" w:color="auto"/>
            </w:tcBorders>
            <w:shd w:val="clear" w:color="auto" w:fill="auto"/>
            <w:noWrap/>
            <w:vAlign w:val="bottom"/>
            <w:hideMark/>
          </w:tcPr>
          <w:p w14:paraId="3B47054E" w14:textId="77777777" w:rsidR="007C3AB2" w:rsidRPr="00C56EC9" w:rsidRDefault="007C3AB2" w:rsidP="00204A99">
            <w:pPr>
              <w:pStyle w:val="Tablas"/>
              <w:rPr>
                <w:sz w:val="18"/>
                <w:szCs w:val="18"/>
              </w:rPr>
            </w:pPr>
            <w:r w:rsidRPr="00C56EC9">
              <w:rPr>
                <w:sz w:val="18"/>
                <w:szCs w:val="18"/>
              </w:rPr>
              <w:t>14.00</w:t>
            </w:r>
          </w:p>
        </w:tc>
        <w:tc>
          <w:tcPr>
            <w:tcW w:w="1360" w:type="dxa"/>
            <w:tcBorders>
              <w:top w:val="nil"/>
              <w:left w:val="nil"/>
              <w:bottom w:val="single" w:sz="8" w:space="0" w:color="auto"/>
              <w:right w:val="single" w:sz="4" w:space="0" w:color="auto"/>
            </w:tcBorders>
            <w:shd w:val="clear" w:color="auto" w:fill="auto"/>
            <w:noWrap/>
            <w:vAlign w:val="bottom"/>
            <w:hideMark/>
          </w:tcPr>
          <w:p w14:paraId="2EA347EB" w14:textId="77777777" w:rsidR="007C3AB2" w:rsidRPr="00C56EC9" w:rsidRDefault="007C3AB2" w:rsidP="00204A99">
            <w:pPr>
              <w:pStyle w:val="Tablas"/>
              <w:rPr>
                <w:sz w:val="18"/>
                <w:szCs w:val="18"/>
              </w:rPr>
            </w:pPr>
            <w:r w:rsidRPr="00C56EC9">
              <w:rPr>
                <w:sz w:val="18"/>
                <w:szCs w:val="18"/>
              </w:rPr>
              <w:t>70</w:t>
            </w:r>
          </w:p>
        </w:tc>
        <w:tc>
          <w:tcPr>
            <w:tcW w:w="1360" w:type="dxa"/>
            <w:tcBorders>
              <w:top w:val="nil"/>
              <w:left w:val="nil"/>
              <w:bottom w:val="single" w:sz="8" w:space="0" w:color="auto"/>
              <w:right w:val="single" w:sz="4" w:space="0" w:color="auto"/>
            </w:tcBorders>
            <w:shd w:val="clear" w:color="auto" w:fill="auto"/>
            <w:noWrap/>
            <w:vAlign w:val="bottom"/>
            <w:hideMark/>
          </w:tcPr>
          <w:p w14:paraId="490AE042" w14:textId="77777777" w:rsidR="007C3AB2" w:rsidRPr="00C56EC9" w:rsidRDefault="007C3AB2" w:rsidP="00204A99">
            <w:pPr>
              <w:pStyle w:val="Tablas"/>
              <w:rPr>
                <w:sz w:val="18"/>
                <w:szCs w:val="18"/>
              </w:rPr>
            </w:pPr>
            <w:r w:rsidRPr="00C56EC9">
              <w:rPr>
                <w:sz w:val="18"/>
                <w:szCs w:val="18"/>
              </w:rPr>
              <w:t>0.2060</w:t>
            </w:r>
          </w:p>
        </w:tc>
        <w:tc>
          <w:tcPr>
            <w:tcW w:w="1360" w:type="dxa"/>
            <w:tcBorders>
              <w:top w:val="nil"/>
              <w:left w:val="nil"/>
              <w:bottom w:val="single" w:sz="8" w:space="0" w:color="auto"/>
              <w:right w:val="single" w:sz="8" w:space="0" w:color="auto"/>
            </w:tcBorders>
            <w:shd w:val="clear" w:color="auto" w:fill="auto"/>
            <w:noWrap/>
            <w:vAlign w:val="bottom"/>
            <w:hideMark/>
          </w:tcPr>
          <w:p w14:paraId="414A0E4E" w14:textId="77777777" w:rsidR="007C3AB2" w:rsidRPr="00C56EC9" w:rsidRDefault="007C3AB2" w:rsidP="00204A99">
            <w:pPr>
              <w:pStyle w:val="Tablas"/>
              <w:rPr>
                <w:sz w:val="18"/>
                <w:szCs w:val="18"/>
              </w:rPr>
            </w:pPr>
            <w:r w:rsidRPr="00C56EC9">
              <w:rPr>
                <w:sz w:val="18"/>
                <w:szCs w:val="18"/>
              </w:rPr>
              <w:t>18.0</w:t>
            </w:r>
          </w:p>
        </w:tc>
      </w:tr>
    </w:tbl>
    <w:p w14:paraId="7F2032BB" w14:textId="77777777" w:rsidR="00B06600" w:rsidRPr="00C56EC9" w:rsidRDefault="00B06600" w:rsidP="00AB47C8">
      <w:pPr>
        <w:rPr>
          <w:lang w:val="es-419"/>
        </w:rPr>
      </w:pPr>
    </w:p>
    <w:p w14:paraId="41EDD2D1" w14:textId="69FA6872" w:rsidR="00C0442B" w:rsidRPr="00C56EC9" w:rsidRDefault="00C0442B" w:rsidP="00C0442B">
      <w:pPr>
        <w:rPr>
          <w:lang w:val="es-419"/>
        </w:rPr>
      </w:pPr>
      <w:r w:rsidRPr="00C56EC9">
        <w:rPr>
          <w:lang w:val="es-419"/>
        </w:rPr>
        <w:t>En el marco de la Ley 51 de 2005 de Panamá, las probabilidades de orfandad juegan un rol fundamental en la determinación y financiamiento de las pensiones de sobrevivencia, específicamente aquellas destinadas a los hijos menores de edad o dependientes de un asegurado fallecido. Estas probabilidades se calculan considerando las tasas de mortalidad de los asegurados y las edades de los hijos al momento del fallecimiento del progenitor. El objetivo de incluir este parámetro en los modelos actuariales es proyectar el número de beneficiarios potenciales, estimar el monto total de las pensiones y garantizar la sostenibilidad financiera del sistema.</w:t>
      </w:r>
    </w:p>
    <w:p w14:paraId="73BDD87F" w14:textId="22B4E6C1" w:rsidR="00B06600" w:rsidRPr="00C56EC9" w:rsidRDefault="00C0442B" w:rsidP="00C0442B">
      <w:pPr>
        <w:rPr>
          <w:lang w:val="es-419"/>
        </w:rPr>
      </w:pPr>
      <w:r w:rsidRPr="00C56EC9">
        <w:rPr>
          <w:lang w:val="es-419"/>
        </w:rPr>
        <w:t>La ley establece que los hijos de asegurados fallecidos tienen derecho a una pensión de sobrevivencia hasta los 18 años, en caso excepcional hasta los 25 años si están cursando estudios, y de manera indefinida en caso de discapacidad. Estas disposiciones implican que las probabilidades de orfandad no solo dependen de la mortalidad de los asegurados, sino también de la dinámica demográfica y socioeconómica del país, como la edad promedio de los asegurados al tener hijos y las tasas de discapacidad infantil.</w:t>
      </w:r>
      <w:r w:rsidR="00B53CAF" w:rsidRPr="00C56EC9">
        <w:rPr>
          <w:lang w:val="es-419"/>
        </w:rPr>
        <w:t xml:space="preserve"> Aquí se toman los factores para los casos generales hasta los 18 años:</w:t>
      </w:r>
    </w:p>
    <w:p w14:paraId="6DE98B6D" w14:textId="647C0544" w:rsidR="00B91057" w:rsidRPr="00C56EC9" w:rsidRDefault="00B91057" w:rsidP="00B91057">
      <w:pPr>
        <w:pStyle w:val="Grfico"/>
      </w:pPr>
      <w:bookmarkStart w:id="7" w:name="_Hlk183763070"/>
      <w:r w:rsidRPr="00C56EC9">
        <w:t xml:space="preserve">Tabla </w:t>
      </w:r>
      <w:r w:rsidRPr="00C56EC9">
        <w:fldChar w:fldCharType="begin"/>
      </w:r>
      <w:r w:rsidRPr="00C56EC9">
        <w:instrText xml:space="preserve"> SEQ Tabla \* ARABIC </w:instrText>
      </w:r>
      <w:r w:rsidRPr="00C56EC9">
        <w:fldChar w:fldCharType="separate"/>
      </w:r>
      <w:r w:rsidR="00B24233">
        <w:rPr>
          <w:noProof/>
        </w:rPr>
        <w:t>8</w:t>
      </w:r>
      <w:r w:rsidRPr="00C56EC9">
        <w:fldChar w:fldCharType="end"/>
      </w:r>
      <w:r w:rsidRPr="00C56EC9">
        <w:t xml:space="preserve">. </w:t>
      </w:r>
      <w:r w:rsidR="00F4097E" w:rsidRPr="00C56EC9">
        <w:t xml:space="preserve">Factores de orfandad </w:t>
      </w:r>
    </w:p>
    <w:tbl>
      <w:tblPr>
        <w:tblW w:w="2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16"/>
      </w:tblGrid>
      <w:tr w:rsidR="00B06600" w:rsidRPr="00C56EC9" w14:paraId="4D2828ED" w14:textId="77777777" w:rsidTr="00710F49">
        <w:trPr>
          <w:trHeight w:val="285"/>
          <w:tblHeader/>
          <w:jc w:val="center"/>
        </w:trPr>
        <w:tc>
          <w:tcPr>
            <w:tcW w:w="1376" w:type="dxa"/>
            <w:shd w:val="clear" w:color="auto" w:fill="auto"/>
            <w:noWrap/>
            <w:vAlign w:val="center"/>
            <w:hideMark/>
          </w:tcPr>
          <w:bookmarkEnd w:id="7"/>
          <w:p w14:paraId="5679CB61" w14:textId="77777777" w:rsidR="00B06600" w:rsidRPr="00C56EC9" w:rsidRDefault="00B06600" w:rsidP="00B06600">
            <w:pPr>
              <w:pStyle w:val="Tablas"/>
              <w:rPr>
                <w:b/>
                <w:bCs w:val="0"/>
              </w:rPr>
            </w:pPr>
            <w:r w:rsidRPr="00C56EC9">
              <w:rPr>
                <w:b/>
                <w:bCs w:val="0"/>
              </w:rPr>
              <w:t>Edad</w:t>
            </w:r>
          </w:p>
        </w:tc>
        <w:tc>
          <w:tcPr>
            <w:tcW w:w="1316" w:type="dxa"/>
            <w:shd w:val="clear" w:color="auto" w:fill="auto"/>
            <w:noWrap/>
            <w:vAlign w:val="center"/>
            <w:hideMark/>
          </w:tcPr>
          <w:p w14:paraId="197C35C9" w14:textId="77777777" w:rsidR="00B06600" w:rsidRPr="00C56EC9" w:rsidRDefault="00B06600" w:rsidP="00B06600">
            <w:pPr>
              <w:pStyle w:val="Tablas"/>
              <w:rPr>
                <w:b/>
                <w:bCs w:val="0"/>
              </w:rPr>
            </w:pPr>
            <w:r w:rsidRPr="00C56EC9">
              <w:rPr>
                <w:b/>
                <w:bCs w:val="0"/>
              </w:rPr>
              <w:t>Factor orfandad</w:t>
            </w:r>
          </w:p>
        </w:tc>
      </w:tr>
      <w:tr w:rsidR="00B06600" w:rsidRPr="00C56EC9" w14:paraId="5C1F6F12" w14:textId="77777777" w:rsidTr="00B91057">
        <w:trPr>
          <w:trHeight w:val="285"/>
          <w:jc w:val="center"/>
        </w:trPr>
        <w:tc>
          <w:tcPr>
            <w:tcW w:w="1376" w:type="dxa"/>
            <w:shd w:val="clear" w:color="auto" w:fill="auto"/>
            <w:noWrap/>
            <w:vAlign w:val="bottom"/>
            <w:hideMark/>
          </w:tcPr>
          <w:p w14:paraId="18B6DBD3" w14:textId="77777777" w:rsidR="00B06600" w:rsidRPr="00C56EC9" w:rsidRDefault="00B06600" w:rsidP="00B06600">
            <w:pPr>
              <w:pStyle w:val="Tablas"/>
            </w:pPr>
            <w:r w:rsidRPr="00C56EC9">
              <w:t>0</w:t>
            </w:r>
          </w:p>
        </w:tc>
        <w:tc>
          <w:tcPr>
            <w:tcW w:w="1316" w:type="dxa"/>
            <w:shd w:val="clear" w:color="auto" w:fill="auto"/>
            <w:noWrap/>
            <w:vAlign w:val="bottom"/>
            <w:hideMark/>
          </w:tcPr>
          <w:p w14:paraId="3A1BEB52" w14:textId="77777777" w:rsidR="00B06600" w:rsidRPr="00C56EC9" w:rsidRDefault="00B06600" w:rsidP="00B06600">
            <w:pPr>
              <w:pStyle w:val="Tablas"/>
            </w:pPr>
            <w:r w:rsidRPr="00C56EC9">
              <w:t>0.0023</w:t>
            </w:r>
          </w:p>
        </w:tc>
      </w:tr>
      <w:tr w:rsidR="00B06600" w:rsidRPr="00C56EC9" w14:paraId="1ABDCBD3" w14:textId="77777777" w:rsidTr="00B91057">
        <w:trPr>
          <w:trHeight w:val="285"/>
          <w:jc w:val="center"/>
        </w:trPr>
        <w:tc>
          <w:tcPr>
            <w:tcW w:w="1376" w:type="dxa"/>
            <w:shd w:val="clear" w:color="auto" w:fill="auto"/>
            <w:noWrap/>
            <w:vAlign w:val="bottom"/>
            <w:hideMark/>
          </w:tcPr>
          <w:p w14:paraId="3CF4EDEA" w14:textId="77777777" w:rsidR="00B06600" w:rsidRPr="00C56EC9" w:rsidRDefault="00B06600" w:rsidP="00B06600">
            <w:pPr>
              <w:pStyle w:val="Tablas"/>
            </w:pPr>
            <w:r w:rsidRPr="00C56EC9">
              <w:t>1</w:t>
            </w:r>
          </w:p>
        </w:tc>
        <w:tc>
          <w:tcPr>
            <w:tcW w:w="1316" w:type="dxa"/>
            <w:shd w:val="clear" w:color="auto" w:fill="auto"/>
            <w:noWrap/>
            <w:vAlign w:val="bottom"/>
            <w:hideMark/>
          </w:tcPr>
          <w:p w14:paraId="1B5804D3" w14:textId="77777777" w:rsidR="00B06600" w:rsidRPr="00C56EC9" w:rsidRDefault="00B06600" w:rsidP="00B06600">
            <w:pPr>
              <w:pStyle w:val="Tablas"/>
            </w:pPr>
            <w:r w:rsidRPr="00C56EC9">
              <w:t>0.0009</w:t>
            </w:r>
          </w:p>
        </w:tc>
      </w:tr>
      <w:tr w:rsidR="00B06600" w:rsidRPr="00C56EC9" w14:paraId="7286B1BA" w14:textId="77777777" w:rsidTr="00B91057">
        <w:trPr>
          <w:trHeight w:val="285"/>
          <w:jc w:val="center"/>
        </w:trPr>
        <w:tc>
          <w:tcPr>
            <w:tcW w:w="1376" w:type="dxa"/>
            <w:shd w:val="clear" w:color="auto" w:fill="auto"/>
            <w:noWrap/>
            <w:vAlign w:val="bottom"/>
            <w:hideMark/>
          </w:tcPr>
          <w:p w14:paraId="7E4127D4" w14:textId="77777777" w:rsidR="00B06600" w:rsidRPr="00C56EC9" w:rsidRDefault="00B06600" w:rsidP="00B06600">
            <w:pPr>
              <w:pStyle w:val="Tablas"/>
            </w:pPr>
            <w:r w:rsidRPr="00C56EC9">
              <w:t>2</w:t>
            </w:r>
          </w:p>
        </w:tc>
        <w:tc>
          <w:tcPr>
            <w:tcW w:w="1316" w:type="dxa"/>
            <w:shd w:val="clear" w:color="auto" w:fill="auto"/>
            <w:noWrap/>
            <w:vAlign w:val="bottom"/>
            <w:hideMark/>
          </w:tcPr>
          <w:p w14:paraId="24A1E97A" w14:textId="77777777" w:rsidR="00B06600" w:rsidRPr="00C56EC9" w:rsidRDefault="00B06600" w:rsidP="00B06600">
            <w:pPr>
              <w:pStyle w:val="Tablas"/>
            </w:pPr>
            <w:r w:rsidRPr="00C56EC9">
              <w:t>0.0009</w:t>
            </w:r>
          </w:p>
        </w:tc>
      </w:tr>
      <w:tr w:rsidR="00B06600" w:rsidRPr="00C56EC9" w14:paraId="41F08D69" w14:textId="77777777" w:rsidTr="00B91057">
        <w:trPr>
          <w:trHeight w:val="285"/>
          <w:jc w:val="center"/>
        </w:trPr>
        <w:tc>
          <w:tcPr>
            <w:tcW w:w="1376" w:type="dxa"/>
            <w:shd w:val="clear" w:color="auto" w:fill="auto"/>
            <w:noWrap/>
            <w:vAlign w:val="bottom"/>
            <w:hideMark/>
          </w:tcPr>
          <w:p w14:paraId="345D268E" w14:textId="77777777" w:rsidR="00B06600" w:rsidRPr="00C56EC9" w:rsidRDefault="00B06600" w:rsidP="00B06600">
            <w:pPr>
              <w:pStyle w:val="Tablas"/>
            </w:pPr>
            <w:r w:rsidRPr="00C56EC9">
              <w:t>3</w:t>
            </w:r>
          </w:p>
        </w:tc>
        <w:tc>
          <w:tcPr>
            <w:tcW w:w="1316" w:type="dxa"/>
            <w:shd w:val="clear" w:color="auto" w:fill="auto"/>
            <w:noWrap/>
            <w:vAlign w:val="bottom"/>
            <w:hideMark/>
          </w:tcPr>
          <w:p w14:paraId="749CE455" w14:textId="77777777" w:rsidR="00B06600" w:rsidRPr="00C56EC9" w:rsidRDefault="00B06600" w:rsidP="00B06600">
            <w:pPr>
              <w:pStyle w:val="Tablas"/>
            </w:pPr>
            <w:r w:rsidRPr="00C56EC9">
              <w:t>0.0009</w:t>
            </w:r>
          </w:p>
        </w:tc>
      </w:tr>
      <w:tr w:rsidR="00B06600" w:rsidRPr="00C56EC9" w14:paraId="5C78F2DB" w14:textId="77777777" w:rsidTr="00B91057">
        <w:trPr>
          <w:trHeight w:val="285"/>
          <w:jc w:val="center"/>
        </w:trPr>
        <w:tc>
          <w:tcPr>
            <w:tcW w:w="1376" w:type="dxa"/>
            <w:shd w:val="clear" w:color="auto" w:fill="auto"/>
            <w:noWrap/>
            <w:vAlign w:val="bottom"/>
            <w:hideMark/>
          </w:tcPr>
          <w:p w14:paraId="446DCACA" w14:textId="77777777" w:rsidR="00B06600" w:rsidRPr="00C56EC9" w:rsidRDefault="00B06600" w:rsidP="00B06600">
            <w:pPr>
              <w:pStyle w:val="Tablas"/>
            </w:pPr>
            <w:r w:rsidRPr="00C56EC9">
              <w:t>4</w:t>
            </w:r>
          </w:p>
        </w:tc>
        <w:tc>
          <w:tcPr>
            <w:tcW w:w="1316" w:type="dxa"/>
            <w:shd w:val="clear" w:color="auto" w:fill="auto"/>
            <w:noWrap/>
            <w:vAlign w:val="bottom"/>
            <w:hideMark/>
          </w:tcPr>
          <w:p w14:paraId="43097276" w14:textId="77777777" w:rsidR="00B06600" w:rsidRPr="00C56EC9" w:rsidRDefault="00B06600" w:rsidP="00B06600">
            <w:pPr>
              <w:pStyle w:val="Tablas"/>
            </w:pPr>
            <w:r w:rsidRPr="00C56EC9">
              <w:t>0.0009</w:t>
            </w:r>
          </w:p>
        </w:tc>
      </w:tr>
      <w:tr w:rsidR="00B06600" w:rsidRPr="00C56EC9" w14:paraId="2FEF018B" w14:textId="77777777" w:rsidTr="00B91057">
        <w:trPr>
          <w:trHeight w:val="285"/>
          <w:jc w:val="center"/>
        </w:trPr>
        <w:tc>
          <w:tcPr>
            <w:tcW w:w="1376" w:type="dxa"/>
            <w:shd w:val="clear" w:color="auto" w:fill="auto"/>
            <w:noWrap/>
            <w:vAlign w:val="bottom"/>
            <w:hideMark/>
          </w:tcPr>
          <w:p w14:paraId="27099B2B" w14:textId="77777777" w:rsidR="00B06600" w:rsidRPr="00C56EC9" w:rsidRDefault="00B06600" w:rsidP="00B06600">
            <w:pPr>
              <w:pStyle w:val="Tablas"/>
            </w:pPr>
            <w:r w:rsidRPr="00C56EC9">
              <w:t>5</w:t>
            </w:r>
          </w:p>
        </w:tc>
        <w:tc>
          <w:tcPr>
            <w:tcW w:w="1316" w:type="dxa"/>
            <w:shd w:val="clear" w:color="auto" w:fill="auto"/>
            <w:noWrap/>
            <w:vAlign w:val="bottom"/>
            <w:hideMark/>
          </w:tcPr>
          <w:p w14:paraId="369291C5" w14:textId="77777777" w:rsidR="00B06600" w:rsidRPr="00C56EC9" w:rsidRDefault="00B06600" w:rsidP="00B06600">
            <w:pPr>
              <w:pStyle w:val="Tablas"/>
            </w:pPr>
            <w:r w:rsidRPr="00C56EC9">
              <w:t>0.0008</w:t>
            </w:r>
          </w:p>
        </w:tc>
      </w:tr>
      <w:tr w:rsidR="00B06600" w:rsidRPr="00C56EC9" w14:paraId="43084C3B" w14:textId="77777777" w:rsidTr="00B91057">
        <w:trPr>
          <w:trHeight w:val="285"/>
          <w:jc w:val="center"/>
        </w:trPr>
        <w:tc>
          <w:tcPr>
            <w:tcW w:w="1376" w:type="dxa"/>
            <w:shd w:val="clear" w:color="auto" w:fill="auto"/>
            <w:noWrap/>
            <w:vAlign w:val="bottom"/>
            <w:hideMark/>
          </w:tcPr>
          <w:p w14:paraId="7F1AF634" w14:textId="77777777" w:rsidR="00B06600" w:rsidRPr="00C56EC9" w:rsidRDefault="00B06600" w:rsidP="00B06600">
            <w:pPr>
              <w:pStyle w:val="Tablas"/>
            </w:pPr>
            <w:r w:rsidRPr="00C56EC9">
              <w:t>6</w:t>
            </w:r>
          </w:p>
        </w:tc>
        <w:tc>
          <w:tcPr>
            <w:tcW w:w="1316" w:type="dxa"/>
            <w:shd w:val="clear" w:color="auto" w:fill="auto"/>
            <w:noWrap/>
            <w:vAlign w:val="bottom"/>
            <w:hideMark/>
          </w:tcPr>
          <w:p w14:paraId="48641862" w14:textId="77777777" w:rsidR="00B06600" w:rsidRPr="00C56EC9" w:rsidRDefault="00B06600" w:rsidP="00B06600">
            <w:pPr>
              <w:pStyle w:val="Tablas"/>
            </w:pPr>
            <w:r w:rsidRPr="00C56EC9">
              <w:t>0.0008</w:t>
            </w:r>
          </w:p>
        </w:tc>
      </w:tr>
      <w:tr w:rsidR="00B06600" w:rsidRPr="00C56EC9" w14:paraId="2F86E802" w14:textId="77777777" w:rsidTr="00B91057">
        <w:trPr>
          <w:trHeight w:val="285"/>
          <w:jc w:val="center"/>
        </w:trPr>
        <w:tc>
          <w:tcPr>
            <w:tcW w:w="1376" w:type="dxa"/>
            <w:shd w:val="clear" w:color="auto" w:fill="auto"/>
            <w:noWrap/>
            <w:vAlign w:val="bottom"/>
            <w:hideMark/>
          </w:tcPr>
          <w:p w14:paraId="30614B1A" w14:textId="77777777" w:rsidR="00B06600" w:rsidRPr="00C56EC9" w:rsidRDefault="00B06600" w:rsidP="00B06600">
            <w:pPr>
              <w:pStyle w:val="Tablas"/>
            </w:pPr>
            <w:r w:rsidRPr="00C56EC9">
              <w:t>7</w:t>
            </w:r>
          </w:p>
        </w:tc>
        <w:tc>
          <w:tcPr>
            <w:tcW w:w="1316" w:type="dxa"/>
            <w:shd w:val="clear" w:color="auto" w:fill="auto"/>
            <w:noWrap/>
            <w:vAlign w:val="bottom"/>
            <w:hideMark/>
          </w:tcPr>
          <w:p w14:paraId="1F8AEBDB" w14:textId="77777777" w:rsidR="00B06600" w:rsidRPr="00C56EC9" w:rsidRDefault="00B06600" w:rsidP="00B06600">
            <w:pPr>
              <w:pStyle w:val="Tablas"/>
            </w:pPr>
            <w:r w:rsidRPr="00C56EC9">
              <w:t>0.0007</w:t>
            </w:r>
          </w:p>
        </w:tc>
      </w:tr>
      <w:tr w:rsidR="00B06600" w:rsidRPr="00C56EC9" w14:paraId="342E5286" w14:textId="77777777" w:rsidTr="00B91057">
        <w:trPr>
          <w:trHeight w:val="285"/>
          <w:jc w:val="center"/>
        </w:trPr>
        <w:tc>
          <w:tcPr>
            <w:tcW w:w="1376" w:type="dxa"/>
            <w:shd w:val="clear" w:color="auto" w:fill="auto"/>
            <w:noWrap/>
            <w:vAlign w:val="bottom"/>
            <w:hideMark/>
          </w:tcPr>
          <w:p w14:paraId="657F5816" w14:textId="77777777" w:rsidR="00B06600" w:rsidRPr="00C56EC9" w:rsidRDefault="00B06600" w:rsidP="00B06600">
            <w:pPr>
              <w:pStyle w:val="Tablas"/>
            </w:pPr>
            <w:r w:rsidRPr="00C56EC9">
              <w:t>8</w:t>
            </w:r>
          </w:p>
        </w:tc>
        <w:tc>
          <w:tcPr>
            <w:tcW w:w="1316" w:type="dxa"/>
            <w:shd w:val="clear" w:color="auto" w:fill="auto"/>
            <w:noWrap/>
            <w:vAlign w:val="bottom"/>
            <w:hideMark/>
          </w:tcPr>
          <w:p w14:paraId="61632925" w14:textId="77777777" w:rsidR="00B06600" w:rsidRPr="00C56EC9" w:rsidRDefault="00B06600" w:rsidP="00B06600">
            <w:pPr>
              <w:pStyle w:val="Tablas"/>
            </w:pPr>
            <w:r w:rsidRPr="00C56EC9">
              <w:t>0.0007</w:t>
            </w:r>
          </w:p>
        </w:tc>
      </w:tr>
      <w:tr w:rsidR="00B06600" w:rsidRPr="00C56EC9" w14:paraId="093F6564" w14:textId="77777777" w:rsidTr="00B91057">
        <w:trPr>
          <w:trHeight w:val="285"/>
          <w:jc w:val="center"/>
        </w:trPr>
        <w:tc>
          <w:tcPr>
            <w:tcW w:w="1376" w:type="dxa"/>
            <w:shd w:val="clear" w:color="auto" w:fill="auto"/>
            <w:noWrap/>
            <w:vAlign w:val="bottom"/>
            <w:hideMark/>
          </w:tcPr>
          <w:p w14:paraId="7020AF9A" w14:textId="77777777" w:rsidR="00B06600" w:rsidRPr="00C56EC9" w:rsidRDefault="00B06600" w:rsidP="00B06600">
            <w:pPr>
              <w:pStyle w:val="Tablas"/>
            </w:pPr>
            <w:r w:rsidRPr="00C56EC9">
              <w:t>9</w:t>
            </w:r>
          </w:p>
        </w:tc>
        <w:tc>
          <w:tcPr>
            <w:tcW w:w="1316" w:type="dxa"/>
            <w:shd w:val="clear" w:color="auto" w:fill="auto"/>
            <w:noWrap/>
            <w:vAlign w:val="bottom"/>
            <w:hideMark/>
          </w:tcPr>
          <w:p w14:paraId="30FD8761" w14:textId="77777777" w:rsidR="00B06600" w:rsidRPr="00C56EC9" w:rsidRDefault="00B06600" w:rsidP="00B06600">
            <w:pPr>
              <w:pStyle w:val="Tablas"/>
            </w:pPr>
            <w:r w:rsidRPr="00C56EC9">
              <w:t>0.0007</w:t>
            </w:r>
          </w:p>
        </w:tc>
      </w:tr>
      <w:tr w:rsidR="00B06600" w:rsidRPr="00C56EC9" w14:paraId="3E51AA78" w14:textId="77777777" w:rsidTr="00B91057">
        <w:trPr>
          <w:trHeight w:val="285"/>
          <w:jc w:val="center"/>
        </w:trPr>
        <w:tc>
          <w:tcPr>
            <w:tcW w:w="1376" w:type="dxa"/>
            <w:shd w:val="clear" w:color="auto" w:fill="auto"/>
            <w:noWrap/>
            <w:vAlign w:val="bottom"/>
            <w:hideMark/>
          </w:tcPr>
          <w:p w14:paraId="602155F0" w14:textId="77777777" w:rsidR="00B06600" w:rsidRPr="00C56EC9" w:rsidRDefault="00B06600" w:rsidP="00B06600">
            <w:pPr>
              <w:pStyle w:val="Tablas"/>
            </w:pPr>
            <w:r w:rsidRPr="00C56EC9">
              <w:t>10</w:t>
            </w:r>
          </w:p>
        </w:tc>
        <w:tc>
          <w:tcPr>
            <w:tcW w:w="1316" w:type="dxa"/>
            <w:shd w:val="clear" w:color="auto" w:fill="auto"/>
            <w:noWrap/>
            <w:vAlign w:val="bottom"/>
            <w:hideMark/>
          </w:tcPr>
          <w:p w14:paraId="79EAC342" w14:textId="77777777" w:rsidR="00B06600" w:rsidRPr="00C56EC9" w:rsidRDefault="00B06600" w:rsidP="00B06600">
            <w:pPr>
              <w:pStyle w:val="Tablas"/>
            </w:pPr>
            <w:r w:rsidRPr="00C56EC9">
              <w:t>0.0007</w:t>
            </w:r>
          </w:p>
        </w:tc>
      </w:tr>
      <w:tr w:rsidR="00B06600" w:rsidRPr="00C56EC9" w14:paraId="7771F647" w14:textId="77777777" w:rsidTr="00B91057">
        <w:trPr>
          <w:trHeight w:val="285"/>
          <w:jc w:val="center"/>
        </w:trPr>
        <w:tc>
          <w:tcPr>
            <w:tcW w:w="1376" w:type="dxa"/>
            <w:shd w:val="clear" w:color="auto" w:fill="auto"/>
            <w:noWrap/>
            <w:vAlign w:val="bottom"/>
            <w:hideMark/>
          </w:tcPr>
          <w:p w14:paraId="5E05A239" w14:textId="77777777" w:rsidR="00B06600" w:rsidRPr="00C56EC9" w:rsidRDefault="00B06600" w:rsidP="00B06600">
            <w:pPr>
              <w:pStyle w:val="Tablas"/>
            </w:pPr>
            <w:r w:rsidRPr="00C56EC9">
              <w:lastRenderedPageBreak/>
              <w:t>11</w:t>
            </w:r>
          </w:p>
        </w:tc>
        <w:tc>
          <w:tcPr>
            <w:tcW w:w="1316" w:type="dxa"/>
            <w:shd w:val="clear" w:color="auto" w:fill="auto"/>
            <w:noWrap/>
            <w:vAlign w:val="bottom"/>
            <w:hideMark/>
          </w:tcPr>
          <w:p w14:paraId="192D3C60" w14:textId="77777777" w:rsidR="00B06600" w:rsidRPr="00C56EC9" w:rsidRDefault="00B06600" w:rsidP="00B06600">
            <w:pPr>
              <w:pStyle w:val="Tablas"/>
            </w:pPr>
            <w:r w:rsidRPr="00C56EC9">
              <w:t>0.0008</w:t>
            </w:r>
          </w:p>
        </w:tc>
      </w:tr>
      <w:tr w:rsidR="00B06600" w:rsidRPr="00C56EC9" w14:paraId="59B64D4B" w14:textId="77777777" w:rsidTr="00B91057">
        <w:trPr>
          <w:trHeight w:val="285"/>
          <w:jc w:val="center"/>
        </w:trPr>
        <w:tc>
          <w:tcPr>
            <w:tcW w:w="1376" w:type="dxa"/>
            <w:shd w:val="clear" w:color="auto" w:fill="auto"/>
            <w:noWrap/>
            <w:vAlign w:val="bottom"/>
            <w:hideMark/>
          </w:tcPr>
          <w:p w14:paraId="6A0205F7" w14:textId="77777777" w:rsidR="00B06600" w:rsidRPr="00C56EC9" w:rsidRDefault="00B06600" w:rsidP="00B06600">
            <w:pPr>
              <w:pStyle w:val="Tablas"/>
            </w:pPr>
            <w:r w:rsidRPr="00C56EC9">
              <w:t>12</w:t>
            </w:r>
          </w:p>
        </w:tc>
        <w:tc>
          <w:tcPr>
            <w:tcW w:w="1316" w:type="dxa"/>
            <w:shd w:val="clear" w:color="auto" w:fill="auto"/>
            <w:noWrap/>
            <w:vAlign w:val="bottom"/>
            <w:hideMark/>
          </w:tcPr>
          <w:p w14:paraId="6AABBE74" w14:textId="77777777" w:rsidR="00B06600" w:rsidRPr="00C56EC9" w:rsidRDefault="00B06600" w:rsidP="00B06600">
            <w:pPr>
              <w:pStyle w:val="Tablas"/>
            </w:pPr>
            <w:r w:rsidRPr="00C56EC9">
              <w:t>0.0008</w:t>
            </w:r>
          </w:p>
        </w:tc>
      </w:tr>
      <w:tr w:rsidR="00B06600" w:rsidRPr="00C56EC9" w14:paraId="122CEC20" w14:textId="77777777" w:rsidTr="00B91057">
        <w:trPr>
          <w:trHeight w:val="285"/>
          <w:jc w:val="center"/>
        </w:trPr>
        <w:tc>
          <w:tcPr>
            <w:tcW w:w="1376" w:type="dxa"/>
            <w:shd w:val="clear" w:color="auto" w:fill="auto"/>
            <w:noWrap/>
            <w:vAlign w:val="bottom"/>
            <w:hideMark/>
          </w:tcPr>
          <w:p w14:paraId="41C01854" w14:textId="77777777" w:rsidR="00B06600" w:rsidRPr="00C56EC9" w:rsidRDefault="00B06600" w:rsidP="00B06600">
            <w:pPr>
              <w:pStyle w:val="Tablas"/>
            </w:pPr>
            <w:r w:rsidRPr="00C56EC9">
              <w:t>13</w:t>
            </w:r>
          </w:p>
        </w:tc>
        <w:tc>
          <w:tcPr>
            <w:tcW w:w="1316" w:type="dxa"/>
            <w:shd w:val="clear" w:color="auto" w:fill="auto"/>
            <w:noWrap/>
            <w:vAlign w:val="bottom"/>
            <w:hideMark/>
          </w:tcPr>
          <w:p w14:paraId="01721F71" w14:textId="77777777" w:rsidR="00B06600" w:rsidRPr="00C56EC9" w:rsidRDefault="00B06600" w:rsidP="00B06600">
            <w:pPr>
              <w:pStyle w:val="Tablas"/>
            </w:pPr>
            <w:r w:rsidRPr="00C56EC9">
              <w:t>0.0009</w:t>
            </w:r>
          </w:p>
        </w:tc>
      </w:tr>
      <w:tr w:rsidR="00B06600" w:rsidRPr="00C56EC9" w14:paraId="6A98FD44" w14:textId="77777777" w:rsidTr="00B91057">
        <w:trPr>
          <w:trHeight w:val="285"/>
          <w:jc w:val="center"/>
        </w:trPr>
        <w:tc>
          <w:tcPr>
            <w:tcW w:w="1376" w:type="dxa"/>
            <w:shd w:val="clear" w:color="auto" w:fill="auto"/>
            <w:noWrap/>
            <w:vAlign w:val="bottom"/>
            <w:hideMark/>
          </w:tcPr>
          <w:p w14:paraId="606B3255" w14:textId="77777777" w:rsidR="00B06600" w:rsidRPr="00C56EC9" w:rsidRDefault="00B06600" w:rsidP="00B06600">
            <w:pPr>
              <w:pStyle w:val="Tablas"/>
            </w:pPr>
            <w:r w:rsidRPr="00C56EC9">
              <w:t>14</w:t>
            </w:r>
          </w:p>
        </w:tc>
        <w:tc>
          <w:tcPr>
            <w:tcW w:w="1316" w:type="dxa"/>
            <w:shd w:val="clear" w:color="auto" w:fill="auto"/>
            <w:noWrap/>
            <w:vAlign w:val="bottom"/>
            <w:hideMark/>
          </w:tcPr>
          <w:p w14:paraId="0B76E0C1" w14:textId="77777777" w:rsidR="00B06600" w:rsidRPr="00C56EC9" w:rsidRDefault="00B06600" w:rsidP="00B06600">
            <w:pPr>
              <w:pStyle w:val="Tablas"/>
            </w:pPr>
            <w:r w:rsidRPr="00C56EC9">
              <w:t>0.0010</w:t>
            </w:r>
          </w:p>
        </w:tc>
      </w:tr>
      <w:tr w:rsidR="00B06600" w:rsidRPr="00C56EC9" w14:paraId="4A0F7B43" w14:textId="77777777" w:rsidTr="00B91057">
        <w:trPr>
          <w:trHeight w:val="285"/>
          <w:jc w:val="center"/>
        </w:trPr>
        <w:tc>
          <w:tcPr>
            <w:tcW w:w="1376" w:type="dxa"/>
            <w:shd w:val="clear" w:color="auto" w:fill="auto"/>
            <w:noWrap/>
            <w:vAlign w:val="bottom"/>
            <w:hideMark/>
          </w:tcPr>
          <w:p w14:paraId="0A38F98A" w14:textId="77777777" w:rsidR="00B06600" w:rsidRPr="00C56EC9" w:rsidRDefault="00B06600" w:rsidP="00B06600">
            <w:pPr>
              <w:pStyle w:val="Tablas"/>
            </w:pPr>
            <w:r w:rsidRPr="00C56EC9">
              <w:t>15</w:t>
            </w:r>
          </w:p>
        </w:tc>
        <w:tc>
          <w:tcPr>
            <w:tcW w:w="1316" w:type="dxa"/>
            <w:shd w:val="clear" w:color="auto" w:fill="auto"/>
            <w:noWrap/>
            <w:vAlign w:val="bottom"/>
            <w:hideMark/>
          </w:tcPr>
          <w:p w14:paraId="46C9E2D2" w14:textId="77777777" w:rsidR="00B06600" w:rsidRPr="00C56EC9" w:rsidRDefault="00B06600" w:rsidP="00B06600">
            <w:pPr>
              <w:pStyle w:val="Tablas"/>
            </w:pPr>
            <w:r w:rsidRPr="00C56EC9">
              <w:t>0.0011</w:t>
            </w:r>
          </w:p>
        </w:tc>
      </w:tr>
      <w:tr w:rsidR="00B06600" w:rsidRPr="00C56EC9" w14:paraId="1A5E6935" w14:textId="77777777" w:rsidTr="00B91057">
        <w:trPr>
          <w:trHeight w:val="285"/>
          <w:jc w:val="center"/>
        </w:trPr>
        <w:tc>
          <w:tcPr>
            <w:tcW w:w="1376" w:type="dxa"/>
            <w:shd w:val="clear" w:color="auto" w:fill="auto"/>
            <w:noWrap/>
            <w:vAlign w:val="bottom"/>
            <w:hideMark/>
          </w:tcPr>
          <w:p w14:paraId="4EF8A589" w14:textId="77777777" w:rsidR="00B06600" w:rsidRPr="00C56EC9" w:rsidRDefault="00B06600" w:rsidP="00B06600">
            <w:pPr>
              <w:pStyle w:val="Tablas"/>
            </w:pPr>
            <w:r w:rsidRPr="00C56EC9">
              <w:t>16</w:t>
            </w:r>
          </w:p>
        </w:tc>
        <w:tc>
          <w:tcPr>
            <w:tcW w:w="1316" w:type="dxa"/>
            <w:shd w:val="clear" w:color="auto" w:fill="auto"/>
            <w:noWrap/>
            <w:vAlign w:val="bottom"/>
            <w:hideMark/>
          </w:tcPr>
          <w:p w14:paraId="33F35DB3" w14:textId="77777777" w:rsidR="00B06600" w:rsidRPr="00C56EC9" w:rsidRDefault="00B06600" w:rsidP="00B06600">
            <w:pPr>
              <w:pStyle w:val="Tablas"/>
            </w:pPr>
            <w:r w:rsidRPr="00C56EC9">
              <w:t>0.0013</w:t>
            </w:r>
          </w:p>
        </w:tc>
      </w:tr>
      <w:tr w:rsidR="00B06600" w:rsidRPr="00C56EC9" w14:paraId="06B406AC" w14:textId="77777777" w:rsidTr="003B5761">
        <w:trPr>
          <w:trHeight w:val="285"/>
          <w:jc w:val="center"/>
        </w:trPr>
        <w:tc>
          <w:tcPr>
            <w:tcW w:w="1376" w:type="dxa"/>
            <w:shd w:val="clear" w:color="auto" w:fill="auto"/>
            <w:noWrap/>
            <w:vAlign w:val="bottom"/>
            <w:hideMark/>
          </w:tcPr>
          <w:p w14:paraId="32F6CD2D" w14:textId="77777777" w:rsidR="00B06600" w:rsidRPr="00C56EC9" w:rsidRDefault="00B06600" w:rsidP="00B06600">
            <w:pPr>
              <w:pStyle w:val="Tablas"/>
            </w:pPr>
            <w:r w:rsidRPr="00C56EC9">
              <w:t>17</w:t>
            </w:r>
          </w:p>
        </w:tc>
        <w:tc>
          <w:tcPr>
            <w:tcW w:w="1316" w:type="dxa"/>
            <w:shd w:val="clear" w:color="auto" w:fill="auto"/>
            <w:noWrap/>
            <w:vAlign w:val="bottom"/>
            <w:hideMark/>
          </w:tcPr>
          <w:p w14:paraId="412A16A8" w14:textId="77777777" w:rsidR="00B06600" w:rsidRPr="00C56EC9" w:rsidRDefault="00B06600" w:rsidP="00B06600">
            <w:pPr>
              <w:pStyle w:val="Tablas"/>
            </w:pPr>
            <w:r w:rsidRPr="00C56EC9">
              <w:t>0.0013</w:t>
            </w:r>
          </w:p>
        </w:tc>
      </w:tr>
      <w:tr w:rsidR="00B06600" w:rsidRPr="00C56EC9" w14:paraId="627410D2" w14:textId="77777777" w:rsidTr="00B91057">
        <w:trPr>
          <w:trHeight w:val="285"/>
          <w:jc w:val="center"/>
        </w:trPr>
        <w:tc>
          <w:tcPr>
            <w:tcW w:w="1376" w:type="dxa"/>
            <w:shd w:val="clear" w:color="auto" w:fill="auto"/>
            <w:noWrap/>
            <w:vAlign w:val="bottom"/>
            <w:hideMark/>
          </w:tcPr>
          <w:p w14:paraId="4370AD94" w14:textId="77777777" w:rsidR="00B06600" w:rsidRPr="00C56EC9" w:rsidRDefault="00B06600" w:rsidP="00B06600">
            <w:pPr>
              <w:pStyle w:val="Tablas"/>
            </w:pPr>
            <w:r w:rsidRPr="00C56EC9">
              <w:t>18</w:t>
            </w:r>
          </w:p>
        </w:tc>
        <w:tc>
          <w:tcPr>
            <w:tcW w:w="1316" w:type="dxa"/>
            <w:shd w:val="clear" w:color="auto" w:fill="auto"/>
            <w:noWrap/>
            <w:vAlign w:val="bottom"/>
            <w:hideMark/>
          </w:tcPr>
          <w:p w14:paraId="54BFF057" w14:textId="77777777" w:rsidR="00B06600" w:rsidRPr="00C56EC9" w:rsidRDefault="00B06600" w:rsidP="00B06600">
            <w:pPr>
              <w:pStyle w:val="Tablas"/>
            </w:pPr>
            <w:r w:rsidRPr="00C56EC9">
              <w:t>0.0014</w:t>
            </w:r>
          </w:p>
        </w:tc>
      </w:tr>
    </w:tbl>
    <w:p w14:paraId="6513C85B" w14:textId="77777777" w:rsidR="00B06600" w:rsidRPr="00C56EC9" w:rsidRDefault="00B06600" w:rsidP="00AB47C8">
      <w:pPr>
        <w:rPr>
          <w:lang w:val="es-419"/>
        </w:rPr>
      </w:pPr>
    </w:p>
    <w:p w14:paraId="3253DB6A" w14:textId="6BAB576A" w:rsidR="00535362" w:rsidRPr="00C56EC9" w:rsidRDefault="00273D22" w:rsidP="00AB47C8">
      <w:pPr>
        <w:rPr>
          <w:b/>
          <w:bCs/>
          <w:lang w:val="es-419"/>
        </w:rPr>
      </w:pPr>
      <w:r w:rsidRPr="00C56EC9">
        <w:rPr>
          <w:b/>
          <w:bCs/>
          <w:lang w:val="es-419"/>
        </w:rPr>
        <w:t>Factores</w:t>
      </w:r>
      <w:r w:rsidR="00261888" w:rsidRPr="00C56EC9">
        <w:rPr>
          <w:b/>
          <w:bCs/>
          <w:lang w:val="es-419"/>
        </w:rPr>
        <w:t xml:space="preserve"> de cumplir el número de cuotas y de pensión anticipada</w:t>
      </w:r>
    </w:p>
    <w:p w14:paraId="210025BB" w14:textId="6BD9403C" w:rsidR="00E43130" w:rsidRPr="00C56EC9" w:rsidRDefault="00FB4CFB" w:rsidP="00AB47C8">
      <w:pPr>
        <w:rPr>
          <w:lang w:val="es-419"/>
        </w:rPr>
      </w:pPr>
      <w:r w:rsidRPr="00C56EC9">
        <w:rPr>
          <w:lang w:val="es-419"/>
        </w:rPr>
        <w:t>Las probabilidades de cumplir el número de cuotas exigidas por la Ley 51 de 2005, correspondiente a 240, constituyen un elemento crucial en los modelos actuariales de la CSS, ya que determinan la elegibilidad de los afiliados para acceder a una pensión de retiro</w:t>
      </w:r>
      <w:r w:rsidR="00110F42" w:rsidRPr="00C56EC9">
        <w:rPr>
          <w:lang w:val="es-419"/>
        </w:rPr>
        <w:t>.</w:t>
      </w:r>
      <w:r w:rsidR="00C94000" w:rsidRPr="00C56EC9">
        <w:rPr>
          <w:lang w:val="es-419"/>
        </w:rPr>
        <w:t xml:space="preserve"> </w:t>
      </w:r>
      <w:r w:rsidR="00110F42" w:rsidRPr="00C56EC9">
        <w:rPr>
          <w:lang w:val="es-419"/>
        </w:rPr>
        <w:t>R</w:t>
      </w:r>
      <w:r w:rsidRPr="00C56EC9">
        <w:rPr>
          <w:lang w:val="es-419"/>
        </w:rPr>
        <w:t xml:space="preserve">eflejan el comportamiento histórico y proyectado de los asegurados respecto al cumplimiento de los años de contribución requeridos, lo que está directamente influenciado por la estabilidad laboral, las tasas de formalidad, y las brechas de género en el mercado laboral. </w:t>
      </w:r>
      <w:r w:rsidR="00243478" w:rsidRPr="00C56EC9">
        <w:rPr>
          <w:lang w:val="es-419"/>
        </w:rPr>
        <w:t xml:space="preserve">Estas probabilidades se toman de manera unisex debido al uso de factores de </w:t>
      </w:r>
      <w:proofErr w:type="spellStart"/>
      <w:r w:rsidR="00243478" w:rsidRPr="00C56EC9">
        <w:rPr>
          <w:lang w:val="es-419"/>
        </w:rPr>
        <w:t>pensionamiento</w:t>
      </w:r>
      <w:proofErr w:type="spellEnd"/>
      <w:r w:rsidR="00243478" w:rsidRPr="00C56EC9">
        <w:rPr>
          <w:lang w:val="es-419"/>
        </w:rPr>
        <w:t xml:space="preserve"> únicos para no afectar los niveles de prestaciones para las mujeres en favor de los hombres.</w:t>
      </w:r>
    </w:p>
    <w:p w14:paraId="0D92555E" w14:textId="51D4D916" w:rsidR="001C5910" w:rsidRPr="00C56EC9" w:rsidRDefault="00FB4CFB" w:rsidP="00AB47C8">
      <w:pPr>
        <w:rPr>
          <w:lang w:val="es-419"/>
        </w:rPr>
      </w:pPr>
      <w:r w:rsidRPr="00C56EC9">
        <w:rPr>
          <w:lang w:val="es-419"/>
        </w:rPr>
        <w:t>En cuanto a la pensión anticipada, se analizan las probabilidades de que los afiliados que cumplen las condiciones para una jubilación anticipada, según las disposiciones del Artículo 124 del Proyecto de Ley 63 de 2024 que modifica el Artículo 170 de la Ley 51, opten por retirarse antes de alcanzar la edad mínima establecida</w:t>
      </w:r>
      <w:r w:rsidR="00E43130" w:rsidRPr="00C56EC9">
        <w:rPr>
          <w:lang w:val="es-419"/>
        </w:rPr>
        <w:t xml:space="preserve"> en la transición</w:t>
      </w:r>
      <w:r w:rsidR="004436CB">
        <w:rPr>
          <w:lang w:val="es-419"/>
        </w:rPr>
        <w:t xml:space="preserve"> (hasta 2031)</w:t>
      </w:r>
      <w:r w:rsidR="00E43130" w:rsidRPr="00C56EC9">
        <w:rPr>
          <w:lang w:val="es-419"/>
        </w:rPr>
        <w:t xml:space="preserve"> </w:t>
      </w:r>
      <w:r w:rsidR="00C201E8" w:rsidRPr="00C56EC9">
        <w:rPr>
          <w:lang w:val="es-419"/>
        </w:rPr>
        <w:t>o para el nuevo Componente Solidario</w:t>
      </w:r>
      <w:r w:rsidRPr="00C56EC9">
        <w:rPr>
          <w:lang w:val="es-419"/>
        </w:rPr>
        <w:t xml:space="preserve">. Este comportamiento depende de factores como el monto acumulado en la capitalización solidaria, la tasa de reemplazo proyectada y la suficiencia de la Pensión Solidaria Garantizada. </w:t>
      </w:r>
    </w:p>
    <w:p w14:paraId="2E7D42F0" w14:textId="691A4B5A" w:rsidR="001C5910" w:rsidRPr="00C56EC9" w:rsidRDefault="00FB4CFB" w:rsidP="00AB47C8">
      <w:pPr>
        <w:rPr>
          <w:lang w:val="es-419"/>
        </w:rPr>
      </w:pPr>
      <w:r w:rsidRPr="00C56EC9">
        <w:rPr>
          <w:lang w:val="es-419"/>
        </w:rPr>
        <w:t xml:space="preserve">Los modelos actuariales integran estos parámetros para estimar el impacto financiero de las pensiones anticipadas en el sistema, particularmente porque estas decisiones influyen en la duración y los flujos de pago, generando presiones adicionales sobre las reservas del sistema y sobre el </w:t>
      </w:r>
      <w:r w:rsidR="002867A7" w:rsidRPr="00C56EC9">
        <w:rPr>
          <w:lang w:val="es-419"/>
        </w:rPr>
        <w:t xml:space="preserve">nuevo </w:t>
      </w:r>
      <w:r w:rsidRPr="00C56EC9">
        <w:rPr>
          <w:lang w:val="es-419"/>
        </w:rPr>
        <w:t>Fondo Único Solidario.</w:t>
      </w:r>
    </w:p>
    <w:p w14:paraId="637B00BE" w14:textId="77777777" w:rsidR="00710F49" w:rsidRDefault="00710F49" w:rsidP="00C94000">
      <w:pPr>
        <w:pStyle w:val="Grfico"/>
      </w:pPr>
    </w:p>
    <w:p w14:paraId="42E5AB66" w14:textId="1337A3CA" w:rsidR="00C94000" w:rsidRDefault="00C94000" w:rsidP="00C94000">
      <w:pPr>
        <w:pStyle w:val="Grfico"/>
      </w:pPr>
      <w:r w:rsidRPr="00C56EC9">
        <w:lastRenderedPageBreak/>
        <w:t xml:space="preserve">Tabla </w:t>
      </w:r>
      <w:r w:rsidRPr="00C56EC9">
        <w:fldChar w:fldCharType="begin"/>
      </w:r>
      <w:r w:rsidRPr="00C56EC9">
        <w:instrText xml:space="preserve"> SEQ Tabla \* ARABIC </w:instrText>
      </w:r>
      <w:r w:rsidRPr="00C56EC9">
        <w:fldChar w:fldCharType="separate"/>
      </w:r>
      <w:r w:rsidR="00B24233">
        <w:rPr>
          <w:noProof/>
        </w:rPr>
        <w:t>9</w:t>
      </w:r>
      <w:r w:rsidRPr="00C56EC9">
        <w:fldChar w:fldCharType="end"/>
      </w:r>
      <w:r w:rsidRPr="00C56EC9">
        <w:t xml:space="preserve">. Factores de cumplimiento de cuotas y de probabilidad de retiro </w:t>
      </w:r>
      <w:r w:rsidR="009E1E40">
        <w:t>en transición</w:t>
      </w:r>
    </w:p>
    <w:tbl>
      <w:tblPr>
        <w:tblW w:w="7998" w:type="dxa"/>
        <w:jc w:val="center"/>
        <w:tblLook w:val="04A0" w:firstRow="1" w:lastRow="0" w:firstColumn="1" w:lastColumn="0" w:noHBand="0" w:noVBand="1"/>
      </w:tblPr>
      <w:tblGrid>
        <w:gridCol w:w="1300"/>
        <w:gridCol w:w="2097"/>
        <w:gridCol w:w="1252"/>
        <w:gridCol w:w="2097"/>
        <w:gridCol w:w="1252"/>
      </w:tblGrid>
      <w:tr w:rsidR="00B66CAB" w:rsidRPr="00B66CAB" w14:paraId="38DF61F3" w14:textId="77777777" w:rsidTr="00B66CAB">
        <w:trPr>
          <w:trHeight w:val="285"/>
          <w:jc w:val="center"/>
        </w:trPr>
        <w:tc>
          <w:tcPr>
            <w:tcW w:w="13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36E084F" w14:textId="77777777" w:rsidR="00B66CAB" w:rsidRPr="0083779F" w:rsidRDefault="00B66CAB" w:rsidP="00B66CAB">
            <w:pPr>
              <w:pStyle w:val="Tablas"/>
              <w:rPr>
                <w:b/>
                <w:bCs w:val="0"/>
              </w:rPr>
            </w:pPr>
            <w:r w:rsidRPr="0083779F">
              <w:rPr>
                <w:b/>
                <w:bCs w:val="0"/>
              </w:rPr>
              <w:t>Edad</w:t>
            </w:r>
          </w:p>
        </w:tc>
        <w:tc>
          <w:tcPr>
            <w:tcW w:w="334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F416297" w14:textId="77777777" w:rsidR="00B66CAB" w:rsidRPr="0083779F" w:rsidRDefault="00B66CAB" w:rsidP="00B66CAB">
            <w:pPr>
              <w:pStyle w:val="Tablas"/>
              <w:rPr>
                <w:b/>
                <w:bCs w:val="0"/>
              </w:rPr>
            </w:pPr>
            <w:r w:rsidRPr="0083779F">
              <w:rPr>
                <w:b/>
                <w:bCs w:val="0"/>
              </w:rPr>
              <w:t>Hombre</w:t>
            </w:r>
          </w:p>
        </w:tc>
        <w:tc>
          <w:tcPr>
            <w:tcW w:w="334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A7014EB" w14:textId="77777777" w:rsidR="00B66CAB" w:rsidRPr="0083779F" w:rsidRDefault="00B66CAB" w:rsidP="00B66CAB">
            <w:pPr>
              <w:pStyle w:val="Tablas"/>
              <w:rPr>
                <w:b/>
                <w:bCs w:val="0"/>
              </w:rPr>
            </w:pPr>
            <w:r w:rsidRPr="0083779F">
              <w:rPr>
                <w:b/>
                <w:bCs w:val="0"/>
              </w:rPr>
              <w:t>Mujer</w:t>
            </w:r>
          </w:p>
        </w:tc>
      </w:tr>
      <w:tr w:rsidR="00B66CAB" w:rsidRPr="00B66CAB" w14:paraId="001A17B0" w14:textId="77777777" w:rsidTr="00B66CAB">
        <w:trPr>
          <w:trHeight w:val="285"/>
          <w:jc w:val="center"/>
        </w:trPr>
        <w:tc>
          <w:tcPr>
            <w:tcW w:w="1300" w:type="dxa"/>
            <w:vMerge/>
            <w:tcBorders>
              <w:top w:val="single" w:sz="8" w:space="0" w:color="auto"/>
              <w:left w:val="single" w:sz="8" w:space="0" w:color="auto"/>
              <w:bottom w:val="single" w:sz="4" w:space="0" w:color="auto"/>
              <w:right w:val="single" w:sz="8" w:space="0" w:color="auto"/>
            </w:tcBorders>
            <w:vAlign w:val="center"/>
            <w:hideMark/>
          </w:tcPr>
          <w:p w14:paraId="6CBD7460" w14:textId="77777777" w:rsidR="00B66CAB" w:rsidRPr="0083779F" w:rsidRDefault="00B66CAB" w:rsidP="00B66CAB">
            <w:pPr>
              <w:pStyle w:val="Tablas"/>
              <w:rPr>
                <w:b/>
                <w:bCs w:val="0"/>
              </w:rPr>
            </w:pPr>
          </w:p>
        </w:tc>
        <w:tc>
          <w:tcPr>
            <w:tcW w:w="2097" w:type="dxa"/>
            <w:tcBorders>
              <w:top w:val="nil"/>
              <w:left w:val="nil"/>
              <w:bottom w:val="single" w:sz="4" w:space="0" w:color="auto"/>
              <w:right w:val="single" w:sz="4" w:space="0" w:color="auto"/>
            </w:tcBorders>
            <w:shd w:val="clear" w:color="auto" w:fill="auto"/>
            <w:noWrap/>
            <w:vAlign w:val="center"/>
            <w:hideMark/>
          </w:tcPr>
          <w:p w14:paraId="3B26838E" w14:textId="77777777" w:rsidR="00B66CAB" w:rsidRPr="0083779F" w:rsidRDefault="00B66CAB" w:rsidP="00B66CAB">
            <w:pPr>
              <w:pStyle w:val="Tablas"/>
              <w:rPr>
                <w:b/>
                <w:bCs w:val="0"/>
              </w:rPr>
            </w:pPr>
            <w:proofErr w:type="spellStart"/>
            <w:r w:rsidRPr="0083779F">
              <w:rPr>
                <w:b/>
                <w:bCs w:val="0"/>
              </w:rPr>
              <w:t>Prob</w:t>
            </w:r>
            <w:proofErr w:type="spellEnd"/>
            <w:r w:rsidRPr="0083779F">
              <w:rPr>
                <w:b/>
                <w:bCs w:val="0"/>
              </w:rPr>
              <w:t>. de cumplir cuotas</w:t>
            </w:r>
          </w:p>
        </w:tc>
        <w:tc>
          <w:tcPr>
            <w:tcW w:w="1252" w:type="dxa"/>
            <w:tcBorders>
              <w:top w:val="nil"/>
              <w:left w:val="nil"/>
              <w:bottom w:val="single" w:sz="4" w:space="0" w:color="auto"/>
              <w:right w:val="single" w:sz="8" w:space="0" w:color="auto"/>
            </w:tcBorders>
            <w:shd w:val="clear" w:color="auto" w:fill="auto"/>
            <w:noWrap/>
            <w:vAlign w:val="center"/>
            <w:hideMark/>
          </w:tcPr>
          <w:p w14:paraId="4F91C204" w14:textId="77777777" w:rsidR="00B66CAB" w:rsidRPr="0083779F" w:rsidRDefault="00B66CAB" w:rsidP="00B66CAB">
            <w:pPr>
              <w:pStyle w:val="Tablas"/>
              <w:rPr>
                <w:b/>
                <w:bCs w:val="0"/>
              </w:rPr>
            </w:pPr>
            <w:proofErr w:type="spellStart"/>
            <w:r w:rsidRPr="0083779F">
              <w:rPr>
                <w:b/>
                <w:bCs w:val="0"/>
              </w:rPr>
              <w:t>Prob</w:t>
            </w:r>
            <w:proofErr w:type="spellEnd"/>
            <w:r w:rsidRPr="0083779F">
              <w:rPr>
                <w:b/>
                <w:bCs w:val="0"/>
              </w:rPr>
              <w:t>. de retiro</w:t>
            </w:r>
          </w:p>
        </w:tc>
        <w:tc>
          <w:tcPr>
            <w:tcW w:w="2097" w:type="dxa"/>
            <w:tcBorders>
              <w:top w:val="nil"/>
              <w:left w:val="nil"/>
              <w:bottom w:val="single" w:sz="4" w:space="0" w:color="auto"/>
              <w:right w:val="single" w:sz="4" w:space="0" w:color="auto"/>
            </w:tcBorders>
            <w:shd w:val="clear" w:color="auto" w:fill="auto"/>
            <w:noWrap/>
            <w:vAlign w:val="center"/>
            <w:hideMark/>
          </w:tcPr>
          <w:p w14:paraId="25CCEEB8" w14:textId="77777777" w:rsidR="00B66CAB" w:rsidRPr="0083779F" w:rsidRDefault="00B66CAB" w:rsidP="00B66CAB">
            <w:pPr>
              <w:pStyle w:val="Tablas"/>
              <w:rPr>
                <w:b/>
                <w:bCs w:val="0"/>
              </w:rPr>
            </w:pPr>
            <w:proofErr w:type="spellStart"/>
            <w:r w:rsidRPr="0083779F">
              <w:rPr>
                <w:b/>
                <w:bCs w:val="0"/>
              </w:rPr>
              <w:t>Prob</w:t>
            </w:r>
            <w:proofErr w:type="spellEnd"/>
            <w:r w:rsidRPr="0083779F">
              <w:rPr>
                <w:b/>
                <w:bCs w:val="0"/>
              </w:rPr>
              <w:t>. de cumplir cuotas</w:t>
            </w:r>
          </w:p>
        </w:tc>
        <w:tc>
          <w:tcPr>
            <w:tcW w:w="1252" w:type="dxa"/>
            <w:tcBorders>
              <w:top w:val="nil"/>
              <w:left w:val="nil"/>
              <w:bottom w:val="single" w:sz="4" w:space="0" w:color="auto"/>
              <w:right w:val="single" w:sz="8" w:space="0" w:color="auto"/>
            </w:tcBorders>
            <w:shd w:val="clear" w:color="auto" w:fill="auto"/>
            <w:noWrap/>
            <w:vAlign w:val="center"/>
            <w:hideMark/>
          </w:tcPr>
          <w:p w14:paraId="41EEC576" w14:textId="77777777" w:rsidR="00B66CAB" w:rsidRPr="0083779F" w:rsidRDefault="00B66CAB" w:rsidP="00B66CAB">
            <w:pPr>
              <w:pStyle w:val="Tablas"/>
              <w:rPr>
                <w:b/>
                <w:bCs w:val="0"/>
              </w:rPr>
            </w:pPr>
            <w:proofErr w:type="spellStart"/>
            <w:r w:rsidRPr="0083779F">
              <w:rPr>
                <w:b/>
                <w:bCs w:val="0"/>
              </w:rPr>
              <w:t>Prob</w:t>
            </w:r>
            <w:proofErr w:type="spellEnd"/>
            <w:r w:rsidRPr="0083779F">
              <w:rPr>
                <w:b/>
                <w:bCs w:val="0"/>
              </w:rPr>
              <w:t>. de retiro</w:t>
            </w:r>
          </w:p>
        </w:tc>
      </w:tr>
      <w:tr w:rsidR="00B66CAB" w:rsidRPr="00B66CAB" w14:paraId="6FF7FCF8"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40B69EC" w14:textId="77777777" w:rsidR="00B66CAB" w:rsidRPr="00B66CAB" w:rsidRDefault="00B66CAB" w:rsidP="00B66CAB">
            <w:pPr>
              <w:pStyle w:val="Tablas"/>
            </w:pPr>
            <w:r w:rsidRPr="00B66CAB">
              <w:t>50</w:t>
            </w:r>
          </w:p>
        </w:tc>
        <w:tc>
          <w:tcPr>
            <w:tcW w:w="2097" w:type="dxa"/>
            <w:tcBorders>
              <w:top w:val="nil"/>
              <w:left w:val="nil"/>
              <w:bottom w:val="single" w:sz="4" w:space="0" w:color="auto"/>
              <w:right w:val="single" w:sz="4" w:space="0" w:color="auto"/>
            </w:tcBorders>
            <w:shd w:val="clear" w:color="auto" w:fill="auto"/>
            <w:noWrap/>
            <w:vAlign w:val="center"/>
            <w:hideMark/>
          </w:tcPr>
          <w:p w14:paraId="44EB31F1"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0DE7BD09"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0E4BC4BC" w14:textId="77777777" w:rsidR="00B66CAB" w:rsidRPr="00B66CAB" w:rsidRDefault="00B66CAB" w:rsidP="00B66CAB">
            <w:pPr>
              <w:pStyle w:val="Tablas"/>
            </w:pPr>
            <w:r w:rsidRPr="00B66CAB">
              <w:t>0.3500</w:t>
            </w:r>
          </w:p>
        </w:tc>
        <w:tc>
          <w:tcPr>
            <w:tcW w:w="1252" w:type="dxa"/>
            <w:tcBorders>
              <w:top w:val="nil"/>
              <w:left w:val="nil"/>
              <w:bottom w:val="single" w:sz="4" w:space="0" w:color="auto"/>
              <w:right w:val="single" w:sz="8" w:space="0" w:color="auto"/>
            </w:tcBorders>
            <w:shd w:val="clear" w:color="auto" w:fill="auto"/>
            <w:noWrap/>
            <w:vAlign w:val="center"/>
            <w:hideMark/>
          </w:tcPr>
          <w:p w14:paraId="0BC71832" w14:textId="77777777" w:rsidR="00B66CAB" w:rsidRPr="00B66CAB" w:rsidRDefault="00B66CAB" w:rsidP="00B66CAB">
            <w:pPr>
              <w:pStyle w:val="Tablas"/>
            </w:pPr>
            <w:r w:rsidRPr="00B66CAB">
              <w:t>0.0000</w:t>
            </w:r>
          </w:p>
        </w:tc>
      </w:tr>
      <w:tr w:rsidR="00B66CAB" w:rsidRPr="00B66CAB" w14:paraId="028894E6"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7B0A8E3" w14:textId="77777777" w:rsidR="00B66CAB" w:rsidRPr="00B66CAB" w:rsidRDefault="00B66CAB" w:rsidP="00B66CAB">
            <w:pPr>
              <w:pStyle w:val="Tablas"/>
            </w:pPr>
            <w:r w:rsidRPr="00B66CAB">
              <w:t>51</w:t>
            </w:r>
          </w:p>
        </w:tc>
        <w:tc>
          <w:tcPr>
            <w:tcW w:w="2097" w:type="dxa"/>
            <w:tcBorders>
              <w:top w:val="nil"/>
              <w:left w:val="nil"/>
              <w:bottom w:val="single" w:sz="4" w:space="0" w:color="auto"/>
              <w:right w:val="single" w:sz="4" w:space="0" w:color="auto"/>
            </w:tcBorders>
            <w:shd w:val="clear" w:color="auto" w:fill="auto"/>
            <w:noWrap/>
            <w:vAlign w:val="center"/>
            <w:hideMark/>
          </w:tcPr>
          <w:p w14:paraId="6F4BCA6E"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49A1C01E"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5D5416F0" w14:textId="77777777" w:rsidR="00B66CAB" w:rsidRPr="00B66CAB" w:rsidRDefault="00B66CAB" w:rsidP="00B66CAB">
            <w:pPr>
              <w:pStyle w:val="Tablas"/>
            </w:pPr>
            <w:r w:rsidRPr="00B66CAB">
              <w:t>0.3800</w:t>
            </w:r>
          </w:p>
        </w:tc>
        <w:tc>
          <w:tcPr>
            <w:tcW w:w="1252" w:type="dxa"/>
            <w:tcBorders>
              <w:top w:val="nil"/>
              <w:left w:val="nil"/>
              <w:bottom w:val="single" w:sz="4" w:space="0" w:color="auto"/>
              <w:right w:val="single" w:sz="8" w:space="0" w:color="auto"/>
            </w:tcBorders>
            <w:shd w:val="clear" w:color="auto" w:fill="auto"/>
            <w:noWrap/>
            <w:vAlign w:val="center"/>
            <w:hideMark/>
          </w:tcPr>
          <w:p w14:paraId="7E00DF6F" w14:textId="77777777" w:rsidR="00B66CAB" w:rsidRPr="00B66CAB" w:rsidRDefault="00B66CAB" w:rsidP="00B66CAB">
            <w:pPr>
              <w:pStyle w:val="Tablas"/>
            </w:pPr>
            <w:r w:rsidRPr="00B66CAB">
              <w:t>0.0000</w:t>
            </w:r>
          </w:p>
        </w:tc>
      </w:tr>
      <w:tr w:rsidR="00B66CAB" w:rsidRPr="00B66CAB" w14:paraId="05BA912C"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CC4DA80" w14:textId="77777777" w:rsidR="00B66CAB" w:rsidRPr="00B66CAB" w:rsidRDefault="00B66CAB" w:rsidP="00B66CAB">
            <w:pPr>
              <w:pStyle w:val="Tablas"/>
            </w:pPr>
            <w:r w:rsidRPr="00B66CAB">
              <w:t>52</w:t>
            </w:r>
          </w:p>
        </w:tc>
        <w:tc>
          <w:tcPr>
            <w:tcW w:w="2097" w:type="dxa"/>
            <w:tcBorders>
              <w:top w:val="nil"/>
              <w:left w:val="nil"/>
              <w:bottom w:val="single" w:sz="4" w:space="0" w:color="auto"/>
              <w:right w:val="single" w:sz="4" w:space="0" w:color="auto"/>
            </w:tcBorders>
            <w:shd w:val="clear" w:color="auto" w:fill="auto"/>
            <w:noWrap/>
            <w:vAlign w:val="center"/>
            <w:hideMark/>
          </w:tcPr>
          <w:p w14:paraId="36FF3B04"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7887E31D"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1020C780" w14:textId="77777777" w:rsidR="00B66CAB" w:rsidRPr="00B66CAB" w:rsidRDefault="00B66CAB" w:rsidP="00B66CAB">
            <w:pPr>
              <w:pStyle w:val="Tablas"/>
            </w:pPr>
            <w:r w:rsidRPr="00B66CAB">
              <w:t>0.4000</w:t>
            </w:r>
          </w:p>
        </w:tc>
        <w:tc>
          <w:tcPr>
            <w:tcW w:w="1252" w:type="dxa"/>
            <w:tcBorders>
              <w:top w:val="nil"/>
              <w:left w:val="nil"/>
              <w:bottom w:val="single" w:sz="4" w:space="0" w:color="auto"/>
              <w:right w:val="single" w:sz="8" w:space="0" w:color="auto"/>
            </w:tcBorders>
            <w:shd w:val="clear" w:color="auto" w:fill="auto"/>
            <w:noWrap/>
            <w:vAlign w:val="center"/>
            <w:hideMark/>
          </w:tcPr>
          <w:p w14:paraId="549225A2" w14:textId="77777777" w:rsidR="00B66CAB" w:rsidRPr="00B66CAB" w:rsidRDefault="00B66CAB" w:rsidP="00B66CAB">
            <w:pPr>
              <w:pStyle w:val="Tablas"/>
            </w:pPr>
            <w:r w:rsidRPr="00B66CAB">
              <w:t>0.0000</w:t>
            </w:r>
          </w:p>
        </w:tc>
      </w:tr>
      <w:tr w:rsidR="00B66CAB" w:rsidRPr="00B66CAB" w14:paraId="30CED173"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15FE5E0" w14:textId="77777777" w:rsidR="00B66CAB" w:rsidRPr="00B66CAB" w:rsidRDefault="00B66CAB" w:rsidP="00B66CAB">
            <w:pPr>
              <w:pStyle w:val="Tablas"/>
            </w:pPr>
            <w:r w:rsidRPr="00B66CAB">
              <w:t>53</w:t>
            </w:r>
          </w:p>
        </w:tc>
        <w:tc>
          <w:tcPr>
            <w:tcW w:w="2097" w:type="dxa"/>
            <w:tcBorders>
              <w:top w:val="nil"/>
              <w:left w:val="nil"/>
              <w:bottom w:val="single" w:sz="4" w:space="0" w:color="auto"/>
              <w:right w:val="single" w:sz="4" w:space="0" w:color="auto"/>
            </w:tcBorders>
            <w:shd w:val="clear" w:color="auto" w:fill="auto"/>
            <w:noWrap/>
            <w:vAlign w:val="center"/>
            <w:hideMark/>
          </w:tcPr>
          <w:p w14:paraId="3702B89D"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7E712AA2"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567D939E" w14:textId="77777777" w:rsidR="00B66CAB" w:rsidRPr="00B66CAB" w:rsidRDefault="00B66CAB" w:rsidP="00B66CAB">
            <w:pPr>
              <w:pStyle w:val="Tablas"/>
            </w:pPr>
            <w:r w:rsidRPr="00B66CAB">
              <w:t>0.4200</w:t>
            </w:r>
          </w:p>
        </w:tc>
        <w:tc>
          <w:tcPr>
            <w:tcW w:w="1252" w:type="dxa"/>
            <w:tcBorders>
              <w:top w:val="nil"/>
              <w:left w:val="nil"/>
              <w:bottom w:val="single" w:sz="4" w:space="0" w:color="auto"/>
              <w:right w:val="single" w:sz="8" w:space="0" w:color="auto"/>
            </w:tcBorders>
            <w:shd w:val="clear" w:color="auto" w:fill="auto"/>
            <w:noWrap/>
            <w:vAlign w:val="center"/>
            <w:hideMark/>
          </w:tcPr>
          <w:p w14:paraId="2A94FD86" w14:textId="77777777" w:rsidR="00B66CAB" w:rsidRPr="00B66CAB" w:rsidRDefault="00B66CAB" w:rsidP="00B66CAB">
            <w:pPr>
              <w:pStyle w:val="Tablas"/>
            </w:pPr>
            <w:r w:rsidRPr="00B66CAB">
              <w:t>0.0000</w:t>
            </w:r>
          </w:p>
        </w:tc>
      </w:tr>
      <w:tr w:rsidR="00B66CAB" w:rsidRPr="00B66CAB" w14:paraId="01AA57BA"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9460578" w14:textId="77777777" w:rsidR="00B66CAB" w:rsidRPr="00B66CAB" w:rsidRDefault="00B66CAB" w:rsidP="00B66CAB">
            <w:pPr>
              <w:pStyle w:val="Tablas"/>
            </w:pPr>
            <w:r w:rsidRPr="00B66CAB">
              <w:t>54</w:t>
            </w:r>
          </w:p>
        </w:tc>
        <w:tc>
          <w:tcPr>
            <w:tcW w:w="2097" w:type="dxa"/>
            <w:tcBorders>
              <w:top w:val="nil"/>
              <w:left w:val="nil"/>
              <w:bottom w:val="single" w:sz="4" w:space="0" w:color="auto"/>
              <w:right w:val="single" w:sz="4" w:space="0" w:color="auto"/>
            </w:tcBorders>
            <w:shd w:val="clear" w:color="auto" w:fill="auto"/>
            <w:noWrap/>
            <w:vAlign w:val="center"/>
            <w:hideMark/>
          </w:tcPr>
          <w:p w14:paraId="5E4C7428"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3610F8C6"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4424A064" w14:textId="77777777" w:rsidR="00B66CAB" w:rsidRPr="00B66CAB" w:rsidRDefault="00B66CAB" w:rsidP="00B66CAB">
            <w:pPr>
              <w:pStyle w:val="Tablas"/>
            </w:pPr>
            <w:r w:rsidRPr="00B66CAB">
              <w:t>0.4400</w:t>
            </w:r>
          </w:p>
        </w:tc>
        <w:tc>
          <w:tcPr>
            <w:tcW w:w="1252" w:type="dxa"/>
            <w:tcBorders>
              <w:top w:val="nil"/>
              <w:left w:val="nil"/>
              <w:bottom w:val="single" w:sz="4" w:space="0" w:color="auto"/>
              <w:right w:val="single" w:sz="8" w:space="0" w:color="auto"/>
            </w:tcBorders>
            <w:shd w:val="clear" w:color="auto" w:fill="auto"/>
            <w:noWrap/>
            <w:vAlign w:val="center"/>
            <w:hideMark/>
          </w:tcPr>
          <w:p w14:paraId="4C29FBB6" w14:textId="77777777" w:rsidR="00B66CAB" w:rsidRPr="00B66CAB" w:rsidRDefault="00B66CAB" w:rsidP="00B66CAB">
            <w:pPr>
              <w:pStyle w:val="Tablas"/>
            </w:pPr>
            <w:r w:rsidRPr="00B66CAB">
              <w:t>0.0000</w:t>
            </w:r>
          </w:p>
        </w:tc>
      </w:tr>
      <w:tr w:rsidR="00B66CAB" w:rsidRPr="00B66CAB" w14:paraId="2192293B"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EF42F8B" w14:textId="77777777" w:rsidR="00B66CAB" w:rsidRPr="00B66CAB" w:rsidRDefault="00B66CAB" w:rsidP="00B66CAB">
            <w:pPr>
              <w:pStyle w:val="Tablas"/>
            </w:pPr>
            <w:r w:rsidRPr="00B66CAB">
              <w:t>55</w:t>
            </w:r>
          </w:p>
        </w:tc>
        <w:tc>
          <w:tcPr>
            <w:tcW w:w="2097" w:type="dxa"/>
            <w:tcBorders>
              <w:top w:val="nil"/>
              <w:left w:val="nil"/>
              <w:bottom w:val="single" w:sz="4" w:space="0" w:color="auto"/>
              <w:right w:val="single" w:sz="4" w:space="0" w:color="auto"/>
            </w:tcBorders>
            <w:shd w:val="clear" w:color="auto" w:fill="auto"/>
            <w:noWrap/>
            <w:vAlign w:val="center"/>
            <w:hideMark/>
          </w:tcPr>
          <w:p w14:paraId="78D0D171"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7DFFE1A5"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5C80720C" w14:textId="77777777" w:rsidR="00B66CAB" w:rsidRPr="00B66CAB" w:rsidRDefault="00B66CAB" w:rsidP="00B66CAB">
            <w:pPr>
              <w:pStyle w:val="Tablas"/>
            </w:pPr>
            <w:r w:rsidRPr="00B66CAB">
              <w:t>0.4600</w:t>
            </w:r>
          </w:p>
        </w:tc>
        <w:tc>
          <w:tcPr>
            <w:tcW w:w="1252" w:type="dxa"/>
            <w:tcBorders>
              <w:top w:val="nil"/>
              <w:left w:val="nil"/>
              <w:bottom w:val="single" w:sz="4" w:space="0" w:color="auto"/>
              <w:right w:val="single" w:sz="8" w:space="0" w:color="auto"/>
            </w:tcBorders>
            <w:shd w:val="clear" w:color="auto" w:fill="auto"/>
            <w:noWrap/>
            <w:vAlign w:val="center"/>
            <w:hideMark/>
          </w:tcPr>
          <w:p w14:paraId="46A420FB" w14:textId="77777777" w:rsidR="00B66CAB" w:rsidRPr="00B66CAB" w:rsidRDefault="00B66CAB" w:rsidP="00B66CAB">
            <w:pPr>
              <w:pStyle w:val="Tablas"/>
            </w:pPr>
            <w:r w:rsidRPr="00B66CAB">
              <w:t>0.0952</w:t>
            </w:r>
          </w:p>
        </w:tc>
      </w:tr>
      <w:tr w:rsidR="00B66CAB" w:rsidRPr="00B66CAB" w14:paraId="389C8D5E"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F44936C" w14:textId="77777777" w:rsidR="00B66CAB" w:rsidRPr="00B66CAB" w:rsidRDefault="00B66CAB" w:rsidP="00B66CAB">
            <w:pPr>
              <w:pStyle w:val="Tablas"/>
            </w:pPr>
            <w:r w:rsidRPr="00B66CAB">
              <w:t>56</w:t>
            </w:r>
          </w:p>
        </w:tc>
        <w:tc>
          <w:tcPr>
            <w:tcW w:w="2097" w:type="dxa"/>
            <w:tcBorders>
              <w:top w:val="nil"/>
              <w:left w:val="nil"/>
              <w:bottom w:val="single" w:sz="4" w:space="0" w:color="auto"/>
              <w:right w:val="single" w:sz="4" w:space="0" w:color="auto"/>
            </w:tcBorders>
            <w:shd w:val="clear" w:color="auto" w:fill="auto"/>
            <w:noWrap/>
            <w:vAlign w:val="center"/>
            <w:hideMark/>
          </w:tcPr>
          <w:p w14:paraId="04D89205"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03667FFE"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0E48F344" w14:textId="77777777" w:rsidR="00B66CAB" w:rsidRPr="00B66CAB" w:rsidRDefault="00B66CAB" w:rsidP="00B66CAB">
            <w:pPr>
              <w:pStyle w:val="Tablas"/>
            </w:pPr>
            <w:r w:rsidRPr="00B66CAB">
              <w:t>0.4700</w:t>
            </w:r>
          </w:p>
        </w:tc>
        <w:tc>
          <w:tcPr>
            <w:tcW w:w="1252" w:type="dxa"/>
            <w:tcBorders>
              <w:top w:val="nil"/>
              <w:left w:val="nil"/>
              <w:bottom w:val="single" w:sz="4" w:space="0" w:color="auto"/>
              <w:right w:val="single" w:sz="8" w:space="0" w:color="auto"/>
            </w:tcBorders>
            <w:shd w:val="clear" w:color="auto" w:fill="auto"/>
            <w:noWrap/>
            <w:vAlign w:val="center"/>
            <w:hideMark/>
          </w:tcPr>
          <w:p w14:paraId="1FA92FD4" w14:textId="77777777" w:rsidR="00B66CAB" w:rsidRPr="00B66CAB" w:rsidRDefault="00B66CAB" w:rsidP="00B66CAB">
            <w:pPr>
              <w:pStyle w:val="Tablas"/>
            </w:pPr>
            <w:r w:rsidRPr="00B66CAB">
              <w:t>0.0744</w:t>
            </w:r>
          </w:p>
        </w:tc>
      </w:tr>
      <w:tr w:rsidR="00B66CAB" w:rsidRPr="00B66CAB" w14:paraId="49EFCB7C"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8E80F36" w14:textId="77777777" w:rsidR="00B66CAB" w:rsidRPr="00B66CAB" w:rsidRDefault="00B66CAB" w:rsidP="00B66CAB">
            <w:pPr>
              <w:pStyle w:val="Tablas"/>
            </w:pPr>
            <w:r w:rsidRPr="00B66CAB">
              <w:t>57</w:t>
            </w:r>
          </w:p>
        </w:tc>
        <w:tc>
          <w:tcPr>
            <w:tcW w:w="2097" w:type="dxa"/>
            <w:tcBorders>
              <w:top w:val="nil"/>
              <w:left w:val="nil"/>
              <w:bottom w:val="single" w:sz="4" w:space="0" w:color="auto"/>
              <w:right w:val="single" w:sz="4" w:space="0" w:color="auto"/>
            </w:tcBorders>
            <w:shd w:val="clear" w:color="auto" w:fill="auto"/>
            <w:noWrap/>
            <w:vAlign w:val="center"/>
            <w:hideMark/>
          </w:tcPr>
          <w:p w14:paraId="299C7012"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71843A21"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78B6EAC9" w14:textId="77777777" w:rsidR="00B66CAB" w:rsidRPr="00B66CAB" w:rsidRDefault="00B66CAB" w:rsidP="00B66CAB">
            <w:pPr>
              <w:pStyle w:val="Tablas"/>
            </w:pPr>
            <w:r w:rsidRPr="00B66CAB">
              <w:t>0.4900</w:t>
            </w:r>
          </w:p>
        </w:tc>
        <w:tc>
          <w:tcPr>
            <w:tcW w:w="1252" w:type="dxa"/>
            <w:tcBorders>
              <w:top w:val="nil"/>
              <w:left w:val="nil"/>
              <w:bottom w:val="single" w:sz="4" w:space="0" w:color="auto"/>
              <w:right w:val="single" w:sz="8" w:space="0" w:color="auto"/>
            </w:tcBorders>
            <w:shd w:val="clear" w:color="auto" w:fill="auto"/>
            <w:noWrap/>
            <w:vAlign w:val="center"/>
            <w:hideMark/>
          </w:tcPr>
          <w:p w14:paraId="1C5A2951" w14:textId="77777777" w:rsidR="00B66CAB" w:rsidRPr="00B66CAB" w:rsidRDefault="00B66CAB" w:rsidP="00B66CAB">
            <w:pPr>
              <w:pStyle w:val="Tablas"/>
            </w:pPr>
            <w:r w:rsidRPr="00B66CAB">
              <w:t>0.9000</w:t>
            </w:r>
          </w:p>
        </w:tc>
      </w:tr>
      <w:tr w:rsidR="00B66CAB" w:rsidRPr="00B66CAB" w14:paraId="60CA11E0"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F5E43B1" w14:textId="77777777" w:rsidR="00B66CAB" w:rsidRPr="00B66CAB" w:rsidRDefault="00B66CAB" w:rsidP="00B66CAB">
            <w:pPr>
              <w:pStyle w:val="Tablas"/>
            </w:pPr>
            <w:r w:rsidRPr="00B66CAB">
              <w:t>58</w:t>
            </w:r>
          </w:p>
        </w:tc>
        <w:tc>
          <w:tcPr>
            <w:tcW w:w="2097" w:type="dxa"/>
            <w:tcBorders>
              <w:top w:val="nil"/>
              <w:left w:val="nil"/>
              <w:bottom w:val="single" w:sz="4" w:space="0" w:color="auto"/>
              <w:right w:val="single" w:sz="4" w:space="0" w:color="auto"/>
            </w:tcBorders>
            <w:shd w:val="clear" w:color="auto" w:fill="auto"/>
            <w:noWrap/>
            <w:vAlign w:val="center"/>
            <w:hideMark/>
          </w:tcPr>
          <w:p w14:paraId="2E57A981"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740E8949"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6CB5A409" w14:textId="77777777" w:rsidR="00B66CAB" w:rsidRPr="00B66CAB" w:rsidRDefault="00B66CAB" w:rsidP="00B66CAB">
            <w:pPr>
              <w:pStyle w:val="Tablas"/>
            </w:pPr>
            <w:r w:rsidRPr="00B66CAB">
              <w:t>0.5000</w:t>
            </w:r>
          </w:p>
        </w:tc>
        <w:tc>
          <w:tcPr>
            <w:tcW w:w="1252" w:type="dxa"/>
            <w:tcBorders>
              <w:top w:val="nil"/>
              <w:left w:val="nil"/>
              <w:bottom w:val="single" w:sz="4" w:space="0" w:color="auto"/>
              <w:right w:val="single" w:sz="8" w:space="0" w:color="auto"/>
            </w:tcBorders>
            <w:shd w:val="clear" w:color="auto" w:fill="auto"/>
            <w:noWrap/>
            <w:vAlign w:val="center"/>
            <w:hideMark/>
          </w:tcPr>
          <w:p w14:paraId="0F62EA7A" w14:textId="77777777" w:rsidR="00B66CAB" w:rsidRPr="00B66CAB" w:rsidRDefault="00B66CAB" w:rsidP="00B66CAB">
            <w:pPr>
              <w:pStyle w:val="Tablas"/>
            </w:pPr>
            <w:r w:rsidRPr="00B66CAB">
              <w:t>0.9000</w:t>
            </w:r>
          </w:p>
        </w:tc>
      </w:tr>
      <w:tr w:rsidR="00B66CAB" w:rsidRPr="00B66CAB" w14:paraId="0277BA91"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31CAA1F" w14:textId="77777777" w:rsidR="00B66CAB" w:rsidRPr="00B66CAB" w:rsidRDefault="00B66CAB" w:rsidP="00B66CAB">
            <w:pPr>
              <w:pStyle w:val="Tablas"/>
            </w:pPr>
            <w:r w:rsidRPr="00B66CAB">
              <w:t>59</w:t>
            </w:r>
          </w:p>
        </w:tc>
        <w:tc>
          <w:tcPr>
            <w:tcW w:w="2097" w:type="dxa"/>
            <w:tcBorders>
              <w:top w:val="nil"/>
              <w:left w:val="nil"/>
              <w:bottom w:val="single" w:sz="4" w:space="0" w:color="auto"/>
              <w:right w:val="single" w:sz="4" w:space="0" w:color="auto"/>
            </w:tcBorders>
            <w:shd w:val="clear" w:color="auto" w:fill="auto"/>
            <w:noWrap/>
            <w:vAlign w:val="center"/>
            <w:hideMark/>
          </w:tcPr>
          <w:p w14:paraId="3DB748BE" w14:textId="77777777" w:rsidR="00B66CAB" w:rsidRPr="00B66CAB" w:rsidRDefault="00B66CAB" w:rsidP="00B66CAB">
            <w:pPr>
              <w:pStyle w:val="Tablas"/>
            </w:pPr>
            <w:r w:rsidRPr="00B66CAB">
              <w:t> </w:t>
            </w:r>
          </w:p>
        </w:tc>
        <w:tc>
          <w:tcPr>
            <w:tcW w:w="1252" w:type="dxa"/>
            <w:tcBorders>
              <w:top w:val="nil"/>
              <w:left w:val="nil"/>
              <w:bottom w:val="single" w:sz="4" w:space="0" w:color="auto"/>
              <w:right w:val="single" w:sz="8" w:space="0" w:color="auto"/>
            </w:tcBorders>
            <w:shd w:val="clear" w:color="auto" w:fill="auto"/>
            <w:noWrap/>
            <w:vAlign w:val="center"/>
            <w:hideMark/>
          </w:tcPr>
          <w:p w14:paraId="3B6E86ED" w14:textId="77777777" w:rsidR="00B66CAB" w:rsidRPr="00B66CAB" w:rsidRDefault="00B66CAB" w:rsidP="00B66CAB">
            <w:pPr>
              <w:pStyle w:val="Tablas"/>
            </w:pPr>
            <w:r w:rsidRPr="00B66CAB">
              <w:t> </w:t>
            </w:r>
          </w:p>
        </w:tc>
        <w:tc>
          <w:tcPr>
            <w:tcW w:w="2097" w:type="dxa"/>
            <w:tcBorders>
              <w:top w:val="nil"/>
              <w:left w:val="nil"/>
              <w:bottom w:val="single" w:sz="4" w:space="0" w:color="auto"/>
              <w:right w:val="single" w:sz="4" w:space="0" w:color="auto"/>
            </w:tcBorders>
            <w:shd w:val="clear" w:color="auto" w:fill="auto"/>
            <w:noWrap/>
            <w:vAlign w:val="center"/>
            <w:hideMark/>
          </w:tcPr>
          <w:p w14:paraId="1A3B0D23" w14:textId="77777777" w:rsidR="00B66CAB" w:rsidRPr="00B66CAB" w:rsidRDefault="00B66CAB" w:rsidP="00B66CAB">
            <w:pPr>
              <w:pStyle w:val="Tablas"/>
            </w:pPr>
            <w:r w:rsidRPr="00B66CAB">
              <w:t>0.5200</w:t>
            </w:r>
          </w:p>
        </w:tc>
        <w:tc>
          <w:tcPr>
            <w:tcW w:w="1252" w:type="dxa"/>
            <w:tcBorders>
              <w:top w:val="nil"/>
              <w:left w:val="nil"/>
              <w:bottom w:val="single" w:sz="4" w:space="0" w:color="auto"/>
              <w:right w:val="single" w:sz="8" w:space="0" w:color="auto"/>
            </w:tcBorders>
            <w:shd w:val="clear" w:color="auto" w:fill="auto"/>
            <w:noWrap/>
            <w:vAlign w:val="center"/>
            <w:hideMark/>
          </w:tcPr>
          <w:p w14:paraId="6673C5CA" w14:textId="77777777" w:rsidR="00B66CAB" w:rsidRPr="00B66CAB" w:rsidRDefault="00B66CAB" w:rsidP="00B66CAB">
            <w:pPr>
              <w:pStyle w:val="Tablas"/>
            </w:pPr>
            <w:r w:rsidRPr="00B66CAB">
              <w:t>0.9000</w:t>
            </w:r>
          </w:p>
        </w:tc>
      </w:tr>
      <w:tr w:rsidR="00B66CAB" w:rsidRPr="00B66CAB" w14:paraId="70025160" w14:textId="77777777" w:rsidTr="00B66CAB">
        <w:trPr>
          <w:trHeight w:val="293"/>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63CFA88" w14:textId="77777777" w:rsidR="00B66CAB" w:rsidRPr="00B66CAB" w:rsidRDefault="00B66CAB" w:rsidP="00B66CAB">
            <w:pPr>
              <w:pStyle w:val="Tablas"/>
            </w:pPr>
            <w:r w:rsidRPr="00B66CAB">
              <w:t>60</w:t>
            </w:r>
          </w:p>
        </w:tc>
        <w:tc>
          <w:tcPr>
            <w:tcW w:w="2097" w:type="dxa"/>
            <w:tcBorders>
              <w:top w:val="nil"/>
              <w:left w:val="nil"/>
              <w:bottom w:val="single" w:sz="4" w:space="0" w:color="auto"/>
              <w:right w:val="single" w:sz="4" w:space="0" w:color="auto"/>
            </w:tcBorders>
            <w:shd w:val="clear" w:color="auto" w:fill="auto"/>
            <w:noWrap/>
            <w:vAlign w:val="center"/>
            <w:hideMark/>
          </w:tcPr>
          <w:p w14:paraId="2C64138B" w14:textId="77777777" w:rsidR="00B66CAB" w:rsidRPr="00B66CAB" w:rsidRDefault="00B66CAB" w:rsidP="00B66CAB">
            <w:pPr>
              <w:pStyle w:val="Tablas"/>
            </w:pPr>
            <w:r w:rsidRPr="00B66CAB">
              <w:t>0.5300</w:t>
            </w:r>
          </w:p>
        </w:tc>
        <w:tc>
          <w:tcPr>
            <w:tcW w:w="1252" w:type="dxa"/>
            <w:tcBorders>
              <w:top w:val="nil"/>
              <w:left w:val="nil"/>
              <w:bottom w:val="single" w:sz="4" w:space="0" w:color="auto"/>
              <w:right w:val="single" w:sz="8" w:space="0" w:color="auto"/>
            </w:tcBorders>
            <w:shd w:val="clear" w:color="auto" w:fill="auto"/>
            <w:noWrap/>
            <w:vAlign w:val="center"/>
            <w:hideMark/>
          </w:tcPr>
          <w:p w14:paraId="164E87B3" w14:textId="77777777" w:rsidR="00B66CAB" w:rsidRPr="00B66CAB" w:rsidRDefault="00B66CAB" w:rsidP="00B66CAB">
            <w:pPr>
              <w:pStyle w:val="Tablas"/>
            </w:pPr>
            <w:r w:rsidRPr="00B66CAB">
              <w:t>0.1662</w:t>
            </w:r>
          </w:p>
        </w:tc>
        <w:tc>
          <w:tcPr>
            <w:tcW w:w="2097" w:type="dxa"/>
            <w:tcBorders>
              <w:top w:val="nil"/>
              <w:left w:val="nil"/>
              <w:bottom w:val="single" w:sz="4" w:space="0" w:color="auto"/>
              <w:right w:val="single" w:sz="4" w:space="0" w:color="auto"/>
            </w:tcBorders>
            <w:shd w:val="clear" w:color="auto" w:fill="auto"/>
            <w:noWrap/>
            <w:vAlign w:val="center"/>
            <w:hideMark/>
          </w:tcPr>
          <w:p w14:paraId="5DB8AD73" w14:textId="77777777" w:rsidR="00B66CAB" w:rsidRPr="00B66CAB" w:rsidRDefault="00B66CAB" w:rsidP="00B66CAB">
            <w:pPr>
              <w:pStyle w:val="Tablas"/>
            </w:pPr>
            <w:r w:rsidRPr="00B66CAB">
              <w:t>0.5300</w:t>
            </w:r>
          </w:p>
        </w:tc>
        <w:tc>
          <w:tcPr>
            <w:tcW w:w="1252" w:type="dxa"/>
            <w:tcBorders>
              <w:top w:val="nil"/>
              <w:left w:val="nil"/>
              <w:bottom w:val="single" w:sz="4" w:space="0" w:color="auto"/>
              <w:right w:val="single" w:sz="8" w:space="0" w:color="auto"/>
            </w:tcBorders>
            <w:shd w:val="clear" w:color="auto" w:fill="auto"/>
            <w:noWrap/>
            <w:vAlign w:val="center"/>
            <w:hideMark/>
          </w:tcPr>
          <w:p w14:paraId="10E3034D" w14:textId="77777777" w:rsidR="00B66CAB" w:rsidRPr="00B66CAB" w:rsidRDefault="00B66CAB" w:rsidP="00B66CAB">
            <w:pPr>
              <w:pStyle w:val="Tablas"/>
            </w:pPr>
            <w:r w:rsidRPr="00B66CAB">
              <w:t>0.9000</w:t>
            </w:r>
          </w:p>
        </w:tc>
      </w:tr>
      <w:tr w:rsidR="00B66CAB" w:rsidRPr="00B66CAB" w14:paraId="54B7C8A9"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3F8B6C1" w14:textId="77777777" w:rsidR="00B66CAB" w:rsidRPr="00B66CAB" w:rsidRDefault="00B66CAB" w:rsidP="00B66CAB">
            <w:pPr>
              <w:pStyle w:val="Tablas"/>
            </w:pPr>
            <w:r w:rsidRPr="00B66CAB">
              <w:t>61</w:t>
            </w:r>
          </w:p>
        </w:tc>
        <w:tc>
          <w:tcPr>
            <w:tcW w:w="2097" w:type="dxa"/>
            <w:tcBorders>
              <w:top w:val="nil"/>
              <w:left w:val="nil"/>
              <w:bottom w:val="single" w:sz="4" w:space="0" w:color="auto"/>
              <w:right w:val="single" w:sz="4" w:space="0" w:color="auto"/>
            </w:tcBorders>
            <w:shd w:val="clear" w:color="auto" w:fill="auto"/>
            <w:noWrap/>
            <w:vAlign w:val="center"/>
            <w:hideMark/>
          </w:tcPr>
          <w:p w14:paraId="1787CCBA" w14:textId="77777777" w:rsidR="00B66CAB" w:rsidRPr="00B66CAB" w:rsidRDefault="00B66CAB" w:rsidP="00B66CAB">
            <w:pPr>
              <w:pStyle w:val="Tablas"/>
            </w:pPr>
            <w:r w:rsidRPr="00B66CAB">
              <w:t>0.5400</w:t>
            </w:r>
          </w:p>
        </w:tc>
        <w:tc>
          <w:tcPr>
            <w:tcW w:w="1252" w:type="dxa"/>
            <w:tcBorders>
              <w:top w:val="nil"/>
              <w:left w:val="nil"/>
              <w:bottom w:val="single" w:sz="4" w:space="0" w:color="auto"/>
              <w:right w:val="single" w:sz="8" w:space="0" w:color="auto"/>
            </w:tcBorders>
            <w:shd w:val="clear" w:color="auto" w:fill="auto"/>
            <w:noWrap/>
            <w:vAlign w:val="center"/>
            <w:hideMark/>
          </w:tcPr>
          <w:p w14:paraId="4FC5C167" w14:textId="77777777" w:rsidR="00B66CAB" w:rsidRPr="00B66CAB" w:rsidRDefault="00B66CAB" w:rsidP="00B66CAB">
            <w:pPr>
              <w:pStyle w:val="Tablas"/>
            </w:pPr>
            <w:r w:rsidRPr="00B66CAB">
              <w:t>0.1086</w:t>
            </w:r>
          </w:p>
        </w:tc>
        <w:tc>
          <w:tcPr>
            <w:tcW w:w="2097" w:type="dxa"/>
            <w:tcBorders>
              <w:top w:val="nil"/>
              <w:left w:val="nil"/>
              <w:bottom w:val="single" w:sz="4" w:space="0" w:color="auto"/>
              <w:right w:val="single" w:sz="4" w:space="0" w:color="auto"/>
            </w:tcBorders>
            <w:shd w:val="clear" w:color="auto" w:fill="auto"/>
            <w:noWrap/>
            <w:vAlign w:val="center"/>
            <w:hideMark/>
          </w:tcPr>
          <w:p w14:paraId="70997158" w14:textId="77777777" w:rsidR="00B66CAB" w:rsidRPr="00B66CAB" w:rsidRDefault="00B66CAB" w:rsidP="00B66CAB">
            <w:pPr>
              <w:pStyle w:val="Tablas"/>
            </w:pPr>
            <w:r w:rsidRPr="00B66CAB">
              <w:t>0.5400</w:t>
            </w:r>
          </w:p>
        </w:tc>
        <w:tc>
          <w:tcPr>
            <w:tcW w:w="1252" w:type="dxa"/>
            <w:tcBorders>
              <w:top w:val="nil"/>
              <w:left w:val="nil"/>
              <w:bottom w:val="single" w:sz="4" w:space="0" w:color="auto"/>
              <w:right w:val="single" w:sz="8" w:space="0" w:color="auto"/>
            </w:tcBorders>
            <w:shd w:val="clear" w:color="auto" w:fill="auto"/>
            <w:noWrap/>
            <w:vAlign w:val="center"/>
            <w:hideMark/>
          </w:tcPr>
          <w:p w14:paraId="499E3082" w14:textId="77777777" w:rsidR="00B66CAB" w:rsidRPr="00B66CAB" w:rsidRDefault="00B66CAB" w:rsidP="00B66CAB">
            <w:pPr>
              <w:pStyle w:val="Tablas"/>
            </w:pPr>
            <w:r w:rsidRPr="00B66CAB">
              <w:t>1.0000</w:t>
            </w:r>
          </w:p>
        </w:tc>
      </w:tr>
      <w:tr w:rsidR="00B66CAB" w:rsidRPr="00B66CAB" w14:paraId="439C1E52"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999E8A4" w14:textId="77777777" w:rsidR="00B66CAB" w:rsidRPr="00B66CAB" w:rsidRDefault="00B66CAB" w:rsidP="00B66CAB">
            <w:pPr>
              <w:pStyle w:val="Tablas"/>
            </w:pPr>
            <w:r w:rsidRPr="00B66CAB">
              <w:t>62</w:t>
            </w:r>
          </w:p>
        </w:tc>
        <w:tc>
          <w:tcPr>
            <w:tcW w:w="2097" w:type="dxa"/>
            <w:tcBorders>
              <w:top w:val="nil"/>
              <w:left w:val="nil"/>
              <w:bottom w:val="single" w:sz="4" w:space="0" w:color="auto"/>
              <w:right w:val="single" w:sz="4" w:space="0" w:color="auto"/>
            </w:tcBorders>
            <w:shd w:val="clear" w:color="auto" w:fill="auto"/>
            <w:noWrap/>
            <w:vAlign w:val="center"/>
            <w:hideMark/>
          </w:tcPr>
          <w:p w14:paraId="107EAEFA" w14:textId="77777777" w:rsidR="00B66CAB" w:rsidRPr="00B66CAB" w:rsidRDefault="00B66CAB" w:rsidP="00B66CAB">
            <w:pPr>
              <w:pStyle w:val="Tablas"/>
            </w:pPr>
            <w:r w:rsidRPr="00B66CAB">
              <w:t>0.5500</w:t>
            </w:r>
          </w:p>
        </w:tc>
        <w:tc>
          <w:tcPr>
            <w:tcW w:w="1252" w:type="dxa"/>
            <w:tcBorders>
              <w:top w:val="nil"/>
              <w:left w:val="nil"/>
              <w:bottom w:val="single" w:sz="4" w:space="0" w:color="auto"/>
              <w:right w:val="single" w:sz="8" w:space="0" w:color="auto"/>
            </w:tcBorders>
            <w:shd w:val="clear" w:color="auto" w:fill="auto"/>
            <w:noWrap/>
            <w:vAlign w:val="center"/>
            <w:hideMark/>
          </w:tcPr>
          <w:p w14:paraId="670B66AA" w14:textId="77777777" w:rsidR="00B66CAB" w:rsidRPr="00B66CAB" w:rsidRDefault="00B66CAB" w:rsidP="00B66CAB">
            <w:pPr>
              <w:pStyle w:val="Tablas"/>
            </w:pPr>
            <w:r w:rsidRPr="00B66CAB">
              <w:t>0.9000</w:t>
            </w:r>
          </w:p>
        </w:tc>
        <w:tc>
          <w:tcPr>
            <w:tcW w:w="2097" w:type="dxa"/>
            <w:tcBorders>
              <w:top w:val="nil"/>
              <w:left w:val="nil"/>
              <w:bottom w:val="single" w:sz="4" w:space="0" w:color="auto"/>
              <w:right w:val="single" w:sz="4" w:space="0" w:color="auto"/>
            </w:tcBorders>
            <w:shd w:val="clear" w:color="auto" w:fill="auto"/>
            <w:noWrap/>
            <w:vAlign w:val="center"/>
            <w:hideMark/>
          </w:tcPr>
          <w:p w14:paraId="3B6E6A4A" w14:textId="77777777" w:rsidR="00B66CAB" w:rsidRPr="00B66CAB" w:rsidRDefault="00B66CAB" w:rsidP="00B66CAB">
            <w:pPr>
              <w:pStyle w:val="Tablas"/>
            </w:pPr>
            <w:r w:rsidRPr="00B66CAB">
              <w:t>0.5500</w:t>
            </w:r>
          </w:p>
        </w:tc>
        <w:tc>
          <w:tcPr>
            <w:tcW w:w="1252" w:type="dxa"/>
            <w:tcBorders>
              <w:top w:val="nil"/>
              <w:left w:val="nil"/>
              <w:bottom w:val="single" w:sz="4" w:space="0" w:color="auto"/>
              <w:right w:val="single" w:sz="8" w:space="0" w:color="auto"/>
            </w:tcBorders>
            <w:shd w:val="clear" w:color="auto" w:fill="auto"/>
            <w:noWrap/>
            <w:vAlign w:val="center"/>
            <w:hideMark/>
          </w:tcPr>
          <w:p w14:paraId="15F06D41" w14:textId="77777777" w:rsidR="00B66CAB" w:rsidRPr="00B66CAB" w:rsidRDefault="00B66CAB" w:rsidP="00B66CAB">
            <w:pPr>
              <w:pStyle w:val="Tablas"/>
            </w:pPr>
            <w:r w:rsidRPr="00B66CAB">
              <w:t>1.0000</w:t>
            </w:r>
          </w:p>
        </w:tc>
      </w:tr>
      <w:tr w:rsidR="00B66CAB" w:rsidRPr="00B66CAB" w14:paraId="701B3E10"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744031C" w14:textId="77777777" w:rsidR="00B66CAB" w:rsidRPr="00B66CAB" w:rsidRDefault="00B66CAB" w:rsidP="00B66CAB">
            <w:pPr>
              <w:pStyle w:val="Tablas"/>
            </w:pPr>
            <w:r w:rsidRPr="00B66CAB">
              <w:t>63</w:t>
            </w:r>
          </w:p>
        </w:tc>
        <w:tc>
          <w:tcPr>
            <w:tcW w:w="2097" w:type="dxa"/>
            <w:tcBorders>
              <w:top w:val="nil"/>
              <w:left w:val="nil"/>
              <w:bottom w:val="single" w:sz="4" w:space="0" w:color="auto"/>
              <w:right w:val="single" w:sz="4" w:space="0" w:color="auto"/>
            </w:tcBorders>
            <w:shd w:val="clear" w:color="auto" w:fill="auto"/>
            <w:noWrap/>
            <w:vAlign w:val="center"/>
            <w:hideMark/>
          </w:tcPr>
          <w:p w14:paraId="67382269" w14:textId="77777777" w:rsidR="00B66CAB" w:rsidRPr="00B66CAB" w:rsidRDefault="00B66CAB" w:rsidP="00B66CAB">
            <w:pPr>
              <w:pStyle w:val="Tablas"/>
            </w:pPr>
            <w:r w:rsidRPr="00B66CAB">
              <w:t>0.5600</w:t>
            </w:r>
          </w:p>
        </w:tc>
        <w:tc>
          <w:tcPr>
            <w:tcW w:w="1252" w:type="dxa"/>
            <w:tcBorders>
              <w:top w:val="nil"/>
              <w:left w:val="nil"/>
              <w:bottom w:val="single" w:sz="4" w:space="0" w:color="auto"/>
              <w:right w:val="single" w:sz="8" w:space="0" w:color="auto"/>
            </w:tcBorders>
            <w:shd w:val="clear" w:color="auto" w:fill="auto"/>
            <w:noWrap/>
            <w:vAlign w:val="center"/>
            <w:hideMark/>
          </w:tcPr>
          <w:p w14:paraId="6F8CFCCB" w14:textId="77777777" w:rsidR="00B66CAB" w:rsidRPr="00B66CAB" w:rsidRDefault="00B66CAB" w:rsidP="00B66CAB">
            <w:pPr>
              <w:pStyle w:val="Tablas"/>
            </w:pPr>
            <w:r w:rsidRPr="00B66CAB">
              <w:t>0.9000</w:t>
            </w:r>
          </w:p>
        </w:tc>
        <w:tc>
          <w:tcPr>
            <w:tcW w:w="2097" w:type="dxa"/>
            <w:tcBorders>
              <w:top w:val="nil"/>
              <w:left w:val="nil"/>
              <w:bottom w:val="single" w:sz="4" w:space="0" w:color="auto"/>
              <w:right w:val="single" w:sz="4" w:space="0" w:color="auto"/>
            </w:tcBorders>
            <w:shd w:val="clear" w:color="auto" w:fill="auto"/>
            <w:noWrap/>
            <w:vAlign w:val="center"/>
            <w:hideMark/>
          </w:tcPr>
          <w:p w14:paraId="0ECAF21B" w14:textId="77777777" w:rsidR="00B66CAB" w:rsidRPr="00B66CAB" w:rsidRDefault="00B66CAB" w:rsidP="00B66CAB">
            <w:pPr>
              <w:pStyle w:val="Tablas"/>
            </w:pPr>
            <w:r w:rsidRPr="00B66CAB">
              <w:t>0.5600</w:t>
            </w:r>
          </w:p>
        </w:tc>
        <w:tc>
          <w:tcPr>
            <w:tcW w:w="1252" w:type="dxa"/>
            <w:tcBorders>
              <w:top w:val="nil"/>
              <w:left w:val="nil"/>
              <w:bottom w:val="single" w:sz="4" w:space="0" w:color="auto"/>
              <w:right w:val="single" w:sz="8" w:space="0" w:color="auto"/>
            </w:tcBorders>
            <w:shd w:val="clear" w:color="auto" w:fill="auto"/>
            <w:noWrap/>
            <w:vAlign w:val="center"/>
            <w:hideMark/>
          </w:tcPr>
          <w:p w14:paraId="1AB6C11D" w14:textId="77777777" w:rsidR="00B66CAB" w:rsidRPr="00B66CAB" w:rsidRDefault="00B66CAB" w:rsidP="00B66CAB">
            <w:pPr>
              <w:pStyle w:val="Tablas"/>
            </w:pPr>
            <w:r w:rsidRPr="00B66CAB">
              <w:t>1.0000</w:t>
            </w:r>
          </w:p>
        </w:tc>
      </w:tr>
      <w:tr w:rsidR="00B66CAB" w:rsidRPr="00B66CAB" w14:paraId="02C33C50"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028E56B" w14:textId="77777777" w:rsidR="00B66CAB" w:rsidRPr="00B66CAB" w:rsidRDefault="00B66CAB" w:rsidP="00B66CAB">
            <w:pPr>
              <w:pStyle w:val="Tablas"/>
            </w:pPr>
            <w:r w:rsidRPr="00B66CAB">
              <w:t>64</w:t>
            </w:r>
          </w:p>
        </w:tc>
        <w:tc>
          <w:tcPr>
            <w:tcW w:w="2097" w:type="dxa"/>
            <w:tcBorders>
              <w:top w:val="nil"/>
              <w:left w:val="nil"/>
              <w:bottom w:val="single" w:sz="4" w:space="0" w:color="auto"/>
              <w:right w:val="single" w:sz="4" w:space="0" w:color="auto"/>
            </w:tcBorders>
            <w:shd w:val="clear" w:color="auto" w:fill="auto"/>
            <w:noWrap/>
            <w:vAlign w:val="center"/>
            <w:hideMark/>
          </w:tcPr>
          <w:p w14:paraId="1BF63295" w14:textId="77777777" w:rsidR="00B66CAB" w:rsidRPr="00B66CAB" w:rsidRDefault="00B66CAB" w:rsidP="00B66CAB">
            <w:pPr>
              <w:pStyle w:val="Tablas"/>
            </w:pPr>
            <w:r w:rsidRPr="00B66CAB">
              <w:t>0.5700</w:t>
            </w:r>
          </w:p>
        </w:tc>
        <w:tc>
          <w:tcPr>
            <w:tcW w:w="1252" w:type="dxa"/>
            <w:tcBorders>
              <w:top w:val="nil"/>
              <w:left w:val="nil"/>
              <w:bottom w:val="single" w:sz="4" w:space="0" w:color="auto"/>
              <w:right w:val="single" w:sz="8" w:space="0" w:color="auto"/>
            </w:tcBorders>
            <w:shd w:val="clear" w:color="auto" w:fill="auto"/>
            <w:noWrap/>
            <w:vAlign w:val="center"/>
            <w:hideMark/>
          </w:tcPr>
          <w:p w14:paraId="4EFF4982" w14:textId="77777777" w:rsidR="00B66CAB" w:rsidRPr="00B66CAB" w:rsidRDefault="00B66CAB" w:rsidP="00B66CAB">
            <w:pPr>
              <w:pStyle w:val="Tablas"/>
            </w:pPr>
            <w:r w:rsidRPr="00B66CAB">
              <w:t>0.9000</w:t>
            </w:r>
          </w:p>
        </w:tc>
        <w:tc>
          <w:tcPr>
            <w:tcW w:w="2097" w:type="dxa"/>
            <w:tcBorders>
              <w:top w:val="nil"/>
              <w:left w:val="nil"/>
              <w:bottom w:val="single" w:sz="4" w:space="0" w:color="auto"/>
              <w:right w:val="single" w:sz="4" w:space="0" w:color="auto"/>
            </w:tcBorders>
            <w:shd w:val="clear" w:color="auto" w:fill="auto"/>
            <w:noWrap/>
            <w:vAlign w:val="center"/>
            <w:hideMark/>
          </w:tcPr>
          <w:p w14:paraId="32B3CFBA" w14:textId="77777777" w:rsidR="00B66CAB" w:rsidRPr="00B66CAB" w:rsidRDefault="00B66CAB" w:rsidP="00B66CAB">
            <w:pPr>
              <w:pStyle w:val="Tablas"/>
            </w:pPr>
            <w:r w:rsidRPr="00B66CAB">
              <w:t>0.5700</w:t>
            </w:r>
          </w:p>
        </w:tc>
        <w:tc>
          <w:tcPr>
            <w:tcW w:w="1252" w:type="dxa"/>
            <w:tcBorders>
              <w:top w:val="nil"/>
              <w:left w:val="nil"/>
              <w:bottom w:val="single" w:sz="4" w:space="0" w:color="auto"/>
              <w:right w:val="single" w:sz="8" w:space="0" w:color="auto"/>
            </w:tcBorders>
            <w:shd w:val="clear" w:color="auto" w:fill="auto"/>
            <w:noWrap/>
            <w:vAlign w:val="center"/>
            <w:hideMark/>
          </w:tcPr>
          <w:p w14:paraId="3734E1B2" w14:textId="77777777" w:rsidR="00B66CAB" w:rsidRPr="00B66CAB" w:rsidRDefault="00B66CAB" w:rsidP="00B66CAB">
            <w:pPr>
              <w:pStyle w:val="Tablas"/>
            </w:pPr>
            <w:r w:rsidRPr="00B66CAB">
              <w:t>1.0000</w:t>
            </w:r>
          </w:p>
        </w:tc>
      </w:tr>
      <w:tr w:rsidR="00B66CAB" w:rsidRPr="00B66CAB" w14:paraId="427E8F44" w14:textId="77777777" w:rsidTr="00B66CAB">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6ED89F4" w14:textId="77777777" w:rsidR="00B66CAB" w:rsidRPr="00B66CAB" w:rsidRDefault="00B66CAB" w:rsidP="00B66CAB">
            <w:pPr>
              <w:pStyle w:val="Tablas"/>
            </w:pPr>
            <w:r w:rsidRPr="00B66CAB">
              <w:t>65</w:t>
            </w:r>
          </w:p>
        </w:tc>
        <w:tc>
          <w:tcPr>
            <w:tcW w:w="2097" w:type="dxa"/>
            <w:tcBorders>
              <w:top w:val="nil"/>
              <w:left w:val="nil"/>
              <w:bottom w:val="single" w:sz="4" w:space="0" w:color="auto"/>
              <w:right w:val="single" w:sz="4" w:space="0" w:color="auto"/>
            </w:tcBorders>
            <w:shd w:val="clear" w:color="auto" w:fill="auto"/>
            <w:noWrap/>
            <w:vAlign w:val="center"/>
            <w:hideMark/>
          </w:tcPr>
          <w:p w14:paraId="31D214A9" w14:textId="77777777" w:rsidR="00B66CAB" w:rsidRPr="00B66CAB" w:rsidRDefault="00B66CAB" w:rsidP="00B66CAB">
            <w:pPr>
              <w:pStyle w:val="Tablas"/>
            </w:pPr>
            <w:r w:rsidRPr="00B66CAB">
              <w:t>0.5800</w:t>
            </w:r>
          </w:p>
        </w:tc>
        <w:tc>
          <w:tcPr>
            <w:tcW w:w="1252" w:type="dxa"/>
            <w:tcBorders>
              <w:top w:val="nil"/>
              <w:left w:val="nil"/>
              <w:bottom w:val="single" w:sz="4" w:space="0" w:color="auto"/>
              <w:right w:val="single" w:sz="8" w:space="0" w:color="auto"/>
            </w:tcBorders>
            <w:shd w:val="clear" w:color="auto" w:fill="auto"/>
            <w:noWrap/>
            <w:vAlign w:val="center"/>
            <w:hideMark/>
          </w:tcPr>
          <w:p w14:paraId="636F58A8" w14:textId="77777777" w:rsidR="00B66CAB" w:rsidRPr="00B66CAB" w:rsidRDefault="00B66CAB" w:rsidP="00B66CAB">
            <w:pPr>
              <w:pStyle w:val="Tablas"/>
            </w:pPr>
            <w:r w:rsidRPr="00B66CAB">
              <w:t>0.9000</w:t>
            </w:r>
          </w:p>
        </w:tc>
        <w:tc>
          <w:tcPr>
            <w:tcW w:w="2097" w:type="dxa"/>
            <w:tcBorders>
              <w:top w:val="nil"/>
              <w:left w:val="nil"/>
              <w:bottom w:val="single" w:sz="4" w:space="0" w:color="auto"/>
              <w:right w:val="single" w:sz="4" w:space="0" w:color="auto"/>
            </w:tcBorders>
            <w:shd w:val="clear" w:color="auto" w:fill="auto"/>
            <w:noWrap/>
            <w:vAlign w:val="center"/>
            <w:hideMark/>
          </w:tcPr>
          <w:p w14:paraId="41A906E3" w14:textId="77777777" w:rsidR="00B66CAB" w:rsidRPr="00B66CAB" w:rsidRDefault="00B66CAB" w:rsidP="00B66CAB">
            <w:pPr>
              <w:pStyle w:val="Tablas"/>
            </w:pPr>
            <w:r w:rsidRPr="00B66CAB">
              <w:t>0.5800</w:t>
            </w:r>
          </w:p>
        </w:tc>
        <w:tc>
          <w:tcPr>
            <w:tcW w:w="1252" w:type="dxa"/>
            <w:tcBorders>
              <w:top w:val="nil"/>
              <w:left w:val="nil"/>
              <w:bottom w:val="single" w:sz="4" w:space="0" w:color="auto"/>
              <w:right w:val="single" w:sz="8" w:space="0" w:color="auto"/>
            </w:tcBorders>
            <w:shd w:val="clear" w:color="auto" w:fill="auto"/>
            <w:noWrap/>
            <w:vAlign w:val="center"/>
            <w:hideMark/>
          </w:tcPr>
          <w:p w14:paraId="0C7A14D9" w14:textId="77777777" w:rsidR="00B66CAB" w:rsidRPr="00B66CAB" w:rsidRDefault="00B66CAB" w:rsidP="00B66CAB">
            <w:pPr>
              <w:pStyle w:val="Tablas"/>
            </w:pPr>
            <w:r w:rsidRPr="00B66CAB">
              <w:t>1.0000</w:t>
            </w:r>
          </w:p>
        </w:tc>
      </w:tr>
      <w:tr w:rsidR="00B66CAB" w:rsidRPr="00B66CAB" w14:paraId="1BBA431E" w14:textId="77777777" w:rsidTr="00B66CAB">
        <w:trPr>
          <w:trHeight w:val="293"/>
          <w:jc w:val="center"/>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0C4AF3A8" w14:textId="77777777" w:rsidR="00B66CAB" w:rsidRPr="00B66CAB" w:rsidRDefault="00B66CAB" w:rsidP="00B66CAB">
            <w:pPr>
              <w:pStyle w:val="Tablas"/>
            </w:pPr>
            <w:r w:rsidRPr="00B66CAB">
              <w:t>66</w:t>
            </w:r>
          </w:p>
        </w:tc>
        <w:tc>
          <w:tcPr>
            <w:tcW w:w="2097" w:type="dxa"/>
            <w:tcBorders>
              <w:top w:val="nil"/>
              <w:left w:val="nil"/>
              <w:bottom w:val="single" w:sz="8" w:space="0" w:color="auto"/>
              <w:right w:val="single" w:sz="4" w:space="0" w:color="auto"/>
            </w:tcBorders>
            <w:shd w:val="clear" w:color="auto" w:fill="auto"/>
            <w:noWrap/>
            <w:vAlign w:val="center"/>
            <w:hideMark/>
          </w:tcPr>
          <w:p w14:paraId="3272203D" w14:textId="77777777" w:rsidR="00B66CAB" w:rsidRPr="00B66CAB" w:rsidRDefault="00B66CAB" w:rsidP="00B66CAB">
            <w:pPr>
              <w:pStyle w:val="Tablas"/>
            </w:pPr>
            <w:r w:rsidRPr="00B66CAB">
              <w:t>1.0000</w:t>
            </w:r>
          </w:p>
        </w:tc>
        <w:tc>
          <w:tcPr>
            <w:tcW w:w="1252" w:type="dxa"/>
            <w:tcBorders>
              <w:top w:val="nil"/>
              <w:left w:val="nil"/>
              <w:bottom w:val="single" w:sz="8" w:space="0" w:color="auto"/>
              <w:right w:val="single" w:sz="8" w:space="0" w:color="auto"/>
            </w:tcBorders>
            <w:shd w:val="clear" w:color="auto" w:fill="auto"/>
            <w:noWrap/>
            <w:vAlign w:val="center"/>
            <w:hideMark/>
          </w:tcPr>
          <w:p w14:paraId="5F4BA471" w14:textId="77777777" w:rsidR="00B66CAB" w:rsidRPr="00B66CAB" w:rsidRDefault="00B66CAB" w:rsidP="00B66CAB">
            <w:pPr>
              <w:pStyle w:val="Tablas"/>
            </w:pPr>
            <w:r w:rsidRPr="00B66CAB">
              <w:t>1.0000</w:t>
            </w:r>
          </w:p>
        </w:tc>
        <w:tc>
          <w:tcPr>
            <w:tcW w:w="2097" w:type="dxa"/>
            <w:tcBorders>
              <w:top w:val="nil"/>
              <w:left w:val="nil"/>
              <w:bottom w:val="single" w:sz="8" w:space="0" w:color="auto"/>
              <w:right w:val="single" w:sz="4" w:space="0" w:color="auto"/>
            </w:tcBorders>
            <w:shd w:val="clear" w:color="auto" w:fill="auto"/>
            <w:noWrap/>
            <w:vAlign w:val="center"/>
            <w:hideMark/>
          </w:tcPr>
          <w:p w14:paraId="73F06C8C" w14:textId="77777777" w:rsidR="00B66CAB" w:rsidRPr="00B66CAB" w:rsidRDefault="00B66CAB" w:rsidP="00B66CAB">
            <w:pPr>
              <w:pStyle w:val="Tablas"/>
            </w:pPr>
            <w:r w:rsidRPr="00B66CAB">
              <w:t>1.0000</w:t>
            </w:r>
          </w:p>
        </w:tc>
        <w:tc>
          <w:tcPr>
            <w:tcW w:w="1252" w:type="dxa"/>
            <w:tcBorders>
              <w:top w:val="nil"/>
              <w:left w:val="nil"/>
              <w:bottom w:val="single" w:sz="8" w:space="0" w:color="auto"/>
              <w:right w:val="single" w:sz="8" w:space="0" w:color="auto"/>
            </w:tcBorders>
            <w:shd w:val="clear" w:color="auto" w:fill="auto"/>
            <w:noWrap/>
            <w:vAlign w:val="center"/>
            <w:hideMark/>
          </w:tcPr>
          <w:p w14:paraId="69812D78" w14:textId="77777777" w:rsidR="00B66CAB" w:rsidRPr="00B66CAB" w:rsidRDefault="00B66CAB" w:rsidP="00B66CAB">
            <w:pPr>
              <w:pStyle w:val="Tablas"/>
            </w:pPr>
            <w:r w:rsidRPr="00B66CAB">
              <w:t>1.0000</w:t>
            </w:r>
          </w:p>
        </w:tc>
      </w:tr>
    </w:tbl>
    <w:p w14:paraId="4219AE9C" w14:textId="77777777" w:rsidR="009E1E40" w:rsidRDefault="009E1E40" w:rsidP="00C94000">
      <w:pPr>
        <w:pStyle w:val="Grfico"/>
      </w:pPr>
    </w:p>
    <w:p w14:paraId="110CA18B" w14:textId="773BD0DE" w:rsidR="009E1E40" w:rsidRDefault="009E1E40" w:rsidP="009E1E40">
      <w:pPr>
        <w:pStyle w:val="Grfico"/>
      </w:pPr>
      <w:r w:rsidRPr="00C56EC9">
        <w:t xml:space="preserve">Tabla </w:t>
      </w:r>
      <w:r w:rsidRPr="00C56EC9">
        <w:fldChar w:fldCharType="begin"/>
      </w:r>
      <w:r w:rsidRPr="00C56EC9">
        <w:instrText xml:space="preserve"> SEQ Tabla \* ARABIC </w:instrText>
      </w:r>
      <w:r w:rsidRPr="00C56EC9">
        <w:fldChar w:fldCharType="separate"/>
      </w:r>
      <w:r w:rsidR="00B24233">
        <w:rPr>
          <w:noProof/>
        </w:rPr>
        <w:t>10</w:t>
      </w:r>
      <w:r w:rsidRPr="00C56EC9">
        <w:fldChar w:fldCharType="end"/>
      </w:r>
      <w:r w:rsidRPr="00C56EC9">
        <w:t xml:space="preserve">. Factores de cumplimiento de cuotas y de probabilidad de retiro </w:t>
      </w:r>
      <w:r>
        <w:t>de 2032 en adelante</w:t>
      </w:r>
    </w:p>
    <w:tbl>
      <w:tblPr>
        <w:tblW w:w="7998" w:type="dxa"/>
        <w:jc w:val="center"/>
        <w:tblLook w:val="04A0" w:firstRow="1" w:lastRow="0" w:firstColumn="1" w:lastColumn="0" w:noHBand="0" w:noVBand="1"/>
      </w:tblPr>
      <w:tblGrid>
        <w:gridCol w:w="1300"/>
        <w:gridCol w:w="2097"/>
        <w:gridCol w:w="1252"/>
        <w:gridCol w:w="2097"/>
        <w:gridCol w:w="1252"/>
      </w:tblGrid>
      <w:tr w:rsidR="0083779F" w:rsidRPr="0083779F" w14:paraId="595E1BF5" w14:textId="77777777" w:rsidTr="00710F49">
        <w:trPr>
          <w:trHeight w:val="293"/>
          <w:tblHeader/>
          <w:jc w:val="center"/>
        </w:trPr>
        <w:tc>
          <w:tcPr>
            <w:tcW w:w="13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627AD0" w14:textId="77777777" w:rsidR="0083779F" w:rsidRPr="0083779F" w:rsidRDefault="0083779F" w:rsidP="0083779F">
            <w:pPr>
              <w:pStyle w:val="Tablas"/>
              <w:rPr>
                <w:b/>
                <w:bCs w:val="0"/>
              </w:rPr>
            </w:pPr>
            <w:r w:rsidRPr="0083779F">
              <w:rPr>
                <w:b/>
                <w:bCs w:val="0"/>
              </w:rPr>
              <w:t>Edad</w:t>
            </w:r>
          </w:p>
        </w:tc>
        <w:tc>
          <w:tcPr>
            <w:tcW w:w="334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F0E5A19" w14:textId="77777777" w:rsidR="0083779F" w:rsidRPr="0083779F" w:rsidRDefault="0083779F" w:rsidP="0083779F">
            <w:pPr>
              <w:pStyle w:val="Tablas"/>
              <w:rPr>
                <w:b/>
                <w:bCs w:val="0"/>
              </w:rPr>
            </w:pPr>
            <w:r w:rsidRPr="0083779F">
              <w:rPr>
                <w:b/>
                <w:bCs w:val="0"/>
              </w:rPr>
              <w:t>Hombre</w:t>
            </w:r>
          </w:p>
        </w:tc>
        <w:tc>
          <w:tcPr>
            <w:tcW w:w="334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4A35770" w14:textId="77777777" w:rsidR="0083779F" w:rsidRPr="0083779F" w:rsidRDefault="0083779F" w:rsidP="0083779F">
            <w:pPr>
              <w:pStyle w:val="Tablas"/>
              <w:rPr>
                <w:b/>
                <w:bCs w:val="0"/>
              </w:rPr>
            </w:pPr>
            <w:r w:rsidRPr="0083779F">
              <w:rPr>
                <w:b/>
                <w:bCs w:val="0"/>
              </w:rPr>
              <w:t>Mujer</w:t>
            </w:r>
          </w:p>
        </w:tc>
      </w:tr>
      <w:tr w:rsidR="0083779F" w:rsidRPr="0083779F" w14:paraId="1EDA551B" w14:textId="77777777" w:rsidTr="00710F49">
        <w:trPr>
          <w:trHeight w:val="413"/>
          <w:tblHeader/>
          <w:jc w:val="center"/>
        </w:trPr>
        <w:tc>
          <w:tcPr>
            <w:tcW w:w="1300" w:type="dxa"/>
            <w:vMerge/>
            <w:tcBorders>
              <w:top w:val="single" w:sz="8" w:space="0" w:color="auto"/>
              <w:left w:val="single" w:sz="8" w:space="0" w:color="auto"/>
              <w:bottom w:val="single" w:sz="4" w:space="0" w:color="auto"/>
              <w:right w:val="single" w:sz="8" w:space="0" w:color="auto"/>
            </w:tcBorders>
            <w:vAlign w:val="center"/>
            <w:hideMark/>
          </w:tcPr>
          <w:p w14:paraId="0A636FA8" w14:textId="77777777" w:rsidR="0083779F" w:rsidRPr="0083779F" w:rsidRDefault="0083779F" w:rsidP="0083779F">
            <w:pPr>
              <w:pStyle w:val="Tablas"/>
              <w:rPr>
                <w:b/>
                <w:bCs w:val="0"/>
              </w:rPr>
            </w:pPr>
          </w:p>
        </w:tc>
        <w:tc>
          <w:tcPr>
            <w:tcW w:w="2097" w:type="dxa"/>
            <w:tcBorders>
              <w:top w:val="nil"/>
              <w:left w:val="nil"/>
              <w:bottom w:val="single" w:sz="4" w:space="0" w:color="auto"/>
              <w:right w:val="single" w:sz="4" w:space="0" w:color="auto"/>
            </w:tcBorders>
            <w:shd w:val="clear" w:color="auto" w:fill="auto"/>
            <w:noWrap/>
            <w:vAlign w:val="center"/>
            <w:hideMark/>
          </w:tcPr>
          <w:p w14:paraId="23BF37DB" w14:textId="77777777" w:rsidR="0083779F" w:rsidRPr="0083779F" w:rsidRDefault="0083779F" w:rsidP="0083779F">
            <w:pPr>
              <w:pStyle w:val="Tablas"/>
              <w:rPr>
                <w:b/>
                <w:bCs w:val="0"/>
              </w:rPr>
            </w:pPr>
            <w:proofErr w:type="spellStart"/>
            <w:r w:rsidRPr="0083779F">
              <w:rPr>
                <w:b/>
                <w:bCs w:val="0"/>
              </w:rPr>
              <w:t>Prob</w:t>
            </w:r>
            <w:proofErr w:type="spellEnd"/>
            <w:r w:rsidRPr="0083779F">
              <w:rPr>
                <w:b/>
                <w:bCs w:val="0"/>
              </w:rPr>
              <w:t>. de cumplir cuotas</w:t>
            </w:r>
          </w:p>
        </w:tc>
        <w:tc>
          <w:tcPr>
            <w:tcW w:w="1252" w:type="dxa"/>
            <w:tcBorders>
              <w:top w:val="nil"/>
              <w:left w:val="nil"/>
              <w:bottom w:val="single" w:sz="4" w:space="0" w:color="auto"/>
              <w:right w:val="single" w:sz="8" w:space="0" w:color="auto"/>
            </w:tcBorders>
            <w:shd w:val="clear" w:color="auto" w:fill="auto"/>
            <w:noWrap/>
            <w:vAlign w:val="center"/>
            <w:hideMark/>
          </w:tcPr>
          <w:p w14:paraId="79CE8C65" w14:textId="77777777" w:rsidR="0083779F" w:rsidRPr="0083779F" w:rsidRDefault="0083779F" w:rsidP="0083779F">
            <w:pPr>
              <w:pStyle w:val="Tablas"/>
              <w:rPr>
                <w:b/>
                <w:bCs w:val="0"/>
              </w:rPr>
            </w:pPr>
            <w:proofErr w:type="spellStart"/>
            <w:r w:rsidRPr="0083779F">
              <w:rPr>
                <w:b/>
                <w:bCs w:val="0"/>
              </w:rPr>
              <w:t>Prob</w:t>
            </w:r>
            <w:proofErr w:type="spellEnd"/>
            <w:r w:rsidRPr="0083779F">
              <w:rPr>
                <w:b/>
                <w:bCs w:val="0"/>
              </w:rPr>
              <w:t>. de retiro</w:t>
            </w:r>
          </w:p>
        </w:tc>
        <w:tc>
          <w:tcPr>
            <w:tcW w:w="2097" w:type="dxa"/>
            <w:tcBorders>
              <w:top w:val="nil"/>
              <w:left w:val="nil"/>
              <w:bottom w:val="single" w:sz="4" w:space="0" w:color="auto"/>
              <w:right w:val="single" w:sz="4" w:space="0" w:color="auto"/>
            </w:tcBorders>
            <w:shd w:val="clear" w:color="auto" w:fill="auto"/>
            <w:noWrap/>
            <w:vAlign w:val="center"/>
            <w:hideMark/>
          </w:tcPr>
          <w:p w14:paraId="03ECF59B" w14:textId="77777777" w:rsidR="0083779F" w:rsidRPr="0083779F" w:rsidRDefault="0083779F" w:rsidP="0083779F">
            <w:pPr>
              <w:pStyle w:val="Tablas"/>
              <w:rPr>
                <w:b/>
                <w:bCs w:val="0"/>
              </w:rPr>
            </w:pPr>
            <w:proofErr w:type="spellStart"/>
            <w:r w:rsidRPr="0083779F">
              <w:rPr>
                <w:b/>
                <w:bCs w:val="0"/>
              </w:rPr>
              <w:t>Prob</w:t>
            </w:r>
            <w:proofErr w:type="spellEnd"/>
            <w:r w:rsidRPr="0083779F">
              <w:rPr>
                <w:b/>
                <w:bCs w:val="0"/>
              </w:rPr>
              <w:t>. de cumplir cuotas</w:t>
            </w:r>
          </w:p>
        </w:tc>
        <w:tc>
          <w:tcPr>
            <w:tcW w:w="1252" w:type="dxa"/>
            <w:tcBorders>
              <w:top w:val="nil"/>
              <w:left w:val="nil"/>
              <w:bottom w:val="single" w:sz="4" w:space="0" w:color="auto"/>
              <w:right w:val="single" w:sz="8" w:space="0" w:color="auto"/>
            </w:tcBorders>
            <w:shd w:val="clear" w:color="auto" w:fill="auto"/>
            <w:noWrap/>
            <w:vAlign w:val="center"/>
            <w:hideMark/>
          </w:tcPr>
          <w:p w14:paraId="3496F8FA" w14:textId="77777777" w:rsidR="0083779F" w:rsidRPr="0083779F" w:rsidRDefault="0083779F" w:rsidP="0083779F">
            <w:pPr>
              <w:pStyle w:val="Tablas"/>
              <w:rPr>
                <w:b/>
                <w:bCs w:val="0"/>
              </w:rPr>
            </w:pPr>
            <w:proofErr w:type="spellStart"/>
            <w:r w:rsidRPr="0083779F">
              <w:rPr>
                <w:b/>
                <w:bCs w:val="0"/>
              </w:rPr>
              <w:t>Prob</w:t>
            </w:r>
            <w:proofErr w:type="spellEnd"/>
            <w:r w:rsidRPr="0083779F">
              <w:rPr>
                <w:b/>
                <w:bCs w:val="0"/>
              </w:rPr>
              <w:t>. de retiro</w:t>
            </w:r>
          </w:p>
        </w:tc>
      </w:tr>
      <w:tr w:rsidR="0083779F" w:rsidRPr="0083779F" w14:paraId="33D5A870"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8FFAED2" w14:textId="77777777" w:rsidR="0083779F" w:rsidRPr="0083779F" w:rsidRDefault="0083779F" w:rsidP="0083779F">
            <w:pPr>
              <w:pStyle w:val="Tablas"/>
            </w:pPr>
            <w:r w:rsidRPr="0083779F">
              <w:t>41</w:t>
            </w:r>
          </w:p>
        </w:tc>
        <w:tc>
          <w:tcPr>
            <w:tcW w:w="2097" w:type="dxa"/>
            <w:tcBorders>
              <w:top w:val="nil"/>
              <w:left w:val="nil"/>
              <w:bottom w:val="single" w:sz="4" w:space="0" w:color="auto"/>
              <w:right w:val="single" w:sz="4" w:space="0" w:color="auto"/>
            </w:tcBorders>
            <w:shd w:val="clear" w:color="auto" w:fill="auto"/>
            <w:noWrap/>
            <w:vAlign w:val="center"/>
            <w:hideMark/>
          </w:tcPr>
          <w:p w14:paraId="43E2891A"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64B289FA" w14:textId="77777777" w:rsidR="0083779F" w:rsidRPr="0083779F" w:rsidRDefault="0083779F" w:rsidP="0083779F">
            <w:pPr>
              <w:pStyle w:val="Tablas"/>
            </w:pPr>
            <w:r w:rsidRPr="0083779F">
              <w:t>0.0000</w:t>
            </w:r>
          </w:p>
        </w:tc>
        <w:tc>
          <w:tcPr>
            <w:tcW w:w="2097" w:type="dxa"/>
            <w:tcBorders>
              <w:top w:val="nil"/>
              <w:left w:val="nil"/>
              <w:bottom w:val="single" w:sz="4" w:space="0" w:color="auto"/>
              <w:right w:val="single" w:sz="4" w:space="0" w:color="auto"/>
            </w:tcBorders>
            <w:shd w:val="clear" w:color="auto" w:fill="auto"/>
            <w:noWrap/>
            <w:vAlign w:val="center"/>
            <w:hideMark/>
          </w:tcPr>
          <w:p w14:paraId="30642C5D"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0E06BEE2" w14:textId="77777777" w:rsidR="0083779F" w:rsidRPr="0083779F" w:rsidRDefault="0083779F" w:rsidP="0083779F">
            <w:pPr>
              <w:pStyle w:val="Tablas"/>
            </w:pPr>
            <w:r w:rsidRPr="0083779F">
              <w:t>0.0000</w:t>
            </w:r>
          </w:p>
        </w:tc>
      </w:tr>
      <w:tr w:rsidR="0083779F" w:rsidRPr="0083779F" w14:paraId="23F7F874"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6AB9D57" w14:textId="77777777" w:rsidR="0083779F" w:rsidRPr="0083779F" w:rsidRDefault="0083779F" w:rsidP="0083779F">
            <w:pPr>
              <w:pStyle w:val="Tablas"/>
            </w:pPr>
            <w:r w:rsidRPr="0083779F">
              <w:t>42</w:t>
            </w:r>
          </w:p>
        </w:tc>
        <w:tc>
          <w:tcPr>
            <w:tcW w:w="2097" w:type="dxa"/>
            <w:tcBorders>
              <w:top w:val="nil"/>
              <w:left w:val="nil"/>
              <w:bottom w:val="single" w:sz="4" w:space="0" w:color="auto"/>
              <w:right w:val="single" w:sz="4" w:space="0" w:color="auto"/>
            </w:tcBorders>
            <w:shd w:val="clear" w:color="auto" w:fill="auto"/>
            <w:noWrap/>
            <w:vAlign w:val="center"/>
            <w:hideMark/>
          </w:tcPr>
          <w:p w14:paraId="20BFE57A"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7CD34F1C" w14:textId="77777777" w:rsidR="0083779F" w:rsidRPr="0083779F" w:rsidRDefault="0083779F" w:rsidP="0083779F">
            <w:pPr>
              <w:pStyle w:val="Tablas"/>
            </w:pPr>
            <w:r w:rsidRPr="0083779F">
              <w:t>0.0000</w:t>
            </w:r>
          </w:p>
        </w:tc>
        <w:tc>
          <w:tcPr>
            <w:tcW w:w="2097" w:type="dxa"/>
            <w:tcBorders>
              <w:top w:val="nil"/>
              <w:left w:val="nil"/>
              <w:bottom w:val="single" w:sz="4" w:space="0" w:color="auto"/>
              <w:right w:val="single" w:sz="4" w:space="0" w:color="auto"/>
            </w:tcBorders>
            <w:shd w:val="clear" w:color="auto" w:fill="auto"/>
            <w:noWrap/>
            <w:vAlign w:val="center"/>
            <w:hideMark/>
          </w:tcPr>
          <w:p w14:paraId="518EE48D"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71E2C6F7" w14:textId="77777777" w:rsidR="0083779F" w:rsidRPr="0083779F" w:rsidRDefault="0083779F" w:rsidP="0083779F">
            <w:pPr>
              <w:pStyle w:val="Tablas"/>
            </w:pPr>
            <w:r w:rsidRPr="0083779F">
              <w:t>0.0000</w:t>
            </w:r>
          </w:p>
        </w:tc>
      </w:tr>
      <w:tr w:rsidR="0083779F" w:rsidRPr="0083779F" w14:paraId="34394C3E"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B034464" w14:textId="77777777" w:rsidR="0083779F" w:rsidRPr="0083779F" w:rsidRDefault="0083779F" w:rsidP="0083779F">
            <w:pPr>
              <w:pStyle w:val="Tablas"/>
            </w:pPr>
            <w:r w:rsidRPr="0083779F">
              <w:t>43</w:t>
            </w:r>
          </w:p>
        </w:tc>
        <w:tc>
          <w:tcPr>
            <w:tcW w:w="2097" w:type="dxa"/>
            <w:tcBorders>
              <w:top w:val="nil"/>
              <w:left w:val="nil"/>
              <w:bottom w:val="single" w:sz="4" w:space="0" w:color="auto"/>
              <w:right w:val="single" w:sz="4" w:space="0" w:color="auto"/>
            </w:tcBorders>
            <w:shd w:val="clear" w:color="auto" w:fill="auto"/>
            <w:noWrap/>
            <w:vAlign w:val="center"/>
            <w:hideMark/>
          </w:tcPr>
          <w:p w14:paraId="4763B0C1"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5680C2D7" w14:textId="77777777" w:rsidR="0083779F" w:rsidRPr="0083779F" w:rsidRDefault="0083779F" w:rsidP="0083779F">
            <w:pPr>
              <w:pStyle w:val="Tablas"/>
            </w:pPr>
            <w:r w:rsidRPr="0083779F">
              <w:t>0.0000</w:t>
            </w:r>
          </w:p>
        </w:tc>
        <w:tc>
          <w:tcPr>
            <w:tcW w:w="2097" w:type="dxa"/>
            <w:tcBorders>
              <w:top w:val="nil"/>
              <w:left w:val="nil"/>
              <w:bottom w:val="single" w:sz="4" w:space="0" w:color="auto"/>
              <w:right w:val="single" w:sz="4" w:space="0" w:color="auto"/>
            </w:tcBorders>
            <w:shd w:val="clear" w:color="auto" w:fill="auto"/>
            <w:noWrap/>
            <w:vAlign w:val="center"/>
            <w:hideMark/>
          </w:tcPr>
          <w:p w14:paraId="24BF8D12"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6393B2A5" w14:textId="77777777" w:rsidR="0083779F" w:rsidRPr="0083779F" w:rsidRDefault="0083779F" w:rsidP="0083779F">
            <w:pPr>
              <w:pStyle w:val="Tablas"/>
            </w:pPr>
            <w:r w:rsidRPr="0083779F">
              <w:t>0.0000</w:t>
            </w:r>
          </w:p>
        </w:tc>
      </w:tr>
      <w:tr w:rsidR="0083779F" w:rsidRPr="0083779F" w14:paraId="0B296E97"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52EBA5F" w14:textId="77777777" w:rsidR="0083779F" w:rsidRPr="0083779F" w:rsidRDefault="0083779F" w:rsidP="0083779F">
            <w:pPr>
              <w:pStyle w:val="Tablas"/>
            </w:pPr>
            <w:r w:rsidRPr="0083779F">
              <w:t>44</w:t>
            </w:r>
          </w:p>
        </w:tc>
        <w:tc>
          <w:tcPr>
            <w:tcW w:w="2097" w:type="dxa"/>
            <w:tcBorders>
              <w:top w:val="nil"/>
              <w:left w:val="nil"/>
              <w:bottom w:val="single" w:sz="4" w:space="0" w:color="auto"/>
              <w:right w:val="single" w:sz="4" w:space="0" w:color="auto"/>
            </w:tcBorders>
            <w:shd w:val="clear" w:color="auto" w:fill="auto"/>
            <w:noWrap/>
            <w:vAlign w:val="center"/>
            <w:hideMark/>
          </w:tcPr>
          <w:p w14:paraId="3CB08BCE"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5BF027A4" w14:textId="77777777" w:rsidR="0083779F" w:rsidRPr="0083779F" w:rsidRDefault="0083779F" w:rsidP="0083779F">
            <w:pPr>
              <w:pStyle w:val="Tablas"/>
            </w:pPr>
            <w:r w:rsidRPr="0083779F">
              <w:t>0.0000</w:t>
            </w:r>
          </w:p>
        </w:tc>
        <w:tc>
          <w:tcPr>
            <w:tcW w:w="2097" w:type="dxa"/>
            <w:tcBorders>
              <w:top w:val="nil"/>
              <w:left w:val="nil"/>
              <w:bottom w:val="single" w:sz="4" w:space="0" w:color="auto"/>
              <w:right w:val="single" w:sz="4" w:space="0" w:color="auto"/>
            </w:tcBorders>
            <w:shd w:val="clear" w:color="auto" w:fill="auto"/>
            <w:noWrap/>
            <w:vAlign w:val="center"/>
            <w:hideMark/>
          </w:tcPr>
          <w:p w14:paraId="272D9532"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1AC1781B" w14:textId="77777777" w:rsidR="0083779F" w:rsidRPr="0083779F" w:rsidRDefault="0083779F" w:rsidP="0083779F">
            <w:pPr>
              <w:pStyle w:val="Tablas"/>
            </w:pPr>
            <w:r w:rsidRPr="0083779F">
              <w:t>0.0000</w:t>
            </w:r>
          </w:p>
        </w:tc>
      </w:tr>
      <w:tr w:rsidR="0083779F" w:rsidRPr="0083779F" w14:paraId="64EA4E69"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F8454F8" w14:textId="77777777" w:rsidR="0083779F" w:rsidRPr="0083779F" w:rsidRDefault="0083779F" w:rsidP="0083779F">
            <w:pPr>
              <w:pStyle w:val="Tablas"/>
            </w:pPr>
            <w:r w:rsidRPr="0083779F">
              <w:t>45</w:t>
            </w:r>
          </w:p>
        </w:tc>
        <w:tc>
          <w:tcPr>
            <w:tcW w:w="2097" w:type="dxa"/>
            <w:tcBorders>
              <w:top w:val="nil"/>
              <w:left w:val="nil"/>
              <w:bottom w:val="single" w:sz="4" w:space="0" w:color="auto"/>
              <w:right w:val="single" w:sz="4" w:space="0" w:color="auto"/>
            </w:tcBorders>
            <w:shd w:val="clear" w:color="auto" w:fill="auto"/>
            <w:noWrap/>
            <w:vAlign w:val="center"/>
            <w:hideMark/>
          </w:tcPr>
          <w:p w14:paraId="22BC9E30"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390D6716" w14:textId="77777777" w:rsidR="0083779F" w:rsidRPr="0083779F" w:rsidRDefault="0083779F" w:rsidP="0083779F">
            <w:pPr>
              <w:pStyle w:val="Tablas"/>
            </w:pPr>
            <w:r w:rsidRPr="0083779F">
              <w:t>0.0000</w:t>
            </w:r>
          </w:p>
        </w:tc>
        <w:tc>
          <w:tcPr>
            <w:tcW w:w="2097" w:type="dxa"/>
            <w:tcBorders>
              <w:top w:val="nil"/>
              <w:left w:val="nil"/>
              <w:bottom w:val="single" w:sz="4" w:space="0" w:color="auto"/>
              <w:right w:val="single" w:sz="4" w:space="0" w:color="auto"/>
            </w:tcBorders>
            <w:shd w:val="clear" w:color="auto" w:fill="auto"/>
            <w:noWrap/>
            <w:vAlign w:val="center"/>
            <w:hideMark/>
          </w:tcPr>
          <w:p w14:paraId="5238940D"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5F94A77D" w14:textId="77777777" w:rsidR="0083779F" w:rsidRPr="0083779F" w:rsidRDefault="0083779F" w:rsidP="0083779F">
            <w:pPr>
              <w:pStyle w:val="Tablas"/>
            </w:pPr>
            <w:r w:rsidRPr="0083779F">
              <w:t>0.0001</w:t>
            </w:r>
          </w:p>
        </w:tc>
      </w:tr>
      <w:tr w:rsidR="0083779F" w:rsidRPr="0083779F" w14:paraId="1A792BB1"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BCEF07C" w14:textId="77777777" w:rsidR="0083779F" w:rsidRPr="0083779F" w:rsidRDefault="0083779F" w:rsidP="0083779F">
            <w:pPr>
              <w:pStyle w:val="Tablas"/>
            </w:pPr>
            <w:r w:rsidRPr="0083779F">
              <w:t>46</w:t>
            </w:r>
          </w:p>
        </w:tc>
        <w:tc>
          <w:tcPr>
            <w:tcW w:w="2097" w:type="dxa"/>
            <w:tcBorders>
              <w:top w:val="nil"/>
              <w:left w:val="nil"/>
              <w:bottom w:val="single" w:sz="4" w:space="0" w:color="auto"/>
              <w:right w:val="single" w:sz="4" w:space="0" w:color="auto"/>
            </w:tcBorders>
            <w:shd w:val="clear" w:color="auto" w:fill="auto"/>
            <w:noWrap/>
            <w:vAlign w:val="center"/>
            <w:hideMark/>
          </w:tcPr>
          <w:p w14:paraId="1CEC6C76"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3509B32D" w14:textId="77777777" w:rsidR="0083779F" w:rsidRPr="0083779F" w:rsidRDefault="0083779F" w:rsidP="0083779F">
            <w:pPr>
              <w:pStyle w:val="Tablas"/>
            </w:pPr>
            <w:r w:rsidRPr="0083779F">
              <w:t>0.0001</w:t>
            </w:r>
          </w:p>
        </w:tc>
        <w:tc>
          <w:tcPr>
            <w:tcW w:w="2097" w:type="dxa"/>
            <w:tcBorders>
              <w:top w:val="nil"/>
              <w:left w:val="nil"/>
              <w:bottom w:val="single" w:sz="4" w:space="0" w:color="auto"/>
              <w:right w:val="single" w:sz="4" w:space="0" w:color="auto"/>
            </w:tcBorders>
            <w:shd w:val="clear" w:color="auto" w:fill="auto"/>
            <w:noWrap/>
            <w:vAlign w:val="center"/>
            <w:hideMark/>
          </w:tcPr>
          <w:p w14:paraId="502B83B0"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3067D593" w14:textId="77777777" w:rsidR="0083779F" w:rsidRPr="0083779F" w:rsidRDefault="0083779F" w:rsidP="0083779F">
            <w:pPr>
              <w:pStyle w:val="Tablas"/>
            </w:pPr>
            <w:r w:rsidRPr="0083779F">
              <w:t>0.0004</w:t>
            </w:r>
          </w:p>
        </w:tc>
      </w:tr>
      <w:tr w:rsidR="0083779F" w:rsidRPr="0083779F" w14:paraId="624CF1E2"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58DDD20" w14:textId="77777777" w:rsidR="0083779F" w:rsidRPr="0083779F" w:rsidRDefault="0083779F" w:rsidP="0083779F">
            <w:pPr>
              <w:pStyle w:val="Tablas"/>
            </w:pPr>
            <w:r w:rsidRPr="0083779F">
              <w:t>47</w:t>
            </w:r>
          </w:p>
        </w:tc>
        <w:tc>
          <w:tcPr>
            <w:tcW w:w="2097" w:type="dxa"/>
            <w:tcBorders>
              <w:top w:val="nil"/>
              <w:left w:val="nil"/>
              <w:bottom w:val="single" w:sz="4" w:space="0" w:color="auto"/>
              <w:right w:val="single" w:sz="4" w:space="0" w:color="auto"/>
            </w:tcBorders>
            <w:shd w:val="clear" w:color="auto" w:fill="auto"/>
            <w:noWrap/>
            <w:vAlign w:val="center"/>
            <w:hideMark/>
          </w:tcPr>
          <w:p w14:paraId="1E68D477"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36ABA9C7" w14:textId="77777777" w:rsidR="0083779F" w:rsidRPr="0083779F" w:rsidRDefault="0083779F" w:rsidP="0083779F">
            <w:pPr>
              <w:pStyle w:val="Tablas"/>
            </w:pPr>
            <w:r w:rsidRPr="0083779F">
              <w:t>0.0002</w:t>
            </w:r>
          </w:p>
        </w:tc>
        <w:tc>
          <w:tcPr>
            <w:tcW w:w="2097" w:type="dxa"/>
            <w:tcBorders>
              <w:top w:val="nil"/>
              <w:left w:val="nil"/>
              <w:bottom w:val="single" w:sz="4" w:space="0" w:color="auto"/>
              <w:right w:val="single" w:sz="4" w:space="0" w:color="auto"/>
            </w:tcBorders>
            <w:shd w:val="clear" w:color="auto" w:fill="auto"/>
            <w:noWrap/>
            <w:vAlign w:val="center"/>
            <w:hideMark/>
          </w:tcPr>
          <w:p w14:paraId="729D1B3F"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102B2591" w14:textId="77777777" w:rsidR="0083779F" w:rsidRPr="0083779F" w:rsidRDefault="0083779F" w:rsidP="0083779F">
            <w:pPr>
              <w:pStyle w:val="Tablas"/>
            </w:pPr>
            <w:r w:rsidRPr="0083779F">
              <w:t>0.0011</w:t>
            </w:r>
          </w:p>
        </w:tc>
      </w:tr>
      <w:tr w:rsidR="0083779F" w:rsidRPr="0083779F" w14:paraId="702B29AA"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CE84C82" w14:textId="77777777" w:rsidR="0083779F" w:rsidRPr="0083779F" w:rsidRDefault="0083779F" w:rsidP="0083779F">
            <w:pPr>
              <w:pStyle w:val="Tablas"/>
            </w:pPr>
            <w:r w:rsidRPr="0083779F">
              <w:t>48</w:t>
            </w:r>
          </w:p>
        </w:tc>
        <w:tc>
          <w:tcPr>
            <w:tcW w:w="2097" w:type="dxa"/>
            <w:tcBorders>
              <w:top w:val="nil"/>
              <w:left w:val="nil"/>
              <w:bottom w:val="single" w:sz="4" w:space="0" w:color="auto"/>
              <w:right w:val="single" w:sz="4" w:space="0" w:color="auto"/>
            </w:tcBorders>
            <w:shd w:val="clear" w:color="auto" w:fill="auto"/>
            <w:noWrap/>
            <w:vAlign w:val="center"/>
            <w:hideMark/>
          </w:tcPr>
          <w:p w14:paraId="36CBF629"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49AF620E" w14:textId="77777777" w:rsidR="0083779F" w:rsidRPr="0083779F" w:rsidRDefault="0083779F" w:rsidP="0083779F">
            <w:pPr>
              <w:pStyle w:val="Tablas"/>
            </w:pPr>
            <w:r w:rsidRPr="0083779F">
              <w:t>0.0006</w:t>
            </w:r>
          </w:p>
        </w:tc>
        <w:tc>
          <w:tcPr>
            <w:tcW w:w="2097" w:type="dxa"/>
            <w:tcBorders>
              <w:top w:val="nil"/>
              <w:left w:val="nil"/>
              <w:bottom w:val="single" w:sz="4" w:space="0" w:color="auto"/>
              <w:right w:val="single" w:sz="4" w:space="0" w:color="auto"/>
            </w:tcBorders>
            <w:shd w:val="clear" w:color="auto" w:fill="auto"/>
            <w:noWrap/>
            <w:vAlign w:val="center"/>
            <w:hideMark/>
          </w:tcPr>
          <w:p w14:paraId="685180C9"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19C686B9" w14:textId="77777777" w:rsidR="0083779F" w:rsidRPr="0083779F" w:rsidRDefault="0083779F" w:rsidP="0083779F">
            <w:pPr>
              <w:pStyle w:val="Tablas"/>
            </w:pPr>
            <w:r w:rsidRPr="0083779F">
              <w:t>0.0025</w:t>
            </w:r>
          </w:p>
        </w:tc>
      </w:tr>
      <w:tr w:rsidR="0083779F" w:rsidRPr="0083779F" w14:paraId="2C1C80D6"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2EA6362" w14:textId="77777777" w:rsidR="0083779F" w:rsidRPr="0083779F" w:rsidRDefault="0083779F" w:rsidP="0083779F">
            <w:pPr>
              <w:pStyle w:val="Tablas"/>
            </w:pPr>
            <w:r w:rsidRPr="0083779F">
              <w:t>49</w:t>
            </w:r>
          </w:p>
        </w:tc>
        <w:tc>
          <w:tcPr>
            <w:tcW w:w="2097" w:type="dxa"/>
            <w:tcBorders>
              <w:top w:val="nil"/>
              <w:left w:val="nil"/>
              <w:bottom w:val="single" w:sz="4" w:space="0" w:color="auto"/>
              <w:right w:val="single" w:sz="4" w:space="0" w:color="auto"/>
            </w:tcBorders>
            <w:shd w:val="clear" w:color="auto" w:fill="auto"/>
            <w:noWrap/>
            <w:vAlign w:val="center"/>
            <w:hideMark/>
          </w:tcPr>
          <w:p w14:paraId="34F36D8F"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79BEE14F" w14:textId="77777777" w:rsidR="0083779F" w:rsidRPr="0083779F" w:rsidRDefault="0083779F" w:rsidP="0083779F">
            <w:pPr>
              <w:pStyle w:val="Tablas"/>
            </w:pPr>
            <w:r w:rsidRPr="0083779F">
              <w:t>0.0016</w:t>
            </w:r>
          </w:p>
        </w:tc>
        <w:tc>
          <w:tcPr>
            <w:tcW w:w="2097" w:type="dxa"/>
            <w:tcBorders>
              <w:top w:val="nil"/>
              <w:left w:val="nil"/>
              <w:bottom w:val="single" w:sz="4" w:space="0" w:color="auto"/>
              <w:right w:val="single" w:sz="4" w:space="0" w:color="auto"/>
            </w:tcBorders>
            <w:shd w:val="clear" w:color="auto" w:fill="auto"/>
            <w:noWrap/>
            <w:vAlign w:val="center"/>
            <w:hideMark/>
          </w:tcPr>
          <w:p w14:paraId="2AD69627" w14:textId="77777777" w:rsidR="0083779F" w:rsidRPr="0083779F" w:rsidRDefault="0083779F" w:rsidP="0083779F">
            <w:pPr>
              <w:pStyle w:val="Tablas"/>
            </w:pPr>
            <w:r w:rsidRPr="0083779F">
              <w:t> </w:t>
            </w:r>
          </w:p>
        </w:tc>
        <w:tc>
          <w:tcPr>
            <w:tcW w:w="1252" w:type="dxa"/>
            <w:tcBorders>
              <w:top w:val="nil"/>
              <w:left w:val="nil"/>
              <w:bottom w:val="single" w:sz="4" w:space="0" w:color="auto"/>
              <w:right w:val="single" w:sz="8" w:space="0" w:color="auto"/>
            </w:tcBorders>
            <w:shd w:val="clear" w:color="auto" w:fill="auto"/>
            <w:noWrap/>
            <w:vAlign w:val="center"/>
            <w:hideMark/>
          </w:tcPr>
          <w:p w14:paraId="054B12CA" w14:textId="77777777" w:rsidR="0083779F" w:rsidRPr="0083779F" w:rsidRDefault="0083779F" w:rsidP="0083779F">
            <w:pPr>
              <w:pStyle w:val="Tablas"/>
            </w:pPr>
            <w:r w:rsidRPr="0083779F">
              <w:t>0.0053</w:t>
            </w:r>
          </w:p>
        </w:tc>
      </w:tr>
      <w:tr w:rsidR="0083779F" w:rsidRPr="0083779F" w14:paraId="760A4B8E"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C876716" w14:textId="77777777" w:rsidR="0083779F" w:rsidRPr="0083779F" w:rsidRDefault="0083779F" w:rsidP="0083779F">
            <w:pPr>
              <w:pStyle w:val="Tablas"/>
            </w:pPr>
            <w:r w:rsidRPr="0083779F">
              <w:t>50</w:t>
            </w:r>
          </w:p>
        </w:tc>
        <w:tc>
          <w:tcPr>
            <w:tcW w:w="2097" w:type="dxa"/>
            <w:tcBorders>
              <w:top w:val="nil"/>
              <w:left w:val="nil"/>
              <w:bottom w:val="single" w:sz="4" w:space="0" w:color="auto"/>
              <w:right w:val="single" w:sz="4" w:space="0" w:color="auto"/>
            </w:tcBorders>
            <w:shd w:val="clear" w:color="auto" w:fill="auto"/>
            <w:noWrap/>
            <w:vAlign w:val="center"/>
            <w:hideMark/>
          </w:tcPr>
          <w:p w14:paraId="518A8C8F" w14:textId="77777777" w:rsidR="0083779F" w:rsidRPr="0083779F" w:rsidRDefault="0083779F" w:rsidP="0083779F">
            <w:pPr>
              <w:pStyle w:val="Tablas"/>
            </w:pPr>
            <w:r w:rsidRPr="0083779F">
              <w:t>0.3500</w:t>
            </w:r>
          </w:p>
        </w:tc>
        <w:tc>
          <w:tcPr>
            <w:tcW w:w="1252" w:type="dxa"/>
            <w:tcBorders>
              <w:top w:val="nil"/>
              <w:left w:val="nil"/>
              <w:bottom w:val="single" w:sz="4" w:space="0" w:color="auto"/>
              <w:right w:val="single" w:sz="8" w:space="0" w:color="auto"/>
            </w:tcBorders>
            <w:shd w:val="clear" w:color="auto" w:fill="auto"/>
            <w:noWrap/>
            <w:vAlign w:val="center"/>
            <w:hideMark/>
          </w:tcPr>
          <w:p w14:paraId="4B3F346C" w14:textId="77777777" w:rsidR="0083779F" w:rsidRPr="0083779F" w:rsidRDefault="0083779F" w:rsidP="0083779F">
            <w:pPr>
              <w:pStyle w:val="Tablas"/>
            </w:pPr>
            <w:r w:rsidRPr="0083779F">
              <w:t>0.0002</w:t>
            </w:r>
          </w:p>
        </w:tc>
        <w:tc>
          <w:tcPr>
            <w:tcW w:w="2097" w:type="dxa"/>
            <w:tcBorders>
              <w:top w:val="nil"/>
              <w:left w:val="nil"/>
              <w:bottom w:val="single" w:sz="4" w:space="0" w:color="auto"/>
              <w:right w:val="single" w:sz="4" w:space="0" w:color="auto"/>
            </w:tcBorders>
            <w:shd w:val="clear" w:color="auto" w:fill="auto"/>
            <w:noWrap/>
            <w:vAlign w:val="center"/>
            <w:hideMark/>
          </w:tcPr>
          <w:p w14:paraId="52CAF158" w14:textId="77777777" w:rsidR="0083779F" w:rsidRPr="0083779F" w:rsidRDefault="0083779F" w:rsidP="0083779F">
            <w:pPr>
              <w:pStyle w:val="Tablas"/>
            </w:pPr>
            <w:r w:rsidRPr="0083779F">
              <w:t>0.3500</w:t>
            </w:r>
          </w:p>
        </w:tc>
        <w:tc>
          <w:tcPr>
            <w:tcW w:w="1252" w:type="dxa"/>
            <w:tcBorders>
              <w:top w:val="nil"/>
              <w:left w:val="nil"/>
              <w:bottom w:val="single" w:sz="4" w:space="0" w:color="auto"/>
              <w:right w:val="single" w:sz="8" w:space="0" w:color="auto"/>
            </w:tcBorders>
            <w:shd w:val="clear" w:color="auto" w:fill="auto"/>
            <w:noWrap/>
            <w:vAlign w:val="center"/>
            <w:hideMark/>
          </w:tcPr>
          <w:p w14:paraId="4E999C34" w14:textId="77777777" w:rsidR="0083779F" w:rsidRPr="0083779F" w:rsidRDefault="0083779F" w:rsidP="0083779F">
            <w:pPr>
              <w:pStyle w:val="Tablas"/>
            </w:pPr>
            <w:r w:rsidRPr="0083779F">
              <w:t>0.0102</w:t>
            </w:r>
          </w:p>
        </w:tc>
      </w:tr>
      <w:tr w:rsidR="0083779F" w:rsidRPr="0083779F" w14:paraId="639CE738"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4019088" w14:textId="77777777" w:rsidR="0083779F" w:rsidRPr="0083779F" w:rsidRDefault="0083779F" w:rsidP="0083779F">
            <w:pPr>
              <w:pStyle w:val="Tablas"/>
            </w:pPr>
            <w:r w:rsidRPr="0083779F">
              <w:t>51</w:t>
            </w:r>
          </w:p>
        </w:tc>
        <w:tc>
          <w:tcPr>
            <w:tcW w:w="2097" w:type="dxa"/>
            <w:tcBorders>
              <w:top w:val="nil"/>
              <w:left w:val="nil"/>
              <w:bottom w:val="single" w:sz="4" w:space="0" w:color="auto"/>
              <w:right w:val="single" w:sz="4" w:space="0" w:color="auto"/>
            </w:tcBorders>
            <w:shd w:val="clear" w:color="auto" w:fill="auto"/>
            <w:noWrap/>
            <w:vAlign w:val="center"/>
            <w:hideMark/>
          </w:tcPr>
          <w:p w14:paraId="4B127451" w14:textId="77777777" w:rsidR="0083779F" w:rsidRPr="0083779F" w:rsidRDefault="0083779F" w:rsidP="0083779F">
            <w:pPr>
              <w:pStyle w:val="Tablas"/>
            </w:pPr>
            <w:r w:rsidRPr="0083779F">
              <w:t>0.3800</w:t>
            </w:r>
          </w:p>
        </w:tc>
        <w:tc>
          <w:tcPr>
            <w:tcW w:w="1252" w:type="dxa"/>
            <w:tcBorders>
              <w:top w:val="nil"/>
              <w:left w:val="nil"/>
              <w:bottom w:val="single" w:sz="4" w:space="0" w:color="auto"/>
              <w:right w:val="single" w:sz="8" w:space="0" w:color="auto"/>
            </w:tcBorders>
            <w:shd w:val="clear" w:color="auto" w:fill="auto"/>
            <w:noWrap/>
            <w:vAlign w:val="center"/>
            <w:hideMark/>
          </w:tcPr>
          <w:p w14:paraId="1E052922" w14:textId="77777777" w:rsidR="0083779F" w:rsidRPr="0083779F" w:rsidRDefault="0083779F" w:rsidP="0083779F">
            <w:pPr>
              <w:pStyle w:val="Tablas"/>
            </w:pPr>
            <w:r w:rsidRPr="0083779F">
              <w:t>0.0006</w:t>
            </w:r>
          </w:p>
        </w:tc>
        <w:tc>
          <w:tcPr>
            <w:tcW w:w="2097" w:type="dxa"/>
            <w:tcBorders>
              <w:top w:val="nil"/>
              <w:left w:val="nil"/>
              <w:bottom w:val="single" w:sz="4" w:space="0" w:color="auto"/>
              <w:right w:val="single" w:sz="4" w:space="0" w:color="auto"/>
            </w:tcBorders>
            <w:shd w:val="clear" w:color="auto" w:fill="auto"/>
            <w:noWrap/>
            <w:vAlign w:val="center"/>
            <w:hideMark/>
          </w:tcPr>
          <w:p w14:paraId="4707D1CC" w14:textId="77777777" w:rsidR="0083779F" w:rsidRPr="0083779F" w:rsidRDefault="0083779F" w:rsidP="0083779F">
            <w:pPr>
              <w:pStyle w:val="Tablas"/>
            </w:pPr>
            <w:r w:rsidRPr="0083779F">
              <w:t>0.3800</w:t>
            </w:r>
          </w:p>
        </w:tc>
        <w:tc>
          <w:tcPr>
            <w:tcW w:w="1252" w:type="dxa"/>
            <w:tcBorders>
              <w:top w:val="nil"/>
              <w:left w:val="nil"/>
              <w:bottom w:val="single" w:sz="4" w:space="0" w:color="auto"/>
              <w:right w:val="single" w:sz="8" w:space="0" w:color="auto"/>
            </w:tcBorders>
            <w:shd w:val="clear" w:color="auto" w:fill="auto"/>
            <w:noWrap/>
            <w:vAlign w:val="center"/>
            <w:hideMark/>
          </w:tcPr>
          <w:p w14:paraId="12084DCA" w14:textId="77777777" w:rsidR="0083779F" w:rsidRPr="0083779F" w:rsidRDefault="0083779F" w:rsidP="0083779F">
            <w:pPr>
              <w:pStyle w:val="Tablas"/>
            </w:pPr>
            <w:r w:rsidRPr="0083779F">
              <w:t>0.0177</w:t>
            </w:r>
          </w:p>
        </w:tc>
      </w:tr>
      <w:tr w:rsidR="0083779F" w:rsidRPr="0083779F" w14:paraId="78FFA493"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55F28F6" w14:textId="77777777" w:rsidR="0083779F" w:rsidRPr="0083779F" w:rsidRDefault="0083779F" w:rsidP="0083779F">
            <w:pPr>
              <w:pStyle w:val="Tablas"/>
            </w:pPr>
            <w:r w:rsidRPr="0083779F">
              <w:t>52</w:t>
            </w:r>
          </w:p>
        </w:tc>
        <w:tc>
          <w:tcPr>
            <w:tcW w:w="2097" w:type="dxa"/>
            <w:tcBorders>
              <w:top w:val="nil"/>
              <w:left w:val="nil"/>
              <w:bottom w:val="single" w:sz="4" w:space="0" w:color="auto"/>
              <w:right w:val="single" w:sz="4" w:space="0" w:color="auto"/>
            </w:tcBorders>
            <w:shd w:val="clear" w:color="auto" w:fill="auto"/>
            <w:noWrap/>
            <w:vAlign w:val="center"/>
            <w:hideMark/>
          </w:tcPr>
          <w:p w14:paraId="7EB32221" w14:textId="77777777" w:rsidR="0083779F" w:rsidRPr="0083779F" w:rsidRDefault="0083779F" w:rsidP="0083779F">
            <w:pPr>
              <w:pStyle w:val="Tablas"/>
            </w:pPr>
            <w:r w:rsidRPr="0083779F">
              <w:t>0.4000</w:t>
            </w:r>
          </w:p>
        </w:tc>
        <w:tc>
          <w:tcPr>
            <w:tcW w:w="1252" w:type="dxa"/>
            <w:tcBorders>
              <w:top w:val="nil"/>
              <w:left w:val="nil"/>
              <w:bottom w:val="single" w:sz="4" w:space="0" w:color="auto"/>
              <w:right w:val="single" w:sz="8" w:space="0" w:color="auto"/>
            </w:tcBorders>
            <w:shd w:val="clear" w:color="auto" w:fill="auto"/>
            <w:noWrap/>
            <w:vAlign w:val="center"/>
            <w:hideMark/>
          </w:tcPr>
          <w:p w14:paraId="3931581B" w14:textId="77777777" w:rsidR="0083779F" w:rsidRPr="0083779F" w:rsidRDefault="0083779F" w:rsidP="0083779F">
            <w:pPr>
              <w:pStyle w:val="Tablas"/>
            </w:pPr>
            <w:r w:rsidRPr="0083779F">
              <w:t>0.0016</w:t>
            </w:r>
          </w:p>
        </w:tc>
        <w:tc>
          <w:tcPr>
            <w:tcW w:w="2097" w:type="dxa"/>
            <w:tcBorders>
              <w:top w:val="nil"/>
              <w:left w:val="nil"/>
              <w:bottom w:val="single" w:sz="4" w:space="0" w:color="auto"/>
              <w:right w:val="single" w:sz="4" w:space="0" w:color="auto"/>
            </w:tcBorders>
            <w:shd w:val="clear" w:color="auto" w:fill="auto"/>
            <w:noWrap/>
            <w:vAlign w:val="center"/>
            <w:hideMark/>
          </w:tcPr>
          <w:p w14:paraId="350DD110" w14:textId="77777777" w:rsidR="0083779F" w:rsidRPr="0083779F" w:rsidRDefault="0083779F" w:rsidP="0083779F">
            <w:pPr>
              <w:pStyle w:val="Tablas"/>
            </w:pPr>
            <w:r w:rsidRPr="0083779F">
              <w:t>0.4000</w:t>
            </w:r>
          </w:p>
        </w:tc>
        <w:tc>
          <w:tcPr>
            <w:tcW w:w="1252" w:type="dxa"/>
            <w:tcBorders>
              <w:top w:val="nil"/>
              <w:left w:val="nil"/>
              <w:bottom w:val="single" w:sz="4" w:space="0" w:color="auto"/>
              <w:right w:val="single" w:sz="8" w:space="0" w:color="auto"/>
            </w:tcBorders>
            <w:shd w:val="clear" w:color="auto" w:fill="auto"/>
            <w:noWrap/>
            <w:vAlign w:val="center"/>
            <w:hideMark/>
          </w:tcPr>
          <w:p w14:paraId="6E1A10B3" w14:textId="77777777" w:rsidR="0083779F" w:rsidRPr="0083779F" w:rsidRDefault="0083779F" w:rsidP="0083779F">
            <w:pPr>
              <w:pStyle w:val="Tablas"/>
            </w:pPr>
            <w:r w:rsidRPr="0083779F">
              <w:t>0.0278</w:t>
            </w:r>
          </w:p>
        </w:tc>
      </w:tr>
      <w:tr w:rsidR="0083779F" w:rsidRPr="0083779F" w14:paraId="37FE827F"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2599DDB" w14:textId="77777777" w:rsidR="0083779F" w:rsidRPr="0083779F" w:rsidRDefault="0083779F" w:rsidP="0083779F">
            <w:pPr>
              <w:pStyle w:val="Tablas"/>
            </w:pPr>
            <w:r w:rsidRPr="0083779F">
              <w:t>53</w:t>
            </w:r>
          </w:p>
        </w:tc>
        <w:tc>
          <w:tcPr>
            <w:tcW w:w="2097" w:type="dxa"/>
            <w:tcBorders>
              <w:top w:val="nil"/>
              <w:left w:val="nil"/>
              <w:bottom w:val="single" w:sz="4" w:space="0" w:color="auto"/>
              <w:right w:val="single" w:sz="4" w:space="0" w:color="auto"/>
            </w:tcBorders>
            <w:shd w:val="clear" w:color="auto" w:fill="auto"/>
            <w:noWrap/>
            <w:vAlign w:val="center"/>
            <w:hideMark/>
          </w:tcPr>
          <w:p w14:paraId="4309972D" w14:textId="77777777" w:rsidR="0083779F" w:rsidRPr="0083779F" w:rsidRDefault="0083779F" w:rsidP="0083779F">
            <w:pPr>
              <w:pStyle w:val="Tablas"/>
            </w:pPr>
            <w:r w:rsidRPr="0083779F">
              <w:t>0.4200</w:t>
            </w:r>
          </w:p>
        </w:tc>
        <w:tc>
          <w:tcPr>
            <w:tcW w:w="1252" w:type="dxa"/>
            <w:tcBorders>
              <w:top w:val="nil"/>
              <w:left w:val="nil"/>
              <w:bottom w:val="single" w:sz="4" w:space="0" w:color="auto"/>
              <w:right w:val="single" w:sz="8" w:space="0" w:color="auto"/>
            </w:tcBorders>
            <w:shd w:val="clear" w:color="auto" w:fill="auto"/>
            <w:noWrap/>
            <w:vAlign w:val="center"/>
            <w:hideMark/>
          </w:tcPr>
          <w:p w14:paraId="61F9712A" w14:textId="77777777" w:rsidR="0083779F" w:rsidRPr="0083779F" w:rsidRDefault="0083779F" w:rsidP="0083779F">
            <w:pPr>
              <w:pStyle w:val="Tablas"/>
            </w:pPr>
            <w:r w:rsidRPr="0083779F">
              <w:t>0.0036</w:t>
            </w:r>
          </w:p>
        </w:tc>
        <w:tc>
          <w:tcPr>
            <w:tcW w:w="2097" w:type="dxa"/>
            <w:tcBorders>
              <w:top w:val="nil"/>
              <w:left w:val="nil"/>
              <w:bottom w:val="single" w:sz="4" w:space="0" w:color="auto"/>
              <w:right w:val="single" w:sz="4" w:space="0" w:color="auto"/>
            </w:tcBorders>
            <w:shd w:val="clear" w:color="auto" w:fill="auto"/>
            <w:noWrap/>
            <w:vAlign w:val="center"/>
            <w:hideMark/>
          </w:tcPr>
          <w:p w14:paraId="3977449B" w14:textId="77777777" w:rsidR="0083779F" w:rsidRPr="0083779F" w:rsidRDefault="0083779F" w:rsidP="0083779F">
            <w:pPr>
              <w:pStyle w:val="Tablas"/>
            </w:pPr>
            <w:r w:rsidRPr="0083779F">
              <w:t>0.4200</w:t>
            </w:r>
          </w:p>
        </w:tc>
        <w:tc>
          <w:tcPr>
            <w:tcW w:w="1252" w:type="dxa"/>
            <w:tcBorders>
              <w:top w:val="nil"/>
              <w:left w:val="nil"/>
              <w:bottom w:val="single" w:sz="4" w:space="0" w:color="auto"/>
              <w:right w:val="single" w:sz="8" w:space="0" w:color="auto"/>
            </w:tcBorders>
            <w:shd w:val="clear" w:color="auto" w:fill="auto"/>
            <w:noWrap/>
            <w:vAlign w:val="center"/>
            <w:hideMark/>
          </w:tcPr>
          <w:p w14:paraId="2F8FBAD0" w14:textId="77777777" w:rsidR="0083779F" w:rsidRPr="0083779F" w:rsidRDefault="0083779F" w:rsidP="0083779F">
            <w:pPr>
              <w:pStyle w:val="Tablas"/>
            </w:pPr>
            <w:r w:rsidRPr="0083779F">
              <w:t>0.0395</w:t>
            </w:r>
          </w:p>
        </w:tc>
      </w:tr>
      <w:tr w:rsidR="0083779F" w:rsidRPr="0083779F" w14:paraId="17991637"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9E1202C" w14:textId="77777777" w:rsidR="0083779F" w:rsidRPr="0083779F" w:rsidRDefault="0083779F" w:rsidP="0083779F">
            <w:pPr>
              <w:pStyle w:val="Tablas"/>
            </w:pPr>
            <w:r w:rsidRPr="0083779F">
              <w:t>54</w:t>
            </w:r>
          </w:p>
        </w:tc>
        <w:tc>
          <w:tcPr>
            <w:tcW w:w="2097" w:type="dxa"/>
            <w:tcBorders>
              <w:top w:val="nil"/>
              <w:left w:val="nil"/>
              <w:bottom w:val="single" w:sz="4" w:space="0" w:color="auto"/>
              <w:right w:val="single" w:sz="4" w:space="0" w:color="auto"/>
            </w:tcBorders>
            <w:shd w:val="clear" w:color="auto" w:fill="auto"/>
            <w:noWrap/>
            <w:vAlign w:val="center"/>
            <w:hideMark/>
          </w:tcPr>
          <w:p w14:paraId="0C9C1041" w14:textId="77777777" w:rsidR="0083779F" w:rsidRPr="0083779F" w:rsidRDefault="0083779F" w:rsidP="0083779F">
            <w:pPr>
              <w:pStyle w:val="Tablas"/>
            </w:pPr>
            <w:r w:rsidRPr="0083779F">
              <w:t>0.4400</w:t>
            </w:r>
          </w:p>
        </w:tc>
        <w:tc>
          <w:tcPr>
            <w:tcW w:w="1252" w:type="dxa"/>
            <w:tcBorders>
              <w:top w:val="nil"/>
              <w:left w:val="nil"/>
              <w:bottom w:val="single" w:sz="4" w:space="0" w:color="auto"/>
              <w:right w:val="single" w:sz="8" w:space="0" w:color="auto"/>
            </w:tcBorders>
            <w:shd w:val="clear" w:color="auto" w:fill="auto"/>
            <w:noWrap/>
            <w:vAlign w:val="center"/>
            <w:hideMark/>
          </w:tcPr>
          <w:p w14:paraId="5A28400A" w14:textId="77777777" w:rsidR="0083779F" w:rsidRPr="0083779F" w:rsidRDefault="0083779F" w:rsidP="0083779F">
            <w:pPr>
              <w:pStyle w:val="Tablas"/>
            </w:pPr>
            <w:r w:rsidRPr="0083779F">
              <w:t>0.0077</w:t>
            </w:r>
          </w:p>
        </w:tc>
        <w:tc>
          <w:tcPr>
            <w:tcW w:w="2097" w:type="dxa"/>
            <w:tcBorders>
              <w:top w:val="nil"/>
              <w:left w:val="nil"/>
              <w:bottom w:val="single" w:sz="4" w:space="0" w:color="auto"/>
              <w:right w:val="single" w:sz="4" w:space="0" w:color="auto"/>
            </w:tcBorders>
            <w:shd w:val="clear" w:color="auto" w:fill="auto"/>
            <w:noWrap/>
            <w:vAlign w:val="center"/>
            <w:hideMark/>
          </w:tcPr>
          <w:p w14:paraId="552DA2D6" w14:textId="77777777" w:rsidR="0083779F" w:rsidRPr="0083779F" w:rsidRDefault="0083779F" w:rsidP="0083779F">
            <w:pPr>
              <w:pStyle w:val="Tablas"/>
            </w:pPr>
            <w:r w:rsidRPr="0083779F">
              <w:t>0.4400</w:t>
            </w:r>
          </w:p>
        </w:tc>
        <w:tc>
          <w:tcPr>
            <w:tcW w:w="1252" w:type="dxa"/>
            <w:tcBorders>
              <w:top w:val="nil"/>
              <w:left w:val="nil"/>
              <w:bottom w:val="single" w:sz="4" w:space="0" w:color="auto"/>
              <w:right w:val="single" w:sz="8" w:space="0" w:color="auto"/>
            </w:tcBorders>
            <w:shd w:val="clear" w:color="auto" w:fill="auto"/>
            <w:noWrap/>
            <w:vAlign w:val="center"/>
            <w:hideMark/>
          </w:tcPr>
          <w:p w14:paraId="52CCD876" w14:textId="77777777" w:rsidR="0083779F" w:rsidRPr="0083779F" w:rsidRDefault="0083779F" w:rsidP="0083779F">
            <w:pPr>
              <w:pStyle w:val="Tablas"/>
            </w:pPr>
            <w:r w:rsidRPr="0083779F">
              <w:t>0.0507</w:t>
            </w:r>
          </w:p>
        </w:tc>
      </w:tr>
      <w:tr w:rsidR="0083779F" w:rsidRPr="0083779F" w14:paraId="60A39640"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6F5EC4F" w14:textId="77777777" w:rsidR="0083779F" w:rsidRPr="0083779F" w:rsidRDefault="0083779F" w:rsidP="0083779F">
            <w:pPr>
              <w:pStyle w:val="Tablas"/>
            </w:pPr>
            <w:r w:rsidRPr="0083779F">
              <w:t>55</w:t>
            </w:r>
          </w:p>
        </w:tc>
        <w:tc>
          <w:tcPr>
            <w:tcW w:w="2097" w:type="dxa"/>
            <w:tcBorders>
              <w:top w:val="nil"/>
              <w:left w:val="nil"/>
              <w:bottom w:val="single" w:sz="4" w:space="0" w:color="auto"/>
              <w:right w:val="single" w:sz="4" w:space="0" w:color="auto"/>
            </w:tcBorders>
            <w:shd w:val="clear" w:color="auto" w:fill="auto"/>
            <w:noWrap/>
            <w:vAlign w:val="center"/>
            <w:hideMark/>
          </w:tcPr>
          <w:p w14:paraId="0377729D" w14:textId="77777777" w:rsidR="0083779F" w:rsidRPr="0083779F" w:rsidRDefault="0083779F" w:rsidP="0083779F">
            <w:pPr>
              <w:pStyle w:val="Tablas"/>
            </w:pPr>
            <w:r w:rsidRPr="0083779F">
              <w:t>0.4600</w:t>
            </w:r>
          </w:p>
        </w:tc>
        <w:tc>
          <w:tcPr>
            <w:tcW w:w="1252" w:type="dxa"/>
            <w:tcBorders>
              <w:top w:val="nil"/>
              <w:left w:val="nil"/>
              <w:bottom w:val="single" w:sz="4" w:space="0" w:color="auto"/>
              <w:right w:val="single" w:sz="8" w:space="0" w:color="auto"/>
            </w:tcBorders>
            <w:shd w:val="clear" w:color="auto" w:fill="auto"/>
            <w:noWrap/>
            <w:vAlign w:val="center"/>
            <w:hideMark/>
          </w:tcPr>
          <w:p w14:paraId="18749155" w14:textId="77777777" w:rsidR="0083779F" w:rsidRPr="0083779F" w:rsidRDefault="0083779F" w:rsidP="0083779F">
            <w:pPr>
              <w:pStyle w:val="Tablas"/>
            </w:pPr>
            <w:r w:rsidRPr="0083779F">
              <w:t>0.0148</w:t>
            </w:r>
          </w:p>
        </w:tc>
        <w:tc>
          <w:tcPr>
            <w:tcW w:w="2097" w:type="dxa"/>
            <w:tcBorders>
              <w:top w:val="nil"/>
              <w:left w:val="nil"/>
              <w:bottom w:val="single" w:sz="4" w:space="0" w:color="auto"/>
              <w:right w:val="single" w:sz="4" w:space="0" w:color="auto"/>
            </w:tcBorders>
            <w:shd w:val="clear" w:color="auto" w:fill="auto"/>
            <w:noWrap/>
            <w:vAlign w:val="center"/>
            <w:hideMark/>
          </w:tcPr>
          <w:p w14:paraId="4AF8285E" w14:textId="77777777" w:rsidR="0083779F" w:rsidRPr="0083779F" w:rsidRDefault="0083779F" w:rsidP="0083779F">
            <w:pPr>
              <w:pStyle w:val="Tablas"/>
            </w:pPr>
            <w:r w:rsidRPr="0083779F">
              <w:t>0.4600</w:t>
            </w:r>
          </w:p>
        </w:tc>
        <w:tc>
          <w:tcPr>
            <w:tcW w:w="1252" w:type="dxa"/>
            <w:tcBorders>
              <w:top w:val="nil"/>
              <w:left w:val="nil"/>
              <w:bottom w:val="single" w:sz="4" w:space="0" w:color="auto"/>
              <w:right w:val="single" w:sz="8" w:space="0" w:color="auto"/>
            </w:tcBorders>
            <w:shd w:val="clear" w:color="auto" w:fill="auto"/>
            <w:noWrap/>
            <w:vAlign w:val="center"/>
            <w:hideMark/>
          </w:tcPr>
          <w:p w14:paraId="2D318AB9" w14:textId="77777777" w:rsidR="0083779F" w:rsidRPr="0083779F" w:rsidRDefault="0083779F" w:rsidP="0083779F">
            <w:pPr>
              <w:pStyle w:val="Tablas"/>
            </w:pPr>
            <w:r w:rsidRPr="0083779F">
              <w:t>0.0589</w:t>
            </w:r>
          </w:p>
        </w:tc>
      </w:tr>
      <w:tr w:rsidR="0083779F" w:rsidRPr="0083779F" w14:paraId="2A6D9758"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EC7F42E" w14:textId="77777777" w:rsidR="0083779F" w:rsidRPr="0083779F" w:rsidRDefault="0083779F" w:rsidP="0083779F">
            <w:pPr>
              <w:pStyle w:val="Tablas"/>
            </w:pPr>
            <w:r w:rsidRPr="0083779F">
              <w:t>56</w:t>
            </w:r>
          </w:p>
        </w:tc>
        <w:tc>
          <w:tcPr>
            <w:tcW w:w="2097" w:type="dxa"/>
            <w:tcBorders>
              <w:top w:val="nil"/>
              <w:left w:val="nil"/>
              <w:bottom w:val="single" w:sz="4" w:space="0" w:color="auto"/>
              <w:right w:val="single" w:sz="4" w:space="0" w:color="auto"/>
            </w:tcBorders>
            <w:shd w:val="clear" w:color="auto" w:fill="auto"/>
            <w:noWrap/>
            <w:vAlign w:val="center"/>
            <w:hideMark/>
          </w:tcPr>
          <w:p w14:paraId="57EF8E3B" w14:textId="77777777" w:rsidR="0083779F" w:rsidRPr="0083779F" w:rsidRDefault="0083779F" w:rsidP="0083779F">
            <w:pPr>
              <w:pStyle w:val="Tablas"/>
            </w:pPr>
            <w:r w:rsidRPr="0083779F">
              <w:t>0.4700</w:t>
            </w:r>
          </w:p>
        </w:tc>
        <w:tc>
          <w:tcPr>
            <w:tcW w:w="1252" w:type="dxa"/>
            <w:tcBorders>
              <w:top w:val="nil"/>
              <w:left w:val="nil"/>
              <w:bottom w:val="single" w:sz="4" w:space="0" w:color="auto"/>
              <w:right w:val="single" w:sz="8" w:space="0" w:color="auto"/>
            </w:tcBorders>
            <w:shd w:val="clear" w:color="auto" w:fill="auto"/>
            <w:noWrap/>
            <w:vAlign w:val="center"/>
            <w:hideMark/>
          </w:tcPr>
          <w:p w14:paraId="1C3061A6" w14:textId="77777777" w:rsidR="0083779F" w:rsidRPr="0083779F" w:rsidRDefault="0083779F" w:rsidP="0083779F">
            <w:pPr>
              <w:pStyle w:val="Tablas"/>
            </w:pPr>
            <w:r w:rsidRPr="0083779F">
              <w:t>0.0256</w:t>
            </w:r>
          </w:p>
        </w:tc>
        <w:tc>
          <w:tcPr>
            <w:tcW w:w="2097" w:type="dxa"/>
            <w:tcBorders>
              <w:top w:val="nil"/>
              <w:left w:val="nil"/>
              <w:bottom w:val="single" w:sz="4" w:space="0" w:color="auto"/>
              <w:right w:val="single" w:sz="4" w:space="0" w:color="auto"/>
            </w:tcBorders>
            <w:shd w:val="clear" w:color="auto" w:fill="auto"/>
            <w:noWrap/>
            <w:vAlign w:val="center"/>
            <w:hideMark/>
          </w:tcPr>
          <w:p w14:paraId="071EEC95" w14:textId="77777777" w:rsidR="0083779F" w:rsidRPr="0083779F" w:rsidRDefault="0083779F" w:rsidP="0083779F">
            <w:pPr>
              <w:pStyle w:val="Tablas"/>
            </w:pPr>
            <w:r w:rsidRPr="0083779F">
              <w:t>0.4700</w:t>
            </w:r>
          </w:p>
        </w:tc>
        <w:tc>
          <w:tcPr>
            <w:tcW w:w="1252" w:type="dxa"/>
            <w:tcBorders>
              <w:top w:val="nil"/>
              <w:left w:val="nil"/>
              <w:bottom w:val="single" w:sz="4" w:space="0" w:color="auto"/>
              <w:right w:val="single" w:sz="8" w:space="0" w:color="auto"/>
            </w:tcBorders>
            <w:shd w:val="clear" w:color="auto" w:fill="auto"/>
            <w:noWrap/>
            <w:vAlign w:val="center"/>
            <w:hideMark/>
          </w:tcPr>
          <w:p w14:paraId="4866CA59" w14:textId="77777777" w:rsidR="0083779F" w:rsidRPr="0083779F" w:rsidRDefault="0083779F" w:rsidP="0083779F">
            <w:pPr>
              <w:pStyle w:val="Tablas"/>
            </w:pPr>
            <w:r w:rsidRPr="0083779F">
              <w:t>0.0619</w:t>
            </w:r>
          </w:p>
        </w:tc>
      </w:tr>
      <w:tr w:rsidR="0083779F" w:rsidRPr="0083779F" w14:paraId="04BDD934"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953CABC" w14:textId="77777777" w:rsidR="0083779F" w:rsidRPr="0083779F" w:rsidRDefault="0083779F" w:rsidP="0083779F">
            <w:pPr>
              <w:pStyle w:val="Tablas"/>
            </w:pPr>
            <w:r w:rsidRPr="0083779F">
              <w:t>57</w:t>
            </w:r>
          </w:p>
        </w:tc>
        <w:tc>
          <w:tcPr>
            <w:tcW w:w="2097" w:type="dxa"/>
            <w:tcBorders>
              <w:top w:val="nil"/>
              <w:left w:val="nil"/>
              <w:bottom w:val="single" w:sz="4" w:space="0" w:color="auto"/>
              <w:right w:val="single" w:sz="4" w:space="0" w:color="auto"/>
            </w:tcBorders>
            <w:shd w:val="clear" w:color="auto" w:fill="auto"/>
            <w:noWrap/>
            <w:vAlign w:val="center"/>
            <w:hideMark/>
          </w:tcPr>
          <w:p w14:paraId="2E9557E1" w14:textId="77777777" w:rsidR="0083779F" w:rsidRPr="0083779F" w:rsidRDefault="0083779F" w:rsidP="0083779F">
            <w:pPr>
              <w:pStyle w:val="Tablas"/>
            </w:pPr>
            <w:r w:rsidRPr="0083779F">
              <w:t>0.4900</w:t>
            </w:r>
          </w:p>
        </w:tc>
        <w:tc>
          <w:tcPr>
            <w:tcW w:w="1252" w:type="dxa"/>
            <w:tcBorders>
              <w:top w:val="nil"/>
              <w:left w:val="nil"/>
              <w:bottom w:val="single" w:sz="4" w:space="0" w:color="auto"/>
              <w:right w:val="single" w:sz="8" w:space="0" w:color="auto"/>
            </w:tcBorders>
            <w:shd w:val="clear" w:color="auto" w:fill="auto"/>
            <w:noWrap/>
            <w:vAlign w:val="center"/>
            <w:hideMark/>
          </w:tcPr>
          <w:p w14:paraId="32591474" w14:textId="77777777" w:rsidR="0083779F" w:rsidRPr="0083779F" w:rsidRDefault="0083779F" w:rsidP="0083779F">
            <w:pPr>
              <w:pStyle w:val="Tablas"/>
            </w:pPr>
            <w:r w:rsidRPr="0083779F">
              <w:t>0.0402</w:t>
            </w:r>
          </w:p>
        </w:tc>
        <w:tc>
          <w:tcPr>
            <w:tcW w:w="2097" w:type="dxa"/>
            <w:tcBorders>
              <w:top w:val="nil"/>
              <w:left w:val="nil"/>
              <w:bottom w:val="single" w:sz="4" w:space="0" w:color="auto"/>
              <w:right w:val="single" w:sz="4" w:space="0" w:color="auto"/>
            </w:tcBorders>
            <w:shd w:val="clear" w:color="auto" w:fill="auto"/>
            <w:noWrap/>
            <w:vAlign w:val="center"/>
            <w:hideMark/>
          </w:tcPr>
          <w:p w14:paraId="1E726515" w14:textId="77777777" w:rsidR="0083779F" w:rsidRPr="0083779F" w:rsidRDefault="0083779F" w:rsidP="0083779F">
            <w:pPr>
              <w:pStyle w:val="Tablas"/>
            </w:pPr>
            <w:r w:rsidRPr="0083779F">
              <w:t>0.4900</w:t>
            </w:r>
          </w:p>
        </w:tc>
        <w:tc>
          <w:tcPr>
            <w:tcW w:w="1252" w:type="dxa"/>
            <w:tcBorders>
              <w:top w:val="nil"/>
              <w:left w:val="nil"/>
              <w:bottom w:val="single" w:sz="4" w:space="0" w:color="auto"/>
              <w:right w:val="single" w:sz="8" w:space="0" w:color="auto"/>
            </w:tcBorders>
            <w:shd w:val="clear" w:color="auto" w:fill="auto"/>
            <w:noWrap/>
            <w:vAlign w:val="center"/>
            <w:hideMark/>
          </w:tcPr>
          <w:p w14:paraId="259CA049" w14:textId="77777777" w:rsidR="0083779F" w:rsidRPr="0083779F" w:rsidRDefault="0083779F" w:rsidP="0083779F">
            <w:pPr>
              <w:pStyle w:val="Tablas"/>
            </w:pPr>
            <w:r w:rsidRPr="0083779F">
              <w:t>0.0589</w:t>
            </w:r>
          </w:p>
        </w:tc>
      </w:tr>
      <w:tr w:rsidR="0083779F" w:rsidRPr="0083779F" w14:paraId="2776C44B"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2425AB7" w14:textId="77777777" w:rsidR="0083779F" w:rsidRPr="0083779F" w:rsidRDefault="0083779F" w:rsidP="0083779F">
            <w:pPr>
              <w:pStyle w:val="Tablas"/>
            </w:pPr>
            <w:r w:rsidRPr="0083779F">
              <w:t>58</w:t>
            </w:r>
          </w:p>
        </w:tc>
        <w:tc>
          <w:tcPr>
            <w:tcW w:w="2097" w:type="dxa"/>
            <w:tcBorders>
              <w:top w:val="nil"/>
              <w:left w:val="nil"/>
              <w:bottom w:val="single" w:sz="4" w:space="0" w:color="auto"/>
              <w:right w:val="single" w:sz="4" w:space="0" w:color="auto"/>
            </w:tcBorders>
            <w:shd w:val="clear" w:color="auto" w:fill="auto"/>
            <w:noWrap/>
            <w:vAlign w:val="center"/>
            <w:hideMark/>
          </w:tcPr>
          <w:p w14:paraId="469EC225" w14:textId="77777777" w:rsidR="0083779F" w:rsidRPr="0083779F" w:rsidRDefault="0083779F" w:rsidP="0083779F">
            <w:pPr>
              <w:pStyle w:val="Tablas"/>
            </w:pPr>
            <w:r w:rsidRPr="0083779F">
              <w:t>0.5000</w:t>
            </w:r>
          </w:p>
        </w:tc>
        <w:tc>
          <w:tcPr>
            <w:tcW w:w="1252" w:type="dxa"/>
            <w:tcBorders>
              <w:top w:val="nil"/>
              <w:left w:val="nil"/>
              <w:bottom w:val="single" w:sz="4" w:space="0" w:color="auto"/>
              <w:right w:val="single" w:sz="8" w:space="0" w:color="auto"/>
            </w:tcBorders>
            <w:shd w:val="clear" w:color="auto" w:fill="auto"/>
            <w:noWrap/>
            <w:vAlign w:val="center"/>
            <w:hideMark/>
          </w:tcPr>
          <w:p w14:paraId="538AF0F7" w14:textId="77777777" w:rsidR="0083779F" w:rsidRPr="0083779F" w:rsidRDefault="0083779F" w:rsidP="0083779F">
            <w:pPr>
              <w:pStyle w:val="Tablas"/>
            </w:pPr>
            <w:r w:rsidRPr="0083779F">
              <w:t>0.0571</w:t>
            </w:r>
          </w:p>
        </w:tc>
        <w:tc>
          <w:tcPr>
            <w:tcW w:w="2097" w:type="dxa"/>
            <w:tcBorders>
              <w:top w:val="nil"/>
              <w:left w:val="nil"/>
              <w:bottom w:val="single" w:sz="4" w:space="0" w:color="auto"/>
              <w:right w:val="single" w:sz="4" w:space="0" w:color="auto"/>
            </w:tcBorders>
            <w:shd w:val="clear" w:color="auto" w:fill="auto"/>
            <w:noWrap/>
            <w:vAlign w:val="center"/>
            <w:hideMark/>
          </w:tcPr>
          <w:p w14:paraId="144B1750" w14:textId="77777777" w:rsidR="0083779F" w:rsidRPr="0083779F" w:rsidRDefault="0083779F" w:rsidP="0083779F">
            <w:pPr>
              <w:pStyle w:val="Tablas"/>
            </w:pPr>
            <w:r w:rsidRPr="0083779F">
              <w:t>0.5000</w:t>
            </w:r>
          </w:p>
        </w:tc>
        <w:tc>
          <w:tcPr>
            <w:tcW w:w="1252" w:type="dxa"/>
            <w:tcBorders>
              <w:top w:val="nil"/>
              <w:left w:val="nil"/>
              <w:bottom w:val="single" w:sz="4" w:space="0" w:color="auto"/>
              <w:right w:val="single" w:sz="8" w:space="0" w:color="auto"/>
            </w:tcBorders>
            <w:shd w:val="clear" w:color="auto" w:fill="auto"/>
            <w:noWrap/>
            <w:vAlign w:val="center"/>
            <w:hideMark/>
          </w:tcPr>
          <w:p w14:paraId="1FCA1AE7" w14:textId="77777777" w:rsidR="0083779F" w:rsidRPr="0083779F" w:rsidRDefault="0083779F" w:rsidP="0083779F">
            <w:pPr>
              <w:pStyle w:val="Tablas"/>
            </w:pPr>
            <w:r w:rsidRPr="0083779F">
              <w:t>0.0507</w:t>
            </w:r>
          </w:p>
        </w:tc>
      </w:tr>
      <w:tr w:rsidR="0083779F" w:rsidRPr="0083779F" w14:paraId="49A02EF6"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25549D0" w14:textId="77777777" w:rsidR="0083779F" w:rsidRPr="0083779F" w:rsidRDefault="0083779F" w:rsidP="0083779F">
            <w:pPr>
              <w:pStyle w:val="Tablas"/>
            </w:pPr>
            <w:r w:rsidRPr="0083779F">
              <w:t>59</w:t>
            </w:r>
          </w:p>
        </w:tc>
        <w:tc>
          <w:tcPr>
            <w:tcW w:w="2097" w:type="dxa"/>
            <w:tcBorders>
              <w:top w:val="nil"/>
              <w:left w:val="nil"/>
              <w:bottom w:val="single" w:sz="4" w:space="0" w:color="auto"/>
              <w:right w:val="single" w:sz="4" w:space="0" w:color="auto"/>
            </w:tcBorders>
            <w:shd w:val="clear" w:color="auto" w:fill="auto"/>
            <w:noWrap/>
            <w:vAlign w:val="center"/>
            <w:hideMark/>
          </w:tcPr>
          <w:p w14:paraId="6CFD7EDC" w14:textId="77777777" w:rsidR="0083779F" w:rsidRPr="0083779F" w:rsidRDefault="0083779F" w:rsidP="0083779F">
            <w:pPr>
              <w:pStyle w:val="Tablas"/>
            </w:pPr>
            <w:r w:rsidRPr="0083779F">
              <w:t>0.5200</w:t>
            </w:r>
          </w:p>
        </w:tc>
        <w:tc>
          <w:tcPr>
            <w:tcW w:w="1252" w:type="dxa"/>
            <w:tcBorders>
              <w:top w:val="nil"/>
              <w:left w:val="nil"/>
              <w:bottom w:val="single" w:sz="4" w:space="0" w:color="auto"/>
              <w:right w:val="single" w:sz="8" w:space="0" w:color="auto"/>
            </w:tcBorders>
            <w:shd w:val="clear" w:color="auto" w:fill="auto"/>
            <w:noWrap/>
            <w:vAlign w:val="center"/>
            <w:hideMark/>
          </w:tcPr>
          <w:p w14:paraId="53F8B701" w14:textId="77777777" w:rsidR="0083779F" w:rsidRPr="0083779F" w:rsidRDefault="0083779F" w:rsidP="0083779F">
            <w:pPr>
              <w:pStyle w:val="Tablas"/>
            </w:pPr>
            <w:r w:rsidRPr="0083779F">
              <w:t>0.0733</w:t>
            </w:r>
          </w:p>
        </w:tc>
        <w:tc>
          <w:tcPr>
            <w:tcW w:w="2097" w:type="dxa"/>
            <w:tcBorders>
              <w:top w:val="nil"/>
              <w:left w:val="nil"/>
              <w:bottom w:val="single" w:sz="4" w:space="0" w:color="auto"/>
              <w:right w:val="single" w:sz="4" w:space="0" w:color="auto"/>
            </w:tcBorders>
            <w:shd w:val="clear" w:color="auto" w:fill="auto"/>
            <w:noWrap/>
            <w:vAlign w:val="center"/>
            <w:hideMark/>
          </w:tcPr>
          <w:p w14:paraId="07918F96" w14:textId="77777777" w:rsidR="0083779F" w:rsidRPr="0083779F" w:rsidRDefault="0083779F" w:rsidP="0083779F">
            <w:pPr>
              <w:pStyle w:val="Tablas"/>
            </w:pPr>
            <w:r w:rsidRPr="0083779F">
              <w:t>0.5200</w:t>
            </w:r>
          </w:p>
        </w:tc>
        <w:tc>
          <w:tcPr>
            <w:tcW w:w="1252" w:type="dxa"/>
            <w:tcBorders>
              <w:top w:val="nil"/>
              <w:left w:val="nil"/>
              <w:bottom w:val="single" w:sz="4" w:space="0" w:color="auto"/>
              <w:right w:val="single" w:sz="8" w:space="0" w:color="auto"/>
            </w:tcBorders>
            <w:shd w:val="clear" w:color="auto" w:fill="auto"/>
            <w:noWrap/>
            <w:vAlign w:val="center"/>
            <w:hideMark/>
          </w:tcPr>
          <w:p w14:paraId="763E2862" w14:textId="77777777" w:rsidR="0083779F" w:rsidRPr="0083779F" w:rsidRDefault="0083779F" w:rsidP="0083779F">
            <w:pPr>
              <w:pStyle w:val="Tablas"/>
            </w:pPr>
            <w:r w:rsidRPr="0083779F">
              <w:t>0.0395</w:t>
            </w:r>
          </w:p>
        </w:tc>
      </w:tr>
      <w:tr w:rsidR="0083779F" w:rsidRPr="0083779F" w14:paraId="3CABA30C"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1367AD8" w14:textId="77777777" w:rsidR="0083779F" w:rsidRPr="0083779F" w:rsidRDefault="0083779F" w:rsidP="0083779F">
            <w:pPr>
              <w:pStyle w:val="Tablas"/>
            </w:pPr>
            <w:r w:rsidRPr="0083779F">
              <w:t>60</w:t>
            </w:r>
          </w:p>
        </w:tc>
        <w:tc>
          <w:tcPr>
            <w:tcW w:w="2097" w:type="dxa"/>
            <w:tcBorders>
              <w:top w:val="nil"/>
              <w:left w:val="nil"/>
              <w:bottom w:val="single" w:sz="4" w:space="0" w:color="auto"/>
              <w:right w:val="single" w:sz="4" w:space="0" w:color="auto"/>
            </w:tcBorders>
            <w:shd w:val="clear" w:color="auto" w:fill="auto"/>
            <w:noWrap/>
            <w:vAlign w:val="center"/>
            <w:hideMark/>
          </w:tcPr>
          <w:p w14:paraId="42138463" w14:textId="77777777" w:rsidR="0083779F" w:rsidRPr="0083779F" w:rsidRDefault="0083779F" w:rsidP="0083779F">
            <w:pPr>
              <w:pStyle w:val="Tablas"/>
            </w:pPr>
            <w:r w:rsidRPr="0083779F">
              <w:t>0.5300</w:t>
            </w:r>
          </w:p>
        </w:tc>
        <w:tc>
          <w:tcPr>
            <w:tcW w:w="1252" w:type="dxa"/>
            <w:tcBorders>
              <w:top w:val="nil"/>
              <w:left w:val="nil"/>
              <w:bottom w:val="single" w:sz="4" w:space="0" w:color="auto"/>
              <w:right w:val="single" w:sz="8" w:space="0" w:color="auto"/>
            </w:tcBorders>
            <w:shd w:val="clear" w:color="auto" w:fill="auto"/>
            <w:noWrap/>
            <w:vAlign w:val="center"/>
            <w:hideMark/>
          </w:tcPr>
          <w:p w14:paraId="01CAB498" w14:textId="77777777" w:rsidR="0083779F" w:rsidRPr="0083779F" w:rsidRDefault="0083779F" w:rsidP="0083779F">
            <w:pPr>
              <w:pStyle w:val="Tablas"/>
            </w:pPr>
            <w:r w:rsidRPr="0083779F">
              <w:t>0.0851</w:t>
            </w:r>
          </w:p>
        </w:tc>
        <w:tc>
          <w:tcPr>
            <w:tcW w:w="2097" w:type="dxa"/>
            <w:tcBorders>
              <w:top w:val="nil"/>
              <w:left w:val="nil"/>
              <w:bottom w:val="single" w:sz="4" w:space="0" w:color="auto"/>
              <w:right w:val="single" w:sz="4" w:space="0" w:color="auto"/>
            </w:tcBorders>
            <w:shd w:val="clear" w:color="auto" w:fill="auto"/>
            <w:noWrap/>
            <w:vAlign w:val="center"/>
            <w:hideMark/>
          </w:tcPr>
          <w:p w14:paraId="587ECA8A" w14:textId="77777777" w:rsidR="0083779F" w:rsidRPr="0083779F" w:rsidRDefault="0083779F" w:rsidP="0083779F">
            <w:pPr>
              <w:pStyle w:val="Tablas"/>
            </w:pPr>
            <w:r w:rsidRPr="0083779F">
              <w:t>0.5300</w:t>
            </w:r>
          </w:p>
        </w:tc>
        <w:tc>
          <w:tcPr>
            <w:tcW w:w="1252" w:type="dxa"/>
            <w:tcBorders>
              <w:top w:val="nil"/>
              <w:left w:val="nil"/>
              <w:bottom w:val="single" w:sz="4" w:space="0" w:color="auto"/>
              <w:right w:val="single" w:sz="8" w:space="0" w:color="auto"/>
            </w:tcBorders>
            <w:shd w:val="clear" w:color="auto" w:fill="auto"/>
            <w:noWrap/>
            <w:vAlign w:val="center"/>
            <w:hideMark/>
          </w:tcPr>
          <w:p w14:paraId="132CE721" w14:textId="77777777" w:rsidR="0083779F" w:rsidRPr="0083779F" w:rsidRDefault="0083779F" w:rsidP="0083779F">
            <w:pPr>
              <w:pStyle w:val="Tablas"/>
            </w:pPr>
            <w:r w:rsidRPr="0083779F">
              <w:t>1.0000</w:t>
            </w:r>
          </w:p>
        </w:tc>
      </w:tr>
      <w:tr w:rsidR="0083779F" w:rsidRPr="0083779F" w14:paraId="1BE1FA2D"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F9AD6D5" w14:textId="77777777" w:rsidR="0083779F" w:rsidRPr="0083779F" w:rsidRDefault="0083779F" w:rsidP="0083779F">
            <w:pPr>
              <w:pStyle w:val="Tablas"/>
            </w:pPr>
            <w:r w:rsidRPr="0083779F">
              <w:lastRenderedPageBreak/>
              <w:t>61</w:t>
            </w:r>
          </w:p>
        </w:tc>
        <w:tc>
          <w:tcPr>
            <w:tcW w:w="2097" w:type="dxa"/>
            <w:tcBorders>
              <w:top w:val="nil"/>
              <w:left w:val="nil"/>
              <w:bottom w:val="single" w:sz="4" w:space="0" w:color="auto"/>
              <w:right w:val="single" w:sz="4" w:space="0" w:color="auto"/>
            </w:tcBorders>
            <w:shd w:val="clear" w:color="auto" w:fill="auto"/>
            <w:noWrap/>
            <w:vAlign w:val="center"/>
            <w:hideMark/>
          </w:tcPr>
          <w:p w14:paraId="12306A32" w14:textId="77777777" w:rsidR="0083779F" w:rsidRPr="0083779F" w:rsidRDefault="0083779F" w:rsidP="0083779F">
            <w:pPr>
              <w:pStyle w:val="Tablas"/>
            </w:pPr>
            <w:r w:rsidRPr="0083779F">
              <w:t>0.5400</w:t>
            </w:r>
          </w:p>
        </w:tc>
        <w:tc>
          <w:tcPr>
            <w:tcW w:w="1252" w:type="dxa"/>
            <w:tcBorders>
              <w:top w:val="nil"/>
              <w:left w:val="nil"/>
              <w:bottom w:val="single" w:sz="4" w:space="0" w:color="auto"/>
              <w:right w:val="single" w:sz="8" w:space="0" w:color="auto"/>
            </w:tcBorders>
            <w:shd w:val="clear" w:color="auto" w:fill="auto"/>
            <w:noWrap/>
            <w:vAlign w:val="center"/>
            <w:hideMark/>
          </w:tcPr>
          <w:p w14:paraId="6666B835" w14:textId="77777777" w:rsidR="0083779F" w:rsidRPr="0083779F" w:rsidRDefault="0083779F" w:rsidP="0083779F">
            <w:pPr>
              <w:pStyle w:val="Tablas"/>
            </w:pPr>
            <w:r w:rsidRPr="0083779F">
              <w:t>0.0895</w:t>
            </w:r>
          </w:p>
        </w:tc>
        <w:tc>
          <w:tcPr>
            <w:tcW w:w="2097" w:type="dxa"/>
            <w:tcBorders>
              <w:top w:val="nil"/>
              <w:left w:val="nil"/>
              <w:bottom w:val="single" w:sz="4" w:space="0" w:color="auto"/>
              <w:right w:val="single" w:sz="4" w:space="0" w:color="auto"/>
            </w:tcBorders>
            <w:shd w:val="clear" w:color="auto" w:fill="auto"/>
            <w:noWrap/>
            <w:vAlign w:val="center"/>
            <w:hideMark/>
          </w:tcPr>
          <w:p w14:paraId="0DB5C45D" w14:textId="77777777" w:rsidR="0083779F" w:rsidRPr="0083779F" w:rsidRDefault="0083779F" w:rsidP="0083779F">
            <w:pPr>
              <w:pStyle w:val="Tablas"/>
            </w:pPr>
            <w:r w:rsidRPr="0083779F">
              <w:t>0.5400</w:t>
            </w:r>
          </w:p>
        </w:tc>
        <w:tc>
          <w:tcPr>
            <w:tcW w:w="1252" w:type="dxa"/>
            <w:tcBorders>
              <w:top w:val="nil"/>
              <w:left w:val="nil"/>
              <w:bottom w:val="single" w:sz="4" w:space="0" w:color="auto"/>
              <w:right w:val="single" w:sz="8" w:space="0" w:color="auto"/>
            </w:tcBorders>
            <w:shd w:val="clear" w:color="auto" w:fill="auto"/>
            <w:noWrap/>
            <w:vAlign w:val="center"/>
            <w:hideMark/>
          </w:tcPr>
          <w:p w14:paraId="113AE7F9" w14:textId="77777777" w:rsidR="0083779F" w:rsidRPr="0083779F" w:rsidRDefault="0083779F" w:rsidP="0083779F">
            <w:pPr>
              <w:pStyle w:val="Tablas"/>
            </w:pPr>
            <w:r w:rsidRPr="0083779F">
              <w:t>1.0000</w:t>
            </w:r>
          </w:p>
        </w:tc>
      </w:tr>
      <w:tr w:rsidR="0083779F" w:rsidRPr="0083779F" w14:paraId="2B5C04A0"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7474519" w14:textId="77777777" w:rsidR="0083779F" w:rsidRPr="0083779F" w:rsidRDefault="0083779F" w:rsidP="0083779F">
            <w:pPr>
              <w:pStyle w:val="Tablas"/>
            </w:pPr>
            <w:r w:rsidRPr="0083779F">
              <w:t>62</w:t>
            </w:r>
          </w:p>
        </w:tc>
        <w:tc>
          <w:tcPr>
            <w:tcW w:w="2097" w:type="dxa"/>
            <w:tcBorders>
              <w:top w:val="nil"/>
              <w:left w:val="nil"/>
              <w:bottom w:val="single" w:sz="4" w:space="0" w:color="auto"/>
              <w:right w:val="single" w:sz="4" w:space="0" w:color="auto"/>
            </w:tcBorders>
            <w:shd w:val="clear" w:color="auto" w:fill="auto"/>
            <w:noWrap/>
            <w:vAlign w:val="center"/>
            <w:hideMark/>
          </w:tcPr>
          <w:p w14:paraId="1432A521" w14:textId="77777777" w:rsidR="0083779F" w:rsidRPr="0083779F" w:rsidRDefault="0083779F" w:rsidP="0083779F">
            <w:pPr>
              <w:pStyle w:val="Tablas"/>
            </w:pPr>
            <w:r w:rsidRPr="0083779F">
              <w:t>0.5500</w:t>
            </w:r>
          </w:p>
        </w:tc>
        <w:tc>
          <w:tcPr>
            <w:tcW w:w="1252" w:type="dxa"/>
            <w:tcBorders>
              <w:top w:val="nil"/>
              <w:left w:val="nil"/>
              <w:bottom w:val="single" w:sz="4" w:space="0" w:color="auto"/>
              <w:right w:val="single" w:sz="8" w:space="0" w:color="auto"/>
            </w:tcBorders>
            <w:shd w:val="clear" w:color="auto" w:fill="auto"/>
            <w:noWrap/>
            <w:vAlign w:val="center"/>
            <w:hideMark/>
          </w:tcPr>
          <w:p w14:paraId="75F59CAE" w14:textId="77777777" w:rsidR="0083779F" w:rsidRPr="0083779F" w:rsidRDefault="0083779F" w:rsidP="0083779F">
            <w:pPr>
              <w:pStyle w:val="Tablas"/>
            </w:pPr>
            <w:r w:rsidRPr="0083779F">
              <w:t>0.0851</w:t>
            </w:r>
          </w:p>
        </w:tc>
        <w:tc>
          <w:tcPr>
            <w:tcW w:w="2097" w:type="dxa"/>
            <w:tcBorders>
              <w:top w:val="nil"/>
              <w:left w:val="nil"/>
              <w:bottom w:val="single" w:sz="4" w:space="0" w:color="auto"/>
              <w:right w:val="single" w:sz="4" w:space="0" w:color="auto"/>
            </w:tcBorders>
            <w:shd w:val="clear" w:color="auto" w:fill="auto"/>
            <w:noWrap/>
            <w:vAlign w:val="center"/>
            <w:hideMark/>
          </w:tcPr>
          <w:p w14:paraId="6A88BA2A" w14:textId="77777777" w:rsidR="0083779F" w:rsidRPr="0083779F" w:rsidRDefault="0083779F" w:rsidP="0083779F">
            <w:pPr>
              <w:pStyle w:val="Tablas"/>
            </w:pPr>
            <w:r w:rsidRPr="0083779F">
              <w:t>0.5500</w:t>
            </w:r>
          </w:p>
        </w:tc>
        <w:tc>
          <w:tcPr>
            <w:tcW w:w="1252" w:type="dxa"/>
            <w:tcBorders>
              <w:top w:val="nil"/>
              <w:left w:val="nil"/>
              <w:bottom w:val="single" w:sz="4" w:space="0" w:color="auto"/>
              <w:right w:val="single" w:sz="8" w:space="0" w:color="auto"/>
            </w:tcBorders>
            <w:shd w:val="clear" w:color="auto" w:fill="auto"/>
            <w:noWrap/>
            <w:vAlign w:val="center"/>
            <w:hideMark/>
          </w:tcPr>
          <w:p w14:paraId="1A5AE04F" w14:textId="77777777" w:rsidR="0083779F" w:rsidRPr="0083779F" w:rsidRDefault="0083779F" w:rsidP="0083779F">
            <w:pPr>
              <w:pStyle w:val="Tablas"/>
            </w:pPr>
            <w:r w:rsidRPr="0083779F">
              <w:t>1.0000</w:t>
            </w:r>
          </w:p>
        </w:tc>
      </w:tr>
      <w:tr w:rsidR="0083779F" w:rsidRPr="0083779F" w14:paraId="530F6D2A"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42A445F" w14:textId="77777777" w:rsidR="0083779F" w:rsidRPr="0083779F" w:rsidRDefault="0083779F" w:rsidP="0083779F">
            <w:pPr>
              <w:pStyle w:val="Tablas"/>
            </w:pPr>
            <w:r w:rsidRPr="0083779F">
              <w:t>63</w:t>
            </w:r>
          </w:p>
        </w:tc>
        <w:tc>
          <w:tcPr>
            <w:tcW w:w="2097" w:type="dxa"/>
            <w:tcBorders>
              <w:top w:val="nil"/>
              <w:left w:val="nil"/>
              <w:bottom w:val="single" w:sz="4" w:space="0" w:color="auto"/>
              <w:right w:val="single" w:sz="4" w:space="0" w:color="auto"/>
            </w:tcBorders>
            <w:shd w:val="clear" w:color="auto" w:fill="auto"/>
            <w:noWrap/>
            <w:vAlign w:val="center"/>
            <w:hideMark/>
          </w:tcPr>
          <w:p w14:paraId="648DA69C" w14:textId="77777777" w:rsidR="0083779F" w:rsidRPr="0083779F" w:rsidRDefault="0083779F" w:rsidP="0083779F">
            <w:pPr>
              <w:pStyle w:val="Tablas"/>
            </w:pPr>
            <w:r w:rsidRPr="0083779F">
              <w:t>0.5600</w:t>
            </w:r>
          </w:p>
        </w:tc>
        <w:tc>
          <w:tcPr>
            <w:tcW w:w="1252" w:type="dxa"/>
            <w:tcBorders>
              <w:top w:val="nil"/>
              <w:left w:val="nil"/>
              <w:bottom w:val="single" w:sz="4" w:space="0" w:color="auto"/>
              <w:right w:val="single" w:sz="8" w:space="0" w:color="auto"/>
            </w:tcBorders>
            <w:shd w:val="clear" w:color="auto" w:fill="auto"/>
            <w:noWrap/>
            <w:vAlign w:val="center"/>
            <w:hideMark/>
          </w:tcPr>
          <w:p w14:paraId="293D8E0F" w14:textId="77777777" w:rsidR="0083779F" w:rsidRPr="0083779F" w:rsidRDefault="0083779F" w:rsidP="0083779F">
            <w:pPr>
              <w:pStyle w:val="Tablas"/>
            </w:pPr>
            <w:r w:rsidRPr="0083779F">
              <w:t>0.0733</w:t>
            </w:r>
          </w:p>
        </w:tc>
        <w:tc>
          <w:tcPr>
            <w:tcW w:w="2097" w:type="dxa"/>
            <w:tcBorders>
              <w:top w:val="nil"/>
              <w:left w:val="nil"/>
              <w:bottom w:val="single" w:sz="4" w:space="0" w:color="auto"/>
              <w:right w:val="single" w:sz="4" w:space="0" w:color="auto"/>
            </w:tcBorders>
            <w:shd w:val="clear" w:color="auto" w:fill="auto"/>
            <w:noWrap/>
            <w:vAlign w:val="center"/>
            <w:hideMark/>
          </w:tcPr>
          <w:p w14:paraId="397F91B1" w14:textId="77777777" w:rsidR="0083779F" w:rsidRPr="0083779F" w:rsidRDefault="0083779F" w:rsidP="0083779F">
            <w:pPr>
              <w:pStyle w:val="Tablas"/>
            </w:pPr>
            <w:r w:rsidRPr="0083779F">
              <w:t>0.5600</w:t>
            </w:r>
          </w:p>
        </w:tc>
        <w:tc>
          <w:tcPr>
            <w:tcW w:w="1252" w:type="dxa"/>
            <w:tcBorders>
              <w:top w:val="nil"/>
              <w:left w:val="nil"/>
              <w:bottom w:val="single" w:sz="4" w:space="0" w:color="auto"/>
              <w:right w:val="single" w:sz="8" w:space="0" w:color="auto"/>
            </w:tcBorders>
            <w:shd w:val="clear" w:color="auto" w:fill="auto"/>
            <w:noWrap/>
            <w:vAlign w:val="center"/>
            <w:hideMark/>
          </w:tcPr>
          <w:p w14:paraId="6E050EA3" w14:textId="77777777" w:rsidR="0083779F" w:rsidRPr="0083779F" w:rsidRDefault="0083779F" w:rsidP="0083779F">
            <w:pPr>
              <w:pStyle w:val="Tablas"/>
            </w:pPr>
            <w:r w:rsidRPr="0083779F">
              <w:t>1.0000</w:t>
            </w:r>
          </w:p>
        </w:tc>
      </w:tr>
      <w:tr w:rsidR="0083779F" w:rsidRPr="0083779F" w14:paraId="336E65A3" w14:textId="77777777" w:rsidTr="0083779F">
        <w:trPr>
          <w:trHeight w:val="293"/>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1DBB81B" w14:textId="77777777" w:rsidR="0083779F" w:rsidRPr="0083779F" w:rsidRDefault="0083779F" w:rsidP="0083779F">
            <w:pPr>
              <w:pStyle w:val="Tablas"/>
            </w:pPr>
            <w:r w:rsidRPr="0083779F">
              <w:t>64</w:t>
            </w:r>
          </w:p>
        </w:tc>
        <w:tc>
          <w:tcPr>
            <w:tcW w:w="2097" w:type="dxa"/>
            <w:tcBorders>
              <w:top w:val="nil"/>
              <w:left w:val="nil"/>
              <w:bottom w:val="single" w:sz="4" w:space="0" w:color="auto"/>
              <w:right w:val="single" w:sz="4" w:space="0" w:color="auto"/>
            </w:tcBorders>
            <w:shd w:val="clear" w:color="auto" w:fill="auto"/>
            <w:noWrap/>
            <w:vAlign w:val="center"/>
            <w:hideMark/>
          </w:tcPr>
          <w:p w14:paraId="3532A11A" w14:textId="77777777" w:rsidR="0083779F" w:rsidRPr="0083779F" w:rsidRDefault="0083779F" w:rsidP="0083779F">
            <w:pPr>
              <w:pStyle w:val="Tablas"/>
            </w:pPr>
            <w:r w:rsidRPr="0083779F">
              <w:t>0.5700</w:t>
            </w:r>
          </w:p>
        </w:tc>
        <w:tc>
          <w:tcPr>
            <w:tcW w:w="1252" w:type="dxa"/>
            <w:tcBorders>
              <w:top w:val="nil"/>
              <w:left w:val="nil"/>
              <w:bottom w:val="single" w:sz="4" w:space="0" w:color="auto"/>
              <w:right w:val="single" w:sz="8" w:space="0" w:color="auto"/>
            </w:tcBorders>
            <w:shd w:val="clear" w:color="auto" w:fill="auto"/>
            <w:noWrap/>
            <w:vAlign w:val="center"/>
            <w:hideMark/>
          </w:tcPr>
          <w:p w14:paraId="725B2C3F" w14:textId="77777777" w:rsidR="0083779F" w:rsidRPr="0083779F" w:rsidRDefault="0083779F" w:rsidP="0083779F">
            <w:pPr>
              <w:pStyle w:val="Tablas"/>
            </w:pPr>
            <w:r w:rsidRPr="0083779F">
              <w:t>0.0571</w:t>
            </w:r>
          </w:p>
        </w:tc>
        <w:tc>
          <w:tcPr>
            <w:tcW w:w="2097" w:type="dxa"/>
            <w:tcBorders>
              <w:top w:val="nil"/>
              <w:left w:val="nil"/>
              <w:bottom w:val="single" w:sz="4" w:space="0" w:color="auto"/>
              <w:right w:val="single" w:sz="4" w:space="0" w:color="auto"/>
            </w:tcBorders>
            <w:shd w:val="clear" w:color="auto" w:fill="auto"/>
            <w:noWrap/>
            <w:vAlign w:val="center"/>
            <w:hideMark/>
          </w:tcPr>
          <w:p w14:paraId="2EBD69DE" w14:textId="77777777" w:rsidR="0083779F" w:rsidRPr="0083779F" w:rsidRDefault="0083779F" w:rsidP="0083779F">
            <w:pPr>
              <w:pStyle w:val="Tablas"/>
            </w:pPr>
            <w:r w:rsidRPr="0083779F">
              <w:t>0.5700</w:t>
            </w:r>
          </w:p>
        </w:tc>
        <w:tc>
          <w:tcPr>
            <w:tcW w:w="1252" w:type="dxa"/>
            <w:tcBorders>
              <w:top w:val="nil"/>
              <w:left w:val="nil"/>
              <w:bottom w:val="single" w:sz="4" w:space="0" w:color="auto"/>
              <w:right w:val="single" w:sz="8" w:space="0" w:color="auto"/>
            </w:tcBorders>
            <w:shd w:val="clear" w:color="auto" w:fill="auto"/>
            <w:noWrap/>
            <w:vAlign w:val="center"/>
            <w:hideMark/>
          </w:tcPr>
          <w:p w14:paraId="33934297" w14:textId="77777777" w:rsidR="0083779F" w:rsidRPr="0083779F" w:rsidRDefault="0083779F" w:rsidP="0083779F">
            <w:pPr>
              <w:pStyle w:val="Tablas"/>
            </w:pPr>
            <w:r w:rsidRPr="0083779F">
              <w:t>1.0000</w:t>
            </w:r>
          </w:p>
        </w:tc>
      </w:tr>
      <w:tr w:rsidR="0083779F" w:rsidRPr="0083779F" w14:paraId="459C2EA8" w14:textId="77777777" w:rsidTr="0083779F">
        <w:trPr>
          <w:trHeight w:val="285"/>
          <w:jc w:val="center"/>
        </w:trPr>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D3DDC55" w14:textId="77777777" w:rsidR="0083779F" w:rsidRPr="0083779F" w:rsidRDefault="0083779F" w:rsidP="0083779F">
            <w:pPr>
              <w:pStyle w:val="Tablas"/>
            </w:pPr>
            <w:r w:rsidRPr="0083779F">
              <w:t>65</w:t>
            </w:r>
          </w:p>
        </w:tc>
        <w:tc>
          <w:tcPr>
            <w:tcW w:w="2097" w:type="dxa"/>
            <w:tcBorders>
              <w:top w:val="nil"/>
              <w:left w:val="nil"/>
              <w:bottom w:val="single" w:sz="4" w:space="0" w:color="auto"/>
              <w:right w:val="single" w:sz="4" w:space="0" w:color="auto"/>
            </w:tcBorders>
            <w:shd w:val="clear" w:color="auto" w:fill="auto"/>
            <w:noWrap/>
            <w:vAlign w:val="center"/>
            <w:hideMark/>
          </w:tcPr>
          <w:p w14:paraId="393A729C" w14:textId="77777777" w:rsidR="0083779F" w:rsidRPr="0083779F" w:rsidRDefault="0083779F" w:rsidP="0083779F">
            <w:pPr>
              <w:pStyle w:val="Tablas"/>
            </w:pPr>
            <w:r w:rsidRPr="0083779F">
              <w:t>0.5800</w:t>
            </w:r>
          </w:p>
        </w:tc>
        <w:tc>
          <w:tcPr>
            <w:tcW w:w="1252" w:type="dxa"/>
            <w:tcBorders>
              <w:top w:val="nil"/>
              <w:left w:val="nil"/>
              <w:bottom w:val="single" w:sz="4" w:space="0" w:color="auto"/>
              <w:right w:val="single" w:sz="8" w:space="0" w:color="auto"/>
            </w:tcBorders>
            <w:shd w:val="clear" w:color="auto" w:fill="auto"/>
            <w:noWrap/>
            <w:vAlign w:val="center"/>
            <w:hideMark/>
          </w:tcPr>
          <w:p w14:paraId="124B9A53" w14:textId="77777777" w:rsidR="0083779F" w:rsidRPr="0083779F" w:rsidRDefault="0083779F" w:rsidP="0083779F">
            <w:pPr>
              <w:pStyle w:val="Tablas"/>
            </w:pPr>
            <w:r w:rsidRPr="0083779F">
              <w:t>1.0000</w:t>
            </w:r>
          </w:p>
        </w:tc>
        <w:tc>
          <w:tcPr>
            <w:tcW w:w="2097" w:type="dxa"/>
            <w:tcBorders>
              <w:top w:val="nil"/>
              <w:left w:val="nil"/>
              <w:bottom w:val="single" w:sz="4" w:space="0" w:color="auto"/>
              <w:right w:val="single" w:sz="4" w:space="0" w:color="auto"/>
            </w:tcBorders>
            <w:shd w:val="clear" w:color="auto" w:fill="auto"/>
            <w:noWrap/>
            <w:vAlign w:val="center"/>
            <w:hideMark/>
          </w:tcPr>
          <w:p w14:paraId="796C18D9" w14:textId="77777777" w:rsidR="0083779F" w:rsidRPr="0083779F" w:rsidRDefault="0083779F" w:rsidP="0083779F">
            <w:pPr>
              <w:pStyle w:val="Tablas"/>
            </w:pPr>
            <w:r w:rsidRPr="0083779F">
              <w:t>0.5800</w:t>
            </w:r>
          </w:p>
        </w:tc>
        <w:tc>
          <w:tcPr>
            <w:tcW w:w="1252" w:type="dxa"/>
            <w:tcBorders>
              <w:top w:val="nil"/>
              <w:left w:val="nil"/>
              <w:bottom w:val="single" w:sz="4" w:space="0" w:color="auto"/>
              <w:right w:val="single" w:sz="8" w:space="0" w:color="auto"/>
            </w:tcBorders>
            <w:shd w:val="clear" w:color="auto" w:fill="auto"/>
            <w:noWrap/>
            <w:vAlign w:val="center"/>
            <w:hideMark/>
          </w:tcPr>
          <w:p w14:paraId="43022D99" w14:textId="77777777" w:rsidR="0083779F" w:rsidRPr="0083779F" w:rsidRDefault="0083779F" w:rsidP="0083779F">
            <w:pPr>
              <w:pStyle w:val="Tablas"/>
            </w:pPr>
            <w:r w:rsidRPr="0083779F">
              <w:t>1.0000</w:t>
            </w:r>
          </w:p>
        </w:tc>
      </w:tr>
      <w:tr w:rsidR="0083779F" w:rsidRPr="0083779F" w14:paraId="13EC9024" w14:textId="77777777" w:rsidTr="0083779F">
        <w:trPr>
          <w:trHeight w:val="293"/>
          <w:jc w:val="center"/>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13B6C856" w14:textId="77777777" w:rsidR="0083779F" w:rsidRPr="0083779F" w:rsidRDefault="0083779F" w:rsidP="0083779F">
            <w:pPr>
              <w:pStyle w:val="Tablas"/>
            </w:pPr>
            <w:r w:rsidRPr="0083779F">
              <w:t>66</w:t>
            </w:r>
          </w:p>
        </w:tc>
        <w:tc>
          <w:tcPr>
            <w:tcW w:w="2097" w:type="dxa"/>
            <w:tcBorders>
              <w:top w:val="nil"/>
              <w:left w:val="nil"/>
              <w:bottom w:val="single" w:sz="8" w:space="0" w:color="auto"/>
              <w:right w:val="single" w:sz="4" w:space="0" w:color="auto"/>
            </w:tcBorders>
            <w:shd w:val="clear" w:color="auto" w:fill="auto"/>
            <w:noWrap/>
            <w:vAlign w:val="center"/>
            <w:hideMark/>
          </w:tcPr>
          <w:p w14:paraId="663054E5" w14:textId="77777777" w:rsidR="0083779F" w:rsidRPr="0083779F" w:rsidRDefault="0083779F" w:rsidP="0083779F">
            <w:pPr>
              <w:pStyle w:val="Tablas"/>
            </w:pPr>
            <w:r w:rsidRPr="0083779F">
              <w:t>1.0000</w:t>
            </w:r>
          </w:p>
        </w:tc>
        <w:tc>
          <w:tcPr>
            <w:tcW w:w="1252" w:type="dxa"/>
            <w:tcBorders>
              <w:top w:val="nil"/>
              <w:left w:val="nil"/>
              <w:bottom w:val="single" w:sz="8" w:space="0" w:color="auto"/>
              <w:right w:val="single" w:sz="8" w:space="0" w:color="auto"/>
            </w:tcBorders>
            <w:shd w:val="clear" w:color="auto" w:fill="auto"/>
            <w:noWrap/>
            <w:vAlign w:val="center"/>
            <w:hideMark/>
          </w:tcPr>
          <w:p w14:paraId="6735C43C" w14:textId="77777777" w:rsidR="0083779F" w:rsidRPr="0083779F" w:rsidRDefault="0083779F" w:rsidP="0083779F">
            <w:pPr>
              <w:pStyle w:val="Tablas"/>
            </w:pPr>
            <w:r w:rsidRPr="0083779F">
              <w:t>1.0000</w:t>
            </w:r>
          </w:p>
        </w:tc>
        <w:tc>
          <w:tcPr>
            <w:tcW w:w="2097" w:type="dxa"/>
            <w:tcBorders>
              <w:top w:val="nil"/>
              <w:left w:val="nil"/>
              <w:bottom w:val="single" w:sz="8" w:space="0" w:color="auto"/>
              <w:right w:val="single" w:sz="4" w:space="0" w:color="auto"/>
            </w:tcBorders>
            <w:shd w:val="clear" w:color="auto" w:fill="auto"/>
            <w:noWrap/>
            <w:vAlign w:val="center"/>
            <w:hideMark/>
          </w:tcPr>
          <w:p w14:paraId="14B612FB" w14:textId="77777777" w:rsidR="0083779F" w:rsidRPr="0083779F" w:rsidRDefault="0083779F" w:rsidP="0083779F">
            <w:pPr>
              <w:pStyle w:val="Tablas"/>
            </w:pPr>
            <w:r w:rsidRPr="0083779F">
              <w:t>1.0000</w:t>
            </w:r>
          </w:p>
        </w:tc>
        <w:tc>
          <w:tcPr>
            <w:tcW w:w="1252" w:type="dxa"/>
            <w:tcBorders>
              <w:top w:val="nil"/>
              <w:left w:val="nil"/>
              <w:bottom w:val="single" w:sz="8" w:space="0" w:color="auto"/>
              <w:right w:val="single" w:sz="8" w:space="0" w:color="auto"/>
            </w:tcBorders>
            <w:shd w:val="clear" w:color="auto" w:fill="auto"/>
            <w:noWrap/>
            <w:vAlign w:val="center"/>
            <w:hideMark/>
          </w:tcPr>
          <w:p w14:paraId="2802F137" w14:textId="77777777" w:rsidR="0083779F" w:rsidRPr="0083779F" w:rsidRDefault="0083779F" w:rsidP="0083779F">
            <w:pPr>
              <w:pStyle w:val="Tablas"/>
            </w:pPr>
            <w:r w:rsidRPr="0083779F">
              <w:t>1.0000</w:t>
            </w:r>
          </w:p>
        </w:tc>
      </w:tr>
    </w:tbl>
    <w:p w14:paraId="638C1B9F" w14:textId="77777777" w:rsidR="009E1E40" w:rsidRDefault="009E1E40" w:rsidP="00C94000">
      <w:pPr>
        <w:pStyle w:val="Grfico"/>
      </w:pPr>
    </w:p>
    <w:p w14:paraId="6E7E29FB" w14:textId="77777777" w:rsidR="002867A7" w:rsidRPr="00C56EC9" w:rsidRDefault="002867A7" w:rsidP="00AB47C8">
      <w:pPr>
        <w:rPr>
          <w:lang w:val="es-419"/>
        </w:rPr>
      </w:pPr>
    </w:p>
    <w:p w14:paraId="722AA57D" w14:textId="599CC475" w:rsidR="001C5910" w:rsidRPr="00C56EC9" w:rsidRDefault="00615FD0" w:rsidP="00AB47C8">
      <w:pPr>
        <w:rPr>
          <w:b/>
          <w:bCs/>
          <w:lang w:val="es-419"/>
        </w:rPr>
      </w:pPr>
      <w:r w:rsidRPr="00C56EC9">
        <w:rPr>
          <w:b/>
          <w:bCs/>
          <w:lang w:val="es-419"/>
        </w:rPr>
        <w:t xml:space="preserve">Factores de </w:t>
      </w:r>
      <w:proofErr w:type="spellStart"/>
      <w:r w:rsidRPr="00C56EC9">
        <w:rPr>
          <w:b/>
          <w:bCs/>
          <w:lang w:val="es-419"/>
        </w:rPr>
        <w:t>pensionamiento</w:t>
      </w:r>
      <w:proofErr w:type="spellEnd"/>
    </w:p>
    <w:p w14:paraId="03ED5A28" w14:textId="5EB19E72" w:rsidR="004E23DA" w:rsidRPr="00C56EC9" w:rsidRDefault="004E23DA" w:rsidP="004E23DA">
      <w:pPr>
        <w:rPr>
          <w:lang w:val="es-419"/>
        </w:rPr>
      </w:pPr>
      <w:r w:rsidRPr="00C56EC9">
        <w:rPr>
          <w:lang w:val="es-419"/>
        </w:rPr>
        <w:t xml:space="preserve">Los factores de </w:t>
      </w:r>
      <w:proofErr w:type="spellStart"/>
      <w:r w:rsidRPr="00C56EC9">
        <w:rPr>
          <w:lang w:val="es-419"/>
        </w:rPr>
        <w:t>pensionamiento</w:t>
      </w:r>
      <w:proofErr w:type="spellEnd"/>
      <w:r w:rsidRPr="00C56EC9">
        <w:rPr>
          <w:lang w:val="es-419"/>
        </w:rPr>
        <w:t xml:space="preserve"> unisex presentados en la tabla abajo son valores clave en la determinación de las pensiones ya que establecen el monto de la pensión mensual por cada B/.1,000 acumulados en la Capitalización Solidaria. Estos factores unisex, al ser aplicables de manera igualitaria para hombres y mujeres, buscan corregir inequidades históricas y garantizar justicia en los beneficios otorgados, independientemente del género. Esta uniformidad es especialmente relevante dado que, en muchos sistemas de pensiones, las diferencias en expectativas de vida entre hombres y mujeres pueden dar lugar a disparidades en los beneficios percibidos.</w:t>
      </w:r>
    </w:p>
    <w:p w14:paraId="2C42A739" w14:textId="49E9845D" w:rsidR="004E23DA" w:rsidRPr="00C56EC9" w:rsidRDefault="004E23DA" w:rsidP="004E23DA">
      <w:pPr>
        <w:rPr>
          <w:lang w:val="es-419"/>
        </w:rPr>
      </w:pPr>
      <w:r w:rsidRPr="00C56EC9">
        <w:rPr>
          <w:lang w:val="es-419"/>
        </w:rPr>
        <w:t>El factor unisex aumenta progresivamente con la edad, lo que refleja el mayor tiempo de disfrute proyectado de las pensiones a edades más tempranas y su correspondiente ajuste en el valor actuarial. Por ejemplo, a los 35 años, el factor es de B/.3.84, mientras que a los 65 años asciende a B/.5.44, lo que evidencia un incremento gradual en los valores para compensar la mayor acumulación de fondos y la reducción en el tiempo de disfrute del beneficio esperado.</w:t>
      </w:r>
    </w:p>
    <w:p w14:paraId="1415F40D" w14:textId="06D5CF0D" w:rsidR="004E23DA" w:rsidRPr="00C56EC9" w:rsidRDefault="004E23DA" w:rsidP="004E23DA">
      <w:pPr>
        <w:rPr>
          <w:lang w:val="es-419"/>
        </w:rPr>
      </w:pPr>
      <w:r w:rsidRPr="00C56EC9">
        <w:rPr>
          <w:lang w:val="es-419"/>
        </w:rPr>
        <w:t>En cuanto a los descuentos en transición, estos son aplicados específicamente a los afiliados que pertenecen al SEBD y al SMP y que est</w:t>
      </w:r>
      <w:r w:rsidR="00BE5007" w:rsidRPr="00C56EC9">
        <w:rPr>
          <w:lang w:val="es-419"/>
        </w:rPr>
        <w:t>ará</w:t>
      </w:r>
      <w:r w:rsidRPr="00C56EC9">
        <w:rPr>
          <w:lang w:val="es-419"/>
        </w:rPr>
        <w:t>n en proceso de transición hacia las nuevas reglas establecidas</w:t>
      </w:r>
      <w:r w:rsidR="00B600B1" w:rsidRPr="00C56EC9">
        <w:rPr>
          <w:lang w:val="es-419"/>
        </w:rPr>
        <w:t xml:space="preserve"> para nuevos participantes en el sistema</w:t>
      </w:r>
      <w:r w:rsidRPr="00C56EC9">
        <w:rPr>
          <w:lang w:val="es-419"/>
        </w:rPr>
        <w:t xml:space="preserve">. Este esquema de descuentos, diferenciados para hombres y mujeres, busca equilibrar la carga del ajuste gradual hacia las nuevas disposiciones del sistema. Por ejemplo, a los 50 años, los hombres enfrentan un descuento del 100% en sus prestaciones económicas, mientras que las mujeres tienen un descuento del 70%. Estas diferencias reflejan el </w:t>
      </w:r>
      <w:r w:rsidRPr="00C56EC9">
        <w:rPr>
          <w:lang w:val="es-419"/>
        </w:rPr>
        <w:lastRenderedPageBreak/>
        <w:t>reconocimiento de la edad de retiro más temprana para las mujeres y la necesidad de un ajuste gradual que considere las condiciones históricas de jubilación.</w:t>
      </w:r>
    </w:p>
    <w:p w14:paraId="07C2C3C3" w14:textId="5020BEFC" w:rsidR="009D4ADC" w:rsidRPr="00C56EC9" w:rsidRDefault="004E23DA" w:rsidP="009D4ADC">
      <w:pPr>
        <w:rPr>
          <w:lang w:val="es-419"/>
        </w:rPr>
      </w:pPr>
      <w:r w:rsidRPr="00C56EC9">
        <w:rPr>
          <w:lang w:val="es-419"/>
        </w:rPr>
        <w:t>La inclusión de factores unisex y descuentos en transición dentro de los esquemas de pensiones no solo responde a criterios de equidad de género, sino que también busca mitigar el impacto financiero de los cambios en el sistema. Al mismo tiempo, estos elementos refuerzan la sostenibilidad del sistema al permitir ajustes graduales que toman en cuenta tanto las necesidades de los afiliados como las capacidades financieras de la CSS. El diseño de estos elementos refleja una consideración profunda de las dinámicas demográficas y económicas que afectan el sistema de pensiones en Panamá, garantizando que las reformas sean implementadas de manera equilibrada y justa para todos los participantes.</w:t>
      </w:r>
    </w:p>
    <w:p w14:paraId="0FB1974C" w14:textId="6BA9D2F0" w:rsidR="00561E63" w:rsidRPr="00C56EC9" w:rsidRDefault="009D4ADC" w:rsidP="009D4ADC">
      <w:pPr>
        <w:pStyle w:val="Grfico"/>
      </w:pPr>
      <w:r w:rsidRPr="00C56EC9">
        <w:t xml:space="preserve">Tabla </w:t>
      </w:r>
      <w:r w:rsidRPr="00C56EC9">
        <w:fldChar w:fldCharType="begin"/>
      </w:r>
      <w:r w:rsidRPr="00C56EC9">
        <w:instrText xml:space="preserve"> SEQ Tabla \* ARABIC </w:instrText>
      </w:r>
      <w:r w:rsidRPr="00C56EC9">
        <w:fldChar w:fldCharType="separate"/>
      </w:r>
      <w:r w:rsidR="00B24233">
        <w:rPr>
          <w:noProof/>
        </w:rPr>
        <w:t>11</w:t>
      </w:r>
      <w:r w:rsidRPr="00C56EC9">
        <w:fldChar w:fldCharType="end"/>
      </w:r>
      <w:r w:rsidRPr="00C56EC9">
        <w:t xml:space="preserve">. Factores de </w:t>
      </w:r>
      <w:proofErr w:type="spellStart"/>
      <w:r w:rsidRPr="00C56EC9">
        <w:t>pensionamiento</w:t>
      </w:r>
      <w:proofErr w:type="spellEnd"/>
      <w:r w:rsidRPr="00C56EC9">
        <w:t xml:space="preserve"> </w:t>
      </w:r>
    </w:p>
    <w:tbl>
      <w:tblPr>
        <w:tblW w:w="5000" w:type="pct"/>
        <w:tblLook w:val="04A0" w:firstRow="1" w:lastRow="0" w:firstColumn="1" w:lastColumn="0" w:noHBand="0" w:noVBand="1"/>
      </w:tblPr>
      <w:tblGrid>
        <w:gridCol w:w="683"/>
        <w:gridCol w:w="1399"/>
        <w:gridCol w:w="1413"/>
        <w:gridCol w:w="1008"/>
        <w:gridCol w:w="683"/>
        <w:gridCol w:w="1399"/>
        <w:gridCol w:w="1419"/>
        <w:gridCol w:w="1002"/>
      </w:tblGrid>
      <w:tr w:rsidR="003735D6" w:rsidRPr="00C56EC9" w14:paraId="1D87BFF4" w14:textId="77777777" w:rsidTr="00710F49">
        <w:trPr>
          <w:trHeight w:val="285"/>
          <w:tblHeader/>
        </w:trPr>
        <w:tc>
          <w:tcPr>
            <w:tcW w:w="305"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670DEE" w14:textId="77777777" w:rsidR="003735D6" w:rsidRPr="00C56EC9" w:rsidRDefault="003735D6" w:rsidP="003735D6">
            <w:pPr>
              <w:pStyle w:val="Tablas"/>
            </w:pPr>
            <w:r w:rsidRPr="00C56EC9">
              <w:t>Edad</w:t>
            </w:r>
          </w:p>
        </w:tc>
        <w:tc>
          <w:tcPr>
            <w:tcW w:w="1136"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58E65EA" w14:textId="77777777" w:rsidR="003735D6" w:rsidRPr="00C56EC9" w:rsidRDefault="003735D6" w:rsidP="003735D6">
            <w:pPr>
              <w:pStyle w:val="Tablas"/>
            </w:pPr>
            <w:r w:rsidRPr="00C56EC9">
              <w:t>Factor unisex</w:t>
            </w:r>
          </w:p>
        </w:tc>
        <w:tc>
          <w:tcPr>
            <w:tcW w:w="1162"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62E87E9F" w14:textId="77777777" w:rsidR="003735D6" w:rsidRPr="00C56EC9" w:rsidRDefault="003735D6" w:rsidP="003735D6">
            <w:pPr>
              <w:pStyle w:val="Tablas"/>
            </w:pPr>
            <w:r w:rsidRPr="00C56EC9">
              <w:t>Descuentos en transición</w:t>
            </w:r>
          </w:p>
        </w:tc>
        <w:tc>
          <w:tcPr>
            <w:tcW w:w="581" w:type="pct"/>
            <w:vMerge w:val="restart"/>
            <w:tcBorders>
              <w:top w:val="single" w:sz="8" w:space="0" w:color="auto"/>
              <w:left w:val="nil"/>
              <w:bottom w:val="single" w:sz="4" w:space="0" w:color="auto"/>
              <w:right w:val="single" w:sz="4" w:space="0" w:color="auto"/>
            </w:tcBorders>
            <w:shd w:val="clear" w:color="auto" w:fill="auto"/>
            <w:noWrap/>
            <w:vAlign w:val="center"/>
            <w:hideMark/>
          </w:tcPr>
          <w:p w14:paraId="0C4E97F2" w14:textId="77777777" w:rsidR="003735D6" w:rsidRPr="00C56EC9" w:rsidRDefault="003735D6" w:rsidP="003735D6">
            <w:pPr>
              <w:pStyle w:val="Tablas"/>
            </w:pPr>
            <w:r w:rsidRPr="00C56EC9">
              <w:t>Edad</w:t>
            </w:r>
          </w:p>
        </w:tc>
        <w:tc>
          <w:tcPr>
            <w:tcW w:w="653"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E27CDE5" w14:textId="77777777" w:rsidR="003735D6" w:rsidRPr="00C56EC9" w:rsidRDefault="003735D6" w:rsidP="003735D6">
            <w:pPr>
              <w:pStyle w:val="Tablas"/>
            </w:pPr>
            <w:r w:rsidRPr="00C56EC9">
              <w:t>Factor unisex</w:t>
            </w:r>
          </w:p>
        </w:tc>
        <w:tc>
          <w:tcPr>
            <w:tcW w:w="1162"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18129FC3" w14:textId="77777777" w:rsidR="003735D6" w:rsidRPr="00C56EC9" w:rsidRDefault="003735D6" w:rsidP="003735D6">
            <w:pPr>
              <w:pStyle w:val="Tablas"/>
            </w:pPr>
            <w:r w:rsidRPr="00C56EC9">
              <w:t>Descuentos en transición</w:t>
            </w:r>
          </w:p>
        </w:tc>
      </w:tr>
      <w:tr w:rsidR="003735D6" w:rsidRPr="00C56EC9" w14:paraId="4B6218EC" w14:textId="77777777" w:rsidTr="00710F49">
        <w:trPr>
          <w:trHeight w:val="285"/>
          <w:tblHeader/>
        </w:trPr>
        <w:tc>
          <w:tcPr>
            <w:tcW w:w="305" w:type="pct"/>
            <w:vMerge/>
            <w:tcBorders>
              <w:top w:val="single" w:sz="8" w:space="0" w:color="auto"/>
              <w:left w:val="single" w:sz="8" w:space="0" w:color="auto"/>
              <w:bottom w:val="single" w:sz="4" w:space="0" w:color="auto"/>
              <w:right w:val="single" w:sz="4" w:space="0" w:color="auto"/>
            </w:tcBorders>
            <w:vAlign w:val="center"/>
            <w:hideMark/>
          </w:tcPr>
          <w:p w14:paraId="7BDBAB62" w14:textId="77777777" w:rsidR="003735D6" w:rsidRPr="00C56EC9" w:rsidRDefault="003735D6" w:rsidP="003735D6">
            <w:pPr>
              <w:pStyle w:val="Tablas"/>
            </w:pPr>
          </w:p>
        </w:tc>
        <w:tc>
          <w:tcPr>
            <w:tcW w:w="1136" w:type="pct"/>
            <w:vMerge/>
            <w:tcBorders>
              <w:top w:val="single" w:sz="8" w:space="0" w:color="auto"/>
              <w:left w:val="single" w:sz="4" w:space="0" w:color="auto"/>
              <w:bottom w:val="single" w:sz="4" w:space="0" w:color="auto"/>
              <w:right w:val="single" w:sz="4" w:space="0" w:color="auto"/>
            </w:tcBorders>
            <w:vAlign w:val="center"/>
            <w:hideMark/>
          </w:tcPr>
          <w:p w14:paraId="354AD433" w14:textId="77777777" w:rsidR="003735D6" w:rsidRPr="00C56EC9" w:rsidRDefault="003735D6" w:rsidP="003735D6">
            <w:pPr>
              <w:pStyle w:val="Tablas"/>
            </w:pPr>
          </w:p>
        </w:tc>
        <w:tc>
          <w:tcPr>
            <w:tcW w:w="678" w:type="pct"/>
            <w:tcBorders>
              <w:top w:val="nil"/>
              <w:left w:val="nil"/>
              <w:bottom w:val="single" w:sz="4" w:space="0" w:color="auto"/>
              <w:right w:val="single" w:sz="4" w:space="0" w:color="auto"/>
            </w:tcBorders>
            <w:shd w:val="clear" w:color="auto" w:fill="auto"/>
            <w:noWrap/>
            <w:vAlign w:val="bottom"/>
            <w:hideMark/>
          </w:tcPr>
          <w:p w14:paraId="12BB7D46" w14:textId="77777777" w:rsidR="003735D6" w:rsidRPr="00C56EC9" w:rsidRDefault="003735D6" w:rsidP="003735D6">
            <w:pPr>
              <w:pStyle w:val="Tablas"/>
            </w:pPr>
            <w:r w:rsidRPr="00C56EC9">
              <w:t>Hombre</w:t>
            </w:r>
          </w:p>
        </w:tc>
        <w:tc>
          <w:tcPr>
            <w:tcW w:w="484" w:type="pct"/>
            <w:tcBorders>
              <w:top w:val="nil"/>
              <w:left w:val="nil"/>
              <w:bottom w:val="single" w:sz="4" w:space="0" w:color="auto"/>
              <w:right w:val="single" w:sz="8" w:space="0" w:color="auto"/>
            </w:tcBorders>
            <w:shd w:val="clear" w:color="auto" w:fill="auto"/>
            <w:noWrap/>
            <w:vAlign w:val="bottom"/>
            <w:hideMark/>
          </w:tcPr>
          <w:p w14:paraId="3DC1AA9D" w14:textId="77777777" w:rsidR="003735D6" w:rsidRPr="00C56EC9" w:rsidRDefault="003735D6" w:rsidP="003735D6">
            <w:pPr>
              <w:pStyle w:val="Tablas"/>
            </w:pPr>
            <w:r w:rsidRPr="00C56EC9">
              <w:t>Mujer</w:t>
            </w:r>
          </w:p>
        </w:tc>
        <w:tc>
          <w:tcPr>
            <w:tcW w:w="581" w:type="pct"/>
            <w:vMerge/>
            <w:tcBorders>
              <w:top w:val="single" w:sz="8" w:space="0" w:color="auto"/>
              <w:left w:val="nil"/>
              <w:bottom w:val="single" w:sz="4" w:space="0" w:color="auto"/>
              <w:right w:val="single" w:sz="4" w:space="0" w:color="auto"/>
            </w:tcBorders>
            <w:vAlign w:val="center"/>
            <w:hideMark/>
          </w:tcPr>
          <w:p w14:paraId="49BB2E1D" w14:textId="77777777" w:rsidR="003735D6" w:rsidRPr="00C56EC9" w:rsidRDefault="003735D6" w:rsidP="003735D6">
            <w:pPr>
              <w:pStyle w:val="Tablas"/>
            </w:pPr>
          </w:p>
        </w:tc>
        <w:tc>
          <w:tcPr>
            <w:tcW w:w="653" w:type="pct"/>
            <w:vMerge/>
            <w:tcBorders>
              <w:top w:val="single" w:sz="8" w:space="0" w:color="auto"/>
              <w:left w:val="single" w:sz="4" w:space="0" w:color="auto"/>
              <w:bottom w:val="single" w:sz="4" w:space="0" w:color="auto"/>
              <w:right w:val="single" w:sz="4" w:space="0" w:color="auto"/>
            </w:tcBorders>
            <w:vAlign w:val="center"/>
            <w:hideMark/>
          </w:tcPr>
          <w:p w14:paraId="2CE4E9A6" w14:textId="77777777" w:rsidR="003735D6" w:rsidRPr="00C56EC9" w:rsidRDefault="003735D6" w:rsidP="003735D6">
            <w:pPr>
              <w:pStyle w:val="Tablas"/>
            </w:pPr>
          </w:p>
        </w:tc>
        <w:tc>
          <w:tcPr>
            <w:tcW w:w="681" w:type="pct"/>
            <w:tcBorders>
              <w:top w:val="nil"/>
              <w:left w:val="nil"/>
              <w:bottom w:val="single" w:sz="4" w:space="0" w:color="auto"/>
              <w:right w:val="single" w:sz="4" w:space="0" w:color="auto"/>
            </w:tcBorders>
            <w:shd w:val="clear" w:color="auto" w:fill="auto"/>
            <w:noWrap/>
            <w:vAlign w:val="bottom"/>
            <w:hideMark/>
          </w:tcPr>
          <w:p w14:paraId="64E45A59" w14:textId="77777777" w:rsidR="003735D6" w:rsidRPr="00C56EC9" w:rsidRDefault="003735D6" w:rsidP="003735D6">
            <w:pPr>
              <w:pStyle w:val="Tablas"/>
            </w:pPr>
            <w:r w:rsidRPr="00C56EC9">
              <w:t>Hombre</w:t>
            </w:r>
          </w:p>
        </w:tc>
        <w:tc>
          <w:tcPr>
            <w:tcW w:w="481" w:type="pct"/>
            <w:tcBorders>
              <w:top w:val="nil"/>
              <w:left w:val="nil"/>
              <w:bottom w:val="single" w:sz="4" w:space="0" w:color="auto"/>
              <w:right w:val="single" w:sz="8" w:space="0" w:color="auto"/>
            </w:tcBorders>
            <w:shd w:val="clear" w:color="auto" w:fill="auto"/>
            <w:noWrap/>
            <w:vAlign w:val="bottom"/>
            <w:hideMark/>
          </w:tcPr>
          <w:p w14:paraId="276AE864" w14:textId="77777777" w:rsidR="003735D6" w:rsidRPr="00C56EC9" w:rsidRDefault="003735D6" w:rsidP="003735D6">
            <w:pPr>
              <w:pStyle w:val="Tablas"/>
            </w:pPr>
            <w:r w:rsidRPr="00C56EC9">
              <w:t>Mujer</w:t>
            </w:r>
          </w:p>
        </w:tc>
      </w:tr>
      <w:tr w:rsidR="003735D6" w:rsidRPr="00C56EC9" w14:paraId="769085C2"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D62F259" w14:textId="77777777" w:rsidR="003735D6" w:rsidRPr="00C56EC9" w:rsidRDefault="003735D6" w:rsidP="003735D6">
            <w:pPr>
              <w:pStyle w:val="Tablas"/>
            </w:pPr>
            <w:r w:rsidRPr="00C56EC9">
              <w:t>35</w:t>
            </w:r>
          </w:p>
        </w:tc>
        <w:tc>
          <w:tcPr>
            <w:tcW w:w="1136" w:type="pct"/>
            <w:tcBorders>
              <w:top w:val="nil"/>
              <w:left w:val="nil"/>
              <w:bottom w:val="single" w:sz="4" w:space="0" w:color="auto"/>
              <w:right w:val="single" w:sz="4" w:space="0" w:color="auto"/>
            </w:tcBorders>
            <w:shd w:val="clear" w:color="auto" w:fill="auto"/>
            <w:noWrap/>
            <w:vAlign w:val="bottom"/>
            <w:hideMark/>
          </w:tcPr>
          <w:p w14:paraId="27F8074A" w14:textId="77777777" w:rsidR="003735D6" w:rsidRPr="00C56EC9" w:rsidRDefault="003735D6" w:rsidP="003735D6">
            <w:pPr>
              <w:pStyle w:val="Tablas"/>
            </w:pPr>
            <w:r w:rsidRPr="00C56EC9">
              <w:t xml:space="preserve">$3.84 </w:t>
            </w:r>
          </w:p>
        </w:tc>
        <w:tc>
          <w:tcPr>
            <w:tcW w:w="678" w:type="pct"/>
            <w:tcBorders>
              <w:top w:val="nil"/>
              <w:left w:val="nil"/>
              <w:bottom w:val="single" w:sz="4" w:space="0" w:color="auto"/>
              <w:right w:val="single" w:sz="4" w:space="0" w:color="auto"/>
            </w:tcBorders>
            <w:shd w:val="clear" w:color="auto" w:fill="auto"/>
            <w:noWrap/>
            <w:vAlign w:val="bottom"/>
            <w:hideMark/>
          </w:tcPr>
          <w:p w14:paraId="713C7C3E"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387758F9"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559D2B70" w14:textId="77777777" w:rsidR="003735D6" w:rsidRPr="00C56EC9" w:rsidRDefault="003735D6" w:rsidP="003735D6">
            <w:pPr>
              <w:pStyle w:val="Tablas"/>
            </w:pPr>
            <w:r w:rsidRPr="00C56EC9">
              <w:t>58</w:t>
            </w:r>
          </w:p>
        </w:tc>
        <w:tc>
          <w:tcPr>
            <w:tcW w:w="653" w:type="pct"/>
            <w:tcBorders>
              <w:top w:val="nil"/>
              <w:left w:val="nil"/>
              <w:bottom w:val="single" w:sz="4" w:space="0" w:color="auto"/>
              <w:right w:val="single" w:sz="4" w:space="0" w:color="auto"/>
            </w:tcBorders>
            <w:shd w:val="clear" w:color="auto" w:fill="auto"/>
            <w:noWrap/>
            <w:vAlign w:val="bottom"/>
            <w:hideMark/>
          </w:tcPr>
          <w:p w14:paraId="09983F82" w14:textId="77777777" w:rsidR="003735D6" w:rsidRPr="00C56EC9" w:rsidRDefault="003735D6" w:rsidP="003735D6">
            <w:pPr>
              <w:pStyle w:val="Tablas"/>
            </w:pPr>
            <w:r w:rsidRPr="00C56EC9">
              <w:t xml:space="preserve">$4.84 </w:t>
            </w:r>
          </w:p>
        </w:tc>
        <w:tc>
          <w:tcPr>
            <w:tcW w:w="681" w:type="pct"/>
            <w:tcBorders>
              <w:top w:val="nil"/>
              <w:left w:val="nil"/>
              <w:bottom w:val="single" w:sz="4" w:space="0" w:color="auto"/>
              <w:right w:val="single" w:sz="4" w:space="0" w:color="auto"/>
            </w:tcBorders>
            <w:shd w:val="clear" w:color="auto" w:fill="auto"/>
            <w:noWrap/>
            <w:vAlign w:val="bottom"/>
            <w:hideMark/>
          </w:tcPr>
          <w:p w14:paraId="30C90D35" w14:textId="77777777" w:rsidR="003735D6" w:rsidRPr="00C56EC9" w:rsidRDefault="003735D6" w:rsidP="003735D6">
            <w:pPr>
              <w:pStyle w:val="Tablas"/>
            </w:pPr>
            <w:r w:rsidRPr="00C56EC9">
              <w:t>55%</w:t>
            </w:r>
          </w:p>
        </w:tc>
        <w:tc>
          <w:tcPr>
            <w:tcW w:w="481" w:type="pct"/>
            <w:tcBorders>
              <w:top w:val="nil"/>
              <w:left w:val="nil"/>
              <w:bottom w:val="single" w:sz="4" w:space="0" w:color="auto"/>
              <w:right w:val="single" w:sz="8" w:space="0" w:color="auto"/>
            </w:tcBorders>
            <w:shd w:val="clear" w:color="auto" w:fill="auto"/>
            <w:noWrap/>
            <w:vAlign w:val="bottom"/>
            <w:hideMark/>
          </w:tcPr>
          <w:p w14:paraId="2C0C7FD3" w14:textId="77777777" w:rsidR="003735D6" w:rsidRPr="00C56EC9" w:rsidRDefault="003735D6" w:rsidP="003735D6">
            <w:pPr>
              <w:pStyle w:val="Tablas"/>
            </w:pPr>
            <w:r w:rsidRPr="00C56EC9">
              <w:t>30%</w:t>
            </w:r>
          </w:p>
        </w:tc>
      </w:tr>
      <w:tr w:rsidR="003735D6" w:rsidRPr="00C56EC9" w14:paraId="319A5234"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216867F4" w14:textId="77777777" w:rsidR="003735D6" w:rsidRPr="00C56EC9" w:rsidRDefault="003735D6" w:rsidP="003735D6">
            <w:pPr>
              <w:pStyle w:val="Tablas"/>
            </w:pPr>
            <w:r w:rsidRPr="00C56EC9">
              <w:t>36</w:t>
            </w:r>
          </w:p>
        </w:tc>
        <w:tc>
          <w:tcPr>
            <w:tcW w:w="1136" w:type="pct"/>
            <w:tcBorders>
              <w:top w:val="nil"/>
              <w:left w:val="nil"/>
              <w:bottom w:val="single" w:sz="4" w:space="0" w:color="auto"/>
              <w:right w:val="single" w:sz="4" w:space="0" w:color="auto"/>
            </w:tcBorders>
            <w:shd w:val="clear" w:color="auto" w:fill="auto"/>
            <w:noWrap/>
            <w:vAlign w:val="bottom"/>
            <w:hideMark/>
          </w:tcPr>
          <w:p w14:paraId="3D68B483" w14:textId="77777777" w:rsidR="003735D6" w:rsidRPr="00C56EC9" w:rsidRDefault="003735D6" w:rsidP="003735D6">
            <w:pPr>
              <w:pStyle w:val="Tablas"/>
            </w:pPr>
            <w:r w:rsidRPr="00C56EC9">
              <w:t xml:space="preserve">$3.87 </w:t>
            </w:r>
          </w:p>
        </w:tc>
        <w:tc>
          <w:tcPr>
            <w:tcW w:w="678" w:type="pct"/>
            <w:tcBorders>
              <w:top w:val="nil"/>
              <w:left w:val="nil"/>
              <w:bottom w:val="single" w:sz="4" w:space="0" w:color="auto"/>
              <w:right w:val="single" w:sz="4" w:space="0" w:color="auto"/>
            </w:tcBorders>
            <w:shd w:val="clear" w:color="auto" w:fill="auto"/>
            <w:noWrap/>
            <w:vAlign w:val="bottom"/>
            <w:hideMark/>
          </w:tcPr>
          <w:p w14:paraId="74E1DA42"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177EF98F"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7D38A5DB" w14:textId="77777777" w:rsidR="003735D6" w:rsidRPr="00C56EC9" w:rsidRDefault="003735D6" w:rsidP="003735D6">
            <w:pPr>
              <w:pStyle w:val="Tablas"/>
            </w:pPr>
            <w:r w:rsidRPr="00C56EC9">
              <w:t>59</w:t>
            </w:r>
          </w:p>
        </w:tc>
        <w:tc>
          <w:tcPr>
            <w:tcW w:w="653" w:type="pct"/>
            <w:tcBorders>
              <w:top w:val="nil"/>
              <w:left w:val="nil"/>
              <w:bottom w:val="single" w:sz="4" w:space="0" w:color="auto"/>
              <w:right w:val="single" w:sz="4" w:space="0" w:color="auto"/>
            </w:tcBorders>
            <w:shd w:val="clear" w:color="auto" w:fill="auto"/>
            <w:noWrap/>
            <w:vAlign w:val="bottom"/>
            <w:hideMark/>
          </w:tcPr>
          <w:p w14:paraId="013FCAA2" w14:textId="77777777" w:rsidR="003735D6" w:rsidRPr="00C56EC9" w:rsidRDefault="003735D6" w:rsidP="003735D6">
            <w:pPr>
              <w:pStyle w:val="Tablas"/>
            </w:pPr>
            <w:r w:rsidRPr="00C56EC9">
              <w:t xml:space="preserve">$4.91 </w:t>
            </w:r>
          </w:p>
        </w:tc>
        <w:tc>
          <w:tcPr>
            <w:tcW w:w="681" w:type="pct"/>
            <w:tcBorders>
              <w:top w:val="nil"/>
              <w:left w:val="nil"/>
              <w:bottom w:val="single" w:sz="4" w:space="0" w:color="auto"/>
              <w:right w:val="single" w:sz="4" w:space="0" w:color="auto"/>
            </w:tcBorders>
            <w:shd w:val="clear" w:color="auto" w:fill="auto"/>
            <w:noWrap/>
            <w:vAlign w:val="bottom"/>
            <w:hideMark/>
          </w:tcPr>
          <w:p w14:paraId="074D56F0" w14:textId="77777777" w:rsidR="003735D6" w:rsidRPr="00C56EC9" w:rsidRDefault="003735D6" w:rsidP="003735D6">
            <w:pPr>
              <w:pStyle w:val="Tablas"/>
            </w:pPr>
            <w:r w:rsidRPr="00C56EC9">
              <w:t>50%</w:t>
            </w:r>
          </w:p>
        </w:tc>
        <w:tc>
          <w:tcPr>
            <w:tcW w:w="481" w:type="pct"/>
            <w:tcBorders>
              <w:top w:val="nil"/>
              <w:left w:val="nil"/>
              <w:bottom w:val="single" w:sz="4" w:space="0" w:color="auto"/>
              <w:right w:val="single" w:sz="8" w:space="0" w:color="auto"/>
            </w:tcBorders>
            <w:shd w:val="clear" w:color="auto" w:fill="auto"/>
            <w:noWrap/>
            <w:vAlign w:val="bottom"/>
            <w:hideMark/>
          </w:tcPr>
          <w:p w14:paraId="3D0CDD80" w14:textId="77777777" w:rsidR="003735D6" w:rsidRPr="00C56EC9" w:rsidRDefault="003735D6" w:rsidP="003735D6">
            <w:pPr>
              <w:pStyle w:val="Tablas"/>
            </w:pPr>
            <w:r w:rsidRPr="00C56EC9">
              <w:t>15%</w:t>
            </w:r>
          </w:p>
        </w:tc>
      </w:tr>
      <w:tr w:rsidR="003735D6" w:rsidRPr="00C56EC9" w14:paraId="4E4ED686" w14:textId="77777777" w:rsidTr="003735D6">
        <w:trPr>
          <w:trHeight w:val="293"/>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85056D5" w14:textId="77777777" w:rsidR="003735D6" w:rsidRPr="00C56EC9" w:rsidRDefault="003735D6" w:rsidP="003735D6">
            <w:pPr>
              <w:pStyle w:val="Tablas"/>
            </w:pPr>
            <w:r w:rsidRPr="00C56EC9">
              <w:t>37</w:t>
            </w:r>
          </w:p>
        </w:tc>
        <w:tc>
          <w:tcPr>
            <w:tcW w:w="1136" w:type="pct"/>
            <w:tcBorders>
              <w:top w:val="nil"/>
              <w:left w:val="nil"/>
              <w:bottom w:val="single" w:sz="4" w:space="0" w:color="auto"/>
              <w:right w:val="single" w:sz="4" w:space="0" w:color="auto"/>
            </w:tcBorders>
            <w:shd w:val="clear" w:color="auto" w:fill="auto"/>
            <w:noWrap/>
            <w:vAlign w:val="bottom"/>
            <w:hideMark/>
          </w:tcPr>
          <w:p w14:paraId="0D1FD6DD" w14:textId="77777777" w:rsidR="003735D6" w:rsidRPr="00C56EC9" w:rsidRDefault="003735D6" w:rsidP="003735D6">
            <w:pPr>
              <w:pStyle w:val="Tablas"/>
            </w:pPr>
            <w:r w:rsidRPr="00C56EC9">
              <w:t xml:space="preserve">$3.89 </w:t>
            </w:r>
          </w:p>
        </w:tc>
        <w:tc>
          <w:tcPr>
            <w:tcW w:w="678" w:type="pct"/>
            <w:tcBorders>
              <w:top w:val="nil"/>
              <w:left w:val="nil"/>
              <w:bottom w:val="single" w:sz="4" w:space="0" w:color="auto"/>
              <w:right w:val="single" w:sz="4" w:space="0" w:color="auto"/>
            </w:tcBorders>
            <w:shd w:val="clear" w:color="auto" w:fill="auto"/>
            <w:noWrap/>
            <w:vAlign w:val="bottom"/>
            <w:hideMark/>
          </w:tcPr>
          <w:p w14:paraId="19829994"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424A8C92"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40FF93A8" w14:textId="77777777" w:rsidR="003735D6" w:rsidRPr="00C56EC9" w:rsidRDefault="003735D6" w:rsidP="003735D6">
            <w:pPr>
              <w:pStyle w:val="Tablas"/>
            </w:pPr>
            <w:r w:rsidRPr="00C56EC9">
              <w:t>60</w:t>
            </w:r>
          </w:p>
        </w:tc>
        <w:tc>
          <w:tcPr>
            <w:tcW w:w="653" w:type="pct"/>
            <w:tcBorders>
              <w:top w:val="nil"/>
              <w:left w:val="nil"/>
              <w:bottom w:val="single" w:sz="4" w:space="0" w:color="auto"/>
              <w:right w:val="single" w:sz="4" w:space="0" w:color="auto"/>
            </w:tcBorders>
            <w:shd w:val="clear" w:color="auto" w:fill="auto"/>
            <w:noWrap/>
            <w:vAlign w:val="bottom"/>
            <w:hideMark/>
          </w:tcPr>
          <w:p w14:paraId="27D06CF9" w14:textId="77777777" w:rsidR="003735D6" w:rsidRPr="00C56EC9" w:rsidRDefault="003735D6" w:rsidP="003735D6">
            <w:pPr>
              <w:pStyle w:val="Tablas"/>
            </w:pPr>
            <w:r w:rsidRPr="00C56EC9">
              <w:t xml:space="preserve">$4.99 </w:t>
            </w:r>
          </w:p>
        </w:tc>
        <w:tc>
          <w:tcPr>
            <w:tcW w:w="681" w:type="pct"/>
            <w:tcBorders>
              <w:top w:val="nil"/>
              <w:left w:val="nil"/>
              <w:bottom w:val="single" w:sz="4" w:space="0" w:color="auto"/>
              <w:right w:val="single" w:sz="4" w:space="0" w:color="auto"/>
            </w:tcBorders>
            <w:shd w:val="clear" w:color="auto" w:fill="auto"/>
            <w:noWrap/>
            <w:vAlign w:val="bottom"/>
            <w:hideMark/>
          </w:tcPr>
          <w:p w14:paraId="01F1573D" w14:textId="77777777" w:rsidR="003735D6" w:rsidRPr="00C56EC9" w:rsidRDefault="003735D6" w:rsidP="003735D6">
            <w:pPr>
              <w:pStyle w:val="Tablas"/>
            </w:pPr>
            <w:r w:rsidRPr="00C56EC9">
              <w:t>45%</w:t>
            </w:r>
          </w:p>
        </w:tc>
        <w:tc>
          <w:tcPr>
            <w:tcW w:w="481" w:type="pct"/>
            <w:tcBorders>
              <w:top w:val="nil"/>
              <w:left w:val="nil"/>
              <w:bottom w:val="single" w:sz="4" w:space="0" w:color="auto"/>
              <w:right w:val="single" w:sz="8" w:space="0" w:color="auto"/>
            </w:tcBorders>
            <w:shd w:val="clear" w:color="auto" w:fill="auto"/>
            <w:noWrap/>
            <w:vAlign w:val="bottom"/>
            <w:hideMark/>
          </w:tcPr>
          <w:p w14:paraId="22AC7D47" w14:textId="77777777" w:rsidR="003735D6" w:rsidRPr="00C56EC9" w:rsidRDefault="003735D6" w:rsidP="003735D6">
            <w:pPr>
              <w:pStyle w:val="Tablas"/>
            </w:pPr>
            <w:r w:rsidRPr="00C56EC9">
              <w:t>0%</w:t>
            </w:r>
          </w:p>
        </w:tc>
      </w:tr>
      <w:tr w:rsidR="003735D6" w:rsidRPr="00C56EC9" w14:paraId="51D9FB92"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4188B955" w14:textId="77777777" w:rsidR="003735D6" w:rsidRPr="00C56EC9" w:rsidRDefault="003735D6" w:rsidP="003735D6">
            <w:pPr>
              <w:pStyle w:val="Tablas"/>
            </w:pPr>
            <w:r w:rsidRPr="00C56EC9">
              <w:t>38</w:t>
            </w:r>
          </w:p>
        </w:tc>
        <w:tc>
          <w:tcPr>
            <w:tcW w:w="1136" w:type="pct"/>
            <w:tcBorders>
              <w:top w:val="nil"/>
              <w:left w:val="nil"/>
              <w:bottom w:val="single" w:sz="4" w:space="0" w:color="auto"/>
              <w:right w:val="single" w:sz="4" w:space="0" w:color="auto"/>
            </w:tcBorders>
            <w:shd w:val="clear" w:color="auto" w:fill="auto"/>
            <w:noWrap/>
            <w:vAlign w:val="bottom"/>
            <w:hideMark/>
          </w:tcPr>
          <w:p w14:paraId="353AC5E0" w14:textId="77777777" w:rsidR="003735D6" w:rsidRPr="00C56EC9" w:rsidRDefault="003735D6" w:rsidP="003735D6">
            <w:pPr>
              <w:pStyle w:val="Tablas"/>
            </w:pPr>
            <w:r w:rsidRPr="00C56EC9">
              <w:t xml:space="preserve">$3.92 </w:t>
            </w:r>
          </w:p>
        </w:tc>
        <w:tc>
          <w:tcPr>
            <w:tcW w:w="678" w:type="pct"/>
            <w:tcBorders>
              <w:top w:val="nil"/>
              <w:left w:val="nil"/>
              <w:bottom w:val="single" w:sz="4" w:space="0" w:color="auto"/>
              <w:right w:val="single" w:sz="4" w:space="0" w:color="auto"/>
            </w:tcBorders>
            <w:shd w:val="clear" w:color="auto" w:fill="auto"/>
            <w:noWrap/>
            <w:vAlign w:val="bottom"/>
            <w:hideMark/>
          </w:tcPr>
          <w:p w14:paraId="2AC5ED9B"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063914E0"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56E28661" w14:textId="77777777" w:rsidR="003735D6" w:rsidRPr="00C56EC9" w:rsidRDefault="003735D6" w:rsidP="003735D6">
            <w:pPr>
              <w:pStyle w:val="Tablas"/>
            </w:pPr>
            <w:r w:rsidRPr="00C56EC9">
              <w:t>61</w:t>
            </w:r>
          </w:p>
        </w:tc>
        <w:tc>
          <w:tcPr>
            <w:tcW w:w="653" w:type="pct"/>
            <w:tcBorders>
              <w:top w:val="nil"/>
              <w:left w:val="nil"/>
              <w:bottom w:val="single" w:sz="4" w:space="0" w:color="auto"/>
              <w:right w:val="single" w:sz="4" w:space="0" w:color="auto"/>
            </w:tcBorders>
            <w:shd w:val="clear" w:color="auto" w:fill="auto"/>
            <w:noWrap/>
            <w:vAlign w:val="bottom"/>
            <w:hideMark/>
          </w:tcPr>
          <w:p w14:paraId="4B4A0922" w14:textId="77777777" w:rsidR="003735D6" w:rsidRPr="00C56EC9" w:rsidRDefault="003735D6" w:rsidP="003735D6">
            <w:pPr>
              <w:pStyle w:val="Tablas"/>
            </w:pPr>
            <w:r w:rsidRPr="00C56EC9">
              <w:t xml:space="preserve">$5.07 </w:t>
            </w:r>
          </w:p>
        </w:tc>
        <w:tc>
          <w:tcPr>
            <w:tcW w:w="681" w:type="pct"/>
            <w:tcBorders>
              <w:top w:val="nil"/>
              <w:left w:val="nil"/>
              <w:bottom w:val="single" w:sz="4" w:space="0" w:color="auto"/>
              <w:right w:val="single" w:sz="4" w:space="0" w:color="auto"/>
            </w:tcBorders>
            <w:shd w:val="clear" w:color="auto" w:fill="auto"/>
            <w:noWrap/>
            <w:vAlign w:val="bottom"/>
            <w:hideMark/>
          </w:tcPr>
          <w:p w14:paraId="724D4BA5" w14:textId="77777777" w:rsidR="003735D6" w:rsidRPr="00C56EC9" w:rsidRDefault="003735D6" w:rsidP="003735D6">
            <w:pPr>
              <w:pStyle w:val="Tablas"/>
            </w:pPr>
            <w:r w:rsidRPr="00C56EC9">
              <w:t>40%</w:t>
            </w:r>
          </w:p>
        </w:tc>
        <w:tc>
          <w:tcPr>
            <w:tcW w:w="481" w:type="pct"/>
            <w:tcBorders>
              <w:top w:val="nil"/>
              <w:left w:val="nil"/>
              <w:bottom w:val="single" w:sz="4" w:space="0" w:color="auto"/>
              <w:right w:val="single" w:sz="8" w:space="0" w:color="auto"/>
            </w:tcBorders>
            <w:shd w:val="clear" w:color="auto" w:fill="auto"/>
            <w:noWrap/>
            <w:vAlign w:val="bottom"/>
            <w:hideMark/>
          </w:tcPr>
          <w:p w14:paraId="1A5BE12B" w14:textId="77777777" w:rsidR="003735D6" w:rsidRPr="00C56EC9" w:rsidRDefault="003735D6" w:rsidP="003735D6">
            <w:pPr>
              <w:pStyle w:val="Tablas"/>
            </w:pPr>
            <w:r w:rsidRPr="00C56EC9">
              <w:t>0%</w:t>
            </w:r>
          </w:p>
        </w:tc>
      </w:tr>
      <w:tr w:rsidR="003735D6" w:rsidRPr="00C56EC9" w14:paraId="7E7F2485"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3294FEC9" w14:textId="77777777" w:rsidR="003735D6" w:rsidRPr="00C56EC9" w:rsidRDefault="003735D6" w:rsidP="003735D6">
            <w:pPr>
              <w:pStyle w:val="Tablas"/>
            </w:pPr>
            <w:r w:rsidRPr="00C56EC9">
              <w:t>39</w:t>
            </w:r>
          </w:p>
        </w:tc>
        <w:tc>
          <w:tcPr>
            <w:tcW w:w="1136" w:type="pct"/>
            <w:tcBorders>
              <w:top w:val="nil"/>
              <w:left w:val="nil"/>
              <w:bottom w:val="single" w:sz="4" w:space="0" w:color="auto"/>
              <w:right w:val="single" w:sz="4" w:space="0" w:color="auto"/>
            </w:tcBorders>
            <w:shd w:val="clear" w:color="auto" w:fill="auto"/>
            <w:noWrap/>
            <w:vAlign w:val="bottom"/>
            <w:hideMark/>
          </w:tcPr>
          <w:p w14:paraId="18FF2A55" w14:textId="77777777" w:rsidR="003735D6" w:rsidRPr="00C56EC9" w:rsidRDefault="003735D6" w:rsidP="003735D6">
            <w:pPr>
              <w:pStyle w:val="Tablas"/>
            </w:pPr>
            <w:r w:rsidRPr="00C56EC9">
              <w:t xml:space="preserve">$3.95 </w:t>
            </w:r>
          </w:p>
        </w:tc>
        <w:tc>
          <w:tcPr>
            <w:tcW w:w="678" w:type="pct"/>
            <w:tcBorders>
              <w:top w:val="nil"/>
              <w:left w:val="nil"/>
              <w:bottom w:val="single" w:sz="4" w:space="0" w:color="auto"/>
              <w:right w:val="single" w:sz="4" w:space="0" w:color="auto"/>
            </w:tcBorders>
            <w:shd w:val="clear" w:color="auto" w:fill="auto"/>
            <w:noWrap/>
            <w:vAlign w:val="bottom"/>
            <w:hideMark/>
          </w:tcPr>
          <w:p w14:paraId="1007B308"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126BFD92"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53EB7E57" w14:textId="77777777" w:rsidR="003735D6" w:rsidRPr="00C56EC9" w:rsidRDefault="003735D6" w:rsidP="003735D6">
            <w:pPr>
              <w:pStyle w:val="Tablas"/>
            </w:pPr>
            <w:r w:rsidRPr="00C56EC9">
              <w:t>62</w:t>
            </w:r>
          </w:p>
        </w:tc>
        <w:tc>
          <w:tcPr>
            <w:tcW w:w="653" w:type="pct"/>
            <w:tcBorders>
              <w:top w:val="nil"/>
              <w:left w:val="nil"/>
              <w:bottom w:val="single" w:sz="4" w:space="0" w:color="auto"/>
              <w:right w:val="single" w:sz="4" w:space="0" w:color="auto"/>
            </w:tcBorders>
            <w:shd w:val="clear" w:color="auto" w:fill="auto"/>
            <w:noWrap/>
            <w:vAlign w:val="bottom"/>
            <w:hideMark/>
          </w:tcPr>
          <w:p w14:paraId="0C5AA135" w14:textId="77777777" w:rsidR="003735D6" w:rsidRPr="00C56EC9" w:rsidRDefault="003735D6" w:rsidP="003735D6">
            <w:pPr>
              <w:pStyle w:val="Tablas"/>
            </w:pPr>
            <w:r w:rsidRPr="00C56EC9">
              <w:t xml:space="preserve">$5.15 </w:t>
            </w:r>
          </w:p>
        </w:tc>
        <w:tc>
          <w:tcPr>
            <w:tcW w:w="681" w:type="pct"/>
            <w:tcBorders>
              <w:top w:val="nil"/>
              <w:left w:val="nil"/>
              <w:bottom w:val="single" w:sz="4" w:space="0" w:color="auto"/>
              <w:right w:val="single" w:sz="4" w:space="0" w:color="auto"/>
            </w:tcBorders>
            <w:shd w:val="clear" w:color="auto" w:fill="auto"/>
            <w:noWrap/>
            <w:vAlign w:val="bottom"/>
            <w:hideMark/>
          </w:tcPr>
          <w:p w14:paraId="0BE71A51" w14:textId="77777777" w:rsidR="003735D6" w:rsidRPr="00C56EC9" w:rsidRDefault="003735D6" w:rsidP="003735D6">
            <w:pPr>
              <w:pStyle w:val="Tablas"/>
            </w:pPr>
            <w:r w:rsidRPr="00C56EC9">
              <w:t>35%</w:t>
            </w:r>
          </w:p>
        </w:tc>
        <w:tc>
          <w:tcPr>
            <w:tcW w:w="481" w:type="pct"/>
            <w:tcBorders>
              <w:top w:val="nil"/>
              <w:left w:val="nil"/>
              <w:bottom w:val="single" w:sz="4" w:space="0" w:color="auto"/>
              <w:right w:val="single" w:sz="8" w:space="0" w:color="auto"/>
            </w:tcBorders>
            <w:shd w:val="clear" w:color="auto" w:fill="auto"/>
            <w:noWrap/>
            <w:vAlign w:val="bottom"/>
            <w:hideMark/>
          </w:tcPr>
          <w:p w14:paraId="3BE94169" w14:textId="77777777" w:rsidR="003735D6" w:rsidRPr="00C56EC9" w:rsidRDefault="003735D6" w:rsidP="003735D6">
            <w:pPr>
              <w:pStyle w:val="Tablas"/>
            </w:pPr>
            <w:r w:rsidRPr="00C56EC9">
              <w:t>0%</w:t>
            </w:r>
          </w:p>
        </w:tc>
      </w:tr>
      <w:tr w:rsidR="003735D6" w:rsidRPr="00C56EC9" w14:paraId="749569EC"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6EA8F82D" w14:textId="77777777" w:rsidR="003735D6" w:rsidRPr="00C56EC9" w:rsidRDefault="003735D6" w:rsidP="003735D6">
            <w:pPr>
              <w:pStyle w:val="Tablas"/>
            </w:pPr>
            <w:r w:rsidRPr="00C56EC9">
              <w:t>40</w:t>
            </w:r>
          </w:p>
        </w:tc>
        <w:tc>
          <w:tcPr>
            <w:tcW w:w="1136" w:type="pct"/>
            <w:tcBorders>
              <w:top w:val="nil"/>
              <w:left w:val="nil"/>
              <w:bottom w:val="single" w:sz="4" w:space="0" w:color="auto"/>
              <w:right w:val="single" w:sz="4" w:space="0" w:color="auto"/>
            </w:tcBorders>
            <w:shd w:val="clear" w:color="auto" w:fill="auto"/>
            <w:noWrap/>
            <w:vAlign w:val="bottom"/>
            <w:hideMark/>
          </w:tcPr>
          <w:p w14:paraId="6345CBE9" w14:textId="77777777" w:rsidR="003735D6" w:rsidRPr="00C56EC9" w:rsidRDefault="003735D6" w:rsidP="003735D6">
            <w:pPr>
              <w:pStyle w:val="Tablas"/>
            </w:pPr>
            <w:r w:rsidRPr="00C56EC9">
              <w:t xml:space="preserve">$3.98 </w:t>
            </w:r>
          </w:p>
        </w:tc>
        <w:tc>
          <w:tcPr>
            <w:tcW w:w="678" w:type="pct"/>
            <w:tcBorders>
              <w:top w:val="nil"/>
              <w:left w:val="nil"/>
              <w:bottom w:val="single" w:sz="4" w:space="0" w:color="auto"/>
              <w:right w:val="single" w:sz="4" w:space="0" w:color="auto"/>
            </w:tcBorders>
            <w:shd w:val="clear" w:color="auto" w:fill="auto"/>
            <w:noWrap/>
            <w:vAlign w:val="bottom"/>
            <w:hideMark/>
          </w:tcPr>
          <w:p w14:paraId="07AC8356"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00373DFB"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62518173" w14:textId="77777777" w:rsidR="003735D6" w:rsidRPr="00C56EC9" w:rsidRDefault="003735D6" w:rsidP="003735D6">
            <w:pPr>
              <w:pStyle w:val="Tablas"/>
            </w:pPr>
            <w:r w:rsidRPr="00C56EC9">
              <w:t>63</w:t>
            </w:r>
          </w:p>
        </w:tc>
        <w:tc>
          <w:tcPr>
            <w:tcW w:w="653" w:type="pct"/>
            <w:tcBorders>
              <w:top w:val="nil"/>
              <w:left w:val="nil"/>
              <w:bottom w:val="single" w:sz="4" w:space="0" w:color="auto"/>
              <w:right w:val="single" w:sz="4" w:space="0" w:color="auto"/>
            </w:tcBorders>
            <w:shd w:val="clear" w:color="auto" w:fill="auto"/>
            <w:noWrap/>
            <w:vAlign w:val="bottom"/>
            <w:hideMark/>
          </w:tcPr>
          <w:p w14:paraId="6BE00C9E" w14:textId="77777777" w:rsidR="003735D6" w:rsidRPr="00C56EC9" w:rsidRDefault="003735D6" w:rsidP="003735D6">
            <w:pPr>
              <w:pStyle w:val="Tablas"/>
            </w:pPr>
            <w:r w:rsidRPr="00C56EC9">
              <w:t xml:space="preserve">$5.24 </w:t>
            </w:r>
          </w:p>
        </w:tc>
        <w:tc>
          <w:tcPr>
            <w:tcW w:w="681" w:type="pct"/>
            <w:tcBorders>
              <w:top w:val="nil"/>
              <w:left w:val="nil"/>
              <w:bottom w:val="single" w:sz="4" w:space="0" w:color="auto"/>
              <w:right w:val="single" w:sz="4" w:space="0" w:color="auto"/>
            </w:tcBorders>
            <w:shd w:val="clear" w:color="auto" w:fill="auto"/>
            <w:noWrap/>
            <w:vAlign w:val="bottom"/>
            <w:hideMark/>
          </w:tcPr>
          <w:p w14:paraId="0D50EA95" w14:textId="77777777" w:rsidR="003735D6" w:rsidRPr="00C56EC9" w:rsidRDefault="003735D6" w:rsidP="003735D6">
            <w:pPr>
              <w:pStyle w:val="Tablas"/>
            </w:pPr>
            <w:r w:rsidRPr="00C56EC9">
              <w:t>30%</w:t>
            </w:r>
          </w:p>
        </w:tc>
        <w:tc>
          <w:tcPr>
            <w:tcW w:w="481" w:type="pct"/>
            <w:tcBorders>
              <w:top w:val="nil"/>
              <w:left w:val="nil"/>
              <w:bottom w:val="single" w:sz="4" w:space="0" w:color="auto"/>
              <w:right w:val="single" w:sz="8" w:space="0" w:color="auto"/>
            </w:tcBorders>
            <w:shd w:val="clear" w:color="auto" w:fill="auto"/>
            <w:noWrap/>
            <w:vAlign w:val="bottom"/>
            <w:hideMark/>
          </w:tcPr>
          <w:p w14:paraId="7444203B" w14:textId="77777777" w:rsidR="003735D6" w:rsidRPr="00C56EC9" w:rsidRDefault="003735D6" w:rsidP="003735D6">
            <w:pPr>
              <w:pStyle w:val="Tablas"/>
            </w:pPr>
            <w:r w:rsidRPr="00C56EC9">
              <w:t>0%</w:t>
            </w:r>
          </w:p>
        </w:tc>
      </w:tr>
      <w:tr w:rsidR="003735D6" w:rsidRPr="00C56EC9" w14:paraId="2C540931"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230D718E" w14:textId="77777777" w:rsidR="003735D6" w:rsidRPr="00C56EC9" w:rsidRDefault="003735D6" w:rsidP="003735D6">
            <w:pPr>
              <w:pStyle w:val="Tablas"/>
            </w:pPr>
            <w:r w:rsidRPr="00C56EC9">
              <w:t>41</w:t>
            </w:r>
          </w:p>
        </w:tc>
        <w:tc>
          <w:tcPr>
            <w:tcW w:w="1136" w:type="pct"/>
            <w:tcBorders>
              <w:top w:val="nil"/>
              <w:left w:val="nil"/>
              <w:bottom w:val="single" w:sz="4" w:space="0" w:color="auto"/>
              <w:right w:val="single" w:sz="4" w:space="0" w:color="auto"/>
            </w:tcBorders>
            <w:shd w:val="clear" w:color="auto" w:fill="auto"/>
            <w:noWrap/>
            <w:vAlign w:val="bottom"/>
            <w:hideMark/>
          </w:tcPr>
          <w:p w14:paraId="55CA20F0" w14:textId="77777777" w:rsidR="003735D6" w:rsidRPr="00C56EC9" w:rsidRDefault="003735D6" w:rsidP="003735D6">
            <w:pPr>
              <w:pStyle w:val="Tablas"/>
            </w:pPr>
            <w:r w:rsidRPr="00C56EC9">
              <w:t xml:space="preserve">$4.01 </w:t>
            </w:r>
          </w:p>
        </w:tc>
        <w:tc>
          <w:tcPr>
            <w:tcW w:w="678" w:type="pct"/>
            <w:tcBorders>
              <w:top w:val="nil"/>
              <w:left w:val="nil"/>
              <w:bottom w:val="single" w:sz="4" w:space="0" w:color="auto"/>
              <w:right w:val="single" w:sz="4" w:space="0" w:color="auto"/>
            </w:tcBorders>
            <w:shd w:val="clear" w:color="auto" w:fill="auto"/>
            <w:noWrap/>
            <w:vAlign w:val="bottom"/>
            <w:hideMark/>
          </w:tcPr>
          <w:p w14:paraId="465E748C"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30AA0523"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0593E73C" w14:textId="77777777" w:rsidR="003735D6" w:rsidRPr="00C56EC9" w:rsidRDefault="003735D6" w:rsidP="003735D6">
            <w:pPr>
              <w:pStyle w:val="Tablas"/>
            </w:pPr>
            <w:r w:rsidRPr="00C56EC9">
              <w:t>64</w:t>
            </w:r>
          </w:p>
        </w:tc>
        <w:tc>
          <w:tcPr>
            <w:tcW w:w="653" w:type="pct"/>
            <w:tcBorders>
              <w:top w:val="nil"/>
              <w:left w:val="nil"/>
              <w:bottom w:val="single" w:sz="4" w:space="0" w:color="auto"/>
              <w:right w:val="single" w:sz="4" w:space="0" w:color="auto"/>
            </w:tcBorders>
            <w:shd w:val="clear" w:color="auto" w:fill="auto"/>
            <w:noWrap/>
            <w:vAlign w:val="bottom"/>
            <w:hideMark/>
          </w:tcPr>
          <w:p w14:paraId="161AA245" w14:textId="77777777" w:rsidR="003735D6" w:rsidRPr="00C56EC9" w:rsidRDefault="003735D6" w:rsidP="003735D6">
            <w:pPr>
              <w:pStyle w:val="Tablas"/>
            </w:pPr>
            <w:r w:rsidRPr="00C56EC9">
              <w:t xml:space="preserve">$5.34 </w:t>
            </w:r>
          </w:p>
        </w:tc>
        <w:tc>
          <w:tcPr>
            <w:tcW w:w="681" w:type="pct"/>
            <w:tcBorders>
              <w:top w:val="nil"/>
              <w:left w:val="nil"/>
              <w:bottom w:val="single" w:sz="4" w:space="0" w:color="auto"/>
              <w:right w:val="single" w:sz="4" w:space="0" w:color="auto"/>
            </w:tcBorders>
            <w:shd w:val="clear" w:color="auto" w:fill="auto"/>
            <w:noWrap/>
            <w:vAlign w:val="bottom"/>
            <w:hideMark/>
          </w:tcPr>
          <w:p w14:paraId="16CFF0C2" w14:textId="77777777" w:rsidR="003735D6" w:rsidRPr="00C56EC9" w:rsidRDefault="003735D6" w:rsidP="003735D6">
            <w:pPr>
              <w:pStyle w:val="Tablas"/>
            </w:pPr>
            <w:r w:rsidRPr="00C56EC9">
              <w:t>15%</w:t>
            </w:r>
          </w:p>
        </w:tc>
        <w:tc>
          <w:tcPr>
            <w:tcW w:w="481" w:type="pct"/>
            <w:tcBorders>
              <w:top w:val="nil"/>
              <w:left w:val="nil"/>
              <w:bottom w:val="single" w:sz="4" w:space="0" w:color="auto"/>
              <w:right w:val="single" w:sz="8" w:space="0" w:color="auto"/>
            </w:tcBorders>
            <w:shd w:val="clear" w:color="auto" w:fill="auto"/>
            <w:noWrap/>
            <w:vAlign w:val="bottom"/>
            <w:hideMark/>
          </w:tcPr>
          <w:p w14:paraId="42540517" w14:textId="77777777" w:rsidR="003735D6" w:rsidRPr="00C56EC9" w:rsidRDefault="003735D6" w:rsidP="003735D6">
            <w:pPr>
              <w:pStyle w:val="Tablas"/>
            </w:pPr>
            <w:r w:rsidRPr="00C56EC9">
              <w:t>0%</w:t>
            </w:r>
          </w:p>
        </w:tc>
      </w:tr>
      <w:tr w:rsidR="003735D6" w:rsidRPr="00C56EC9" w14:paraId="6F54460F"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2EF15B5E" w14:textId="77777777" w:rsidR="003735D6" w:rsidRPr="00C56EC9" w:rsidRDefault="003735D6" w:rsidP="003735D6">
            <w:pPr>
              <w:pStyle w:val="Tablas"/>
            </w:pPr>
            <w:r w:rsidRPr="00C56EC9">
              <w:t>42</w:t>
            </w:r>
          </w:p>
        </w:tc>
        <w:tc>
          <w:tcPr>
            <w:tcW w:w="1136" w:type="pct"/>
            <w:tcBorders>
              <w:top w:val="nil"/>
              <w:left w:val="nil"/>
              <w:bottom w:val="single" w:sz="4" w:space="0" w:color="auto"/>
              <w:right w:val="single" w:sz="4" w:space="0" w:color="auto"/>
            </w:tcBorders>
            <w:shd w:val="clear" w:color="auto" w:fill="auto"/>
            <w:noWrap/>
            <w:vAlign w:val="bottom"/>
            <w:hideMark/>
          </w:tcPr>
          <w:p w14:paraId="7C4AF252" w14:textId="77777777" w:rsidR="003735D6" w:rsidRPr="00C56EC9" w:rsidRDefault="003735D6" w:rsidP="003735D6">
            <w:pPr>
              <w:pStyle w:val="Tablas"/>
            </w:pPr>
            <w:r w:rsidRPr="00C56EC9">
              <w:t xml:space="preserve">$4.04 </w:t>
            </w:r>
          </w:p>
        </w:tc>
        <w:tc>
          <w:tcPr>
            <w:tcW w:w="678" w:type="pct"/>
            <w:tcBorders>
              <w:top w:val="nil"/>
              <w:left w:val="nil"/>
              <w:bottom w:val="single" w:sz="4" w:space="0" w:color="auto"/>
              <w:right w:val="single" w:sz="4" w:space="0" w:color="auto"/>
            </w:tcBorders>
            <w:shd w:val="clear" w:color="auto" w:fill="auto"/>
            <w:noWrap/>
            <w:vAlign w:val="bottom"/>
            <w:hideMark/>
          </w:tcPr>
          <w:p w14:paraId="623F3770"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2E3EA313"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3402CC25" w14:textId="77777777" w:rsidR="003735D6" w:rsidRPr="00C56EC9" w:rsidRDefault="003735D6" w:rsidP="003735D6">
            <w:pPr>
              <w:pStyle w:val="Tablas"/>
            </w:pPr>
            <w:r w:rsidRPr="00C56EC9">
              <w:t>65</w:t>
            </w:r>
          </w:p>
        </w:tc>
        <w:tc>
          <w:tcPr>
            <w:tcW w:w="653" w:type="pct"/>
            <w:tcBorders>
              <w:top w:val="nil"/>
              <w:left w:val="nil"/>
              <w:bottom w:val="single" w:sz="4" w:space="0" w:color="auto"/>
              <w:right w:val="single" w:sz="4" w:space="0" w:color="auto"/>
            </w:tcBorders>
            <w:shd w:val="clear" w:color="auto" w:fill="auto"/>
            <w:noWrap/>
            <w:vAlign w:val="bottom"/>
            <w:hideMark/>
          </w:tcPr>
          <w:p w14:paraId="6A5E82C7" w14:textId="77777777" w:rsidR="003735D6" w:rsidRPr="00C56EC9" w:rsidRDefault="003735D6" w:rsidP="003735D6">
            <w:pPr>
              <w:pStyle w:val="Tablas"/>
            </w:pPr>
            <w:r w:rsidRPr="00C56EC9">
              <w:t xml:space="preserve">$5.44 </w:t>
            </w:r>
          </w:p>
        </w:tc>
        <w:tc>
          <w:tcPr>
            <w:tcW w:w="681" w:type="pct"/>
            <w:tcBorders>
              <w:top w:val="nil"/>
              <w:left w:val="nil"/>
              <w:bottom w:val="single" w:sz="4" w:space="0" w:color="auto"/>
              <w:right w:val="single" w:sz="4" w:space="0" w:color="auto"/>
            </w:tcBorders>
            <w:shd w:val="clear" w:color="auto" w:fill="auto"/>
            <w:noWrap/>
            <w:vAlign w:val="bottom"/>
            <w:hideMark/>
          </w:tcPr>
          <w:p w14:paraId="46CBF63E"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19B27C39" w14:textId="77777777" w:rsidR="003735D6" w:rsidRPr="00C56EC9" w:rsidRDefault="003735D6" w:rsidP="003735D6">
            <w:pPr>
              <w:pStyle w:val="Tablas"/>
            </w:pPr>
            <w:r w:rsidRPr="00C56EC9">
              <w:t>0%</w:t>
            </w:r>
          </w:p>
        </w:tc>
      </w:tr>
      <w:tr w:rsidR="003735D6" w:rsidRPr="00C56EC9" w14:paraId="70AA5B54"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F10A5DD" w14:textId="77777777" w:rsidR="003735D6" w:rsidRPr="00C56EC9" w:rsidRDefault="003735D6" w:rsidP="003735D6">
            <w:pPr>
              <w:pStyle w:val="Tablas"/>
            </w:pPr>
            <w:r w:rsidRPr="00C56EC9">
              <w:t>43</w:t>
            </w:r>
          </w:p>
        </w:tc>
        <w:tc>
          <w:tcPr>
            <w:tcW w:w="1136" w:type="pct"/>
            <w:tcBorders>
              <w:top w:val="nil"/>
              <w:left w:val="nil"/>
              <w:bottom w:val="single" w:sz="4" w:space="0" w:color="auto"/>
              <w:right w:val="single" w:sz="4" w:space="0" w:color="auto"/>
            </w:tcBorders>
            <w:shd w:val="clear" w:color="auto" w:fill="auto"/>
            <w:noWrap/>
            <w:vAlign w:val="bottom"/>
            <w:hideMark/>
          </w:tcPr>
          <w:p w14:paraId="0CB7BEDE" w14:textId="77777777" w:rsidR="003735D6" w:rsidRPr="00C56EC9" w:rsidRDefault="003735D6" w:rsidP="003735D6">
            <w:pPr>
              <w:pStyle w:val="Tablas"/>
            </w:pPr>
            <w:r w:rsidRPr="00C56EC9">
              <w:t xml:space="preserve">$4.08 </w:t>
            </w:r>
          </w:p>
        </w:tc>
        <w:tc>
          <w:tcPr>
            <w:tcW w:w="678" w:type="pct"/>
            <w:tcBorders>
              <w:top w:val="nil"/>
              <w:left w:val="nil"/>
              <w:bottom w:val="single" w:sz="4" w:space="0" w:color="auto"/>
              <w:right w:val="single" w:sz="4" w:space="0" w:color="auto"/>
            </w:tcBorders>
            <w:shd w:val="clear" w:color="auto" w:fill="auto"/>
            <w:noWrap/>
            <w:vAlign w:val="bottom"/>
            <w:hideMark/>
          </w:tcPr>
          <w:p w14:paraId="00220B3E"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3515ECAA"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252516DE" w14:textId="77777777" w:rsidR="003735D6" w:rsidRPr="00C56EC9" w:rsidRDefault="003735D6" w:rsidP="003735D6">
            <w:pPr>
              <w:pStyle w:val="Tablas"/>
            </w:pPr>
            <w:r w:rsidRPr="00C56EC9">
              <w:t>66</w:t>
            </w:r>
          </w:p>
        </w:tc>
        <w:tc>
          <w:tcPr>
            <w:tcW w:w="653" w:type="pct"/>
            <w:tcBorders>
              <w:top w:val="nil"/>
              <w:left w:val="nil"/>
              <w:bottom w:val="single" w:sz="4" w:space="0" w:color="auto"/>
              <w:right w:val="single" w:sz="4" w:space="0" w:color="auto"/>
            </w:tcBorders>
            <w:shd w:val="clear" w:color="auto" w:fill="auto"/>
            <w:noWrap/>
            <w:vAlign w:val="bottom"/>
            <w:hideMark/>
          </w:tcPr>
          <w:p w14:paraId="1AEB1419" w14:textId="77777777" w:rsidR="003735D6" w:rsidRPr="00C56EC9" w:rsidRDefault="003735D6" w:rsidP="003735D6">
            <w:pPr>
              <w:pStyle w:val="Tablas"/>
            </w:pPr>
            <w:r w:rsidRPr="00C56EC9">
              <w:t xml:space="preserve">$5.55 </w:t>
            </w:r>
          </w:p>
        </w:tc>
        <w:tc>
          <w:tcPr>
            <w:tcW w:w="681" w:type="pct"/>
            <w:tcBorders>
              <w:top w:val="nil"/>
              <w:left w:val="nil"/>
              <w:bottom w:val="single" w:sz="4" w:space="0" w:color="auto"/>
              <w:right w:val="single" w:sz="4" w:space="0" w:color="auto"/>
            </w:tcBorders>
            <w:shd w:val="clear" w:color="auto" w:fill="auto"/>
            <w:noWrap/>
            <w:vAlign w:val="bottom"/>
            <w:hideMark/>
          </w:tcPr>
          <w:p w14:paraId="476EC791"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7FEAE043" w14:textId="77777777" w:rsidR="003735D6" w:rsidRPr="00C56EC9" w:rsidRDefault="003735D6" w:rsidP="003735D6">
            <w:pPr>
              <w:pStyle w:val="Tablas"/>
            </w:pPr>
            <w:r w:rsidRPr="00C56EC9">
              <w:t>0%</w:t>
            </w:r>
          </w:p>
        </w:tc>
      </w:tr>
      <w:tr w:rsidR="003735D6" w:rsidRPr="00C56EC9" w14:paraId="2B946B0A"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27EA26C" w14:textId="77777777" w:rsidR="003735D6" w:rsidRPr="00C56EC9" w:rsidRDefault="003735D6" w:rsidP="003735D6">
            <w:pPr>
              <w:pStyle w:val="Tablas"/>
            </w:pPr>
            <w:r w:rsidRPr="00C56EC9">
              <w:t>44</w:t>
            </w:r>
          </w:p>
        </w:tc>
        <w:tc>
          <w:tcPr>
            <w:tcW w:w="1136" w:type="pct"/>
            <w:tcBorders>
              <w:top w:val="nil"/>
              <w:left w:val="nil"/>
              <w:bottom w:val="single" w:sz="4" w:space="0" w:color="auto"/>
              <w:right w:val="single" w:sz="4" w:space="0" w:color="auto"/>
            </w:tcBorders>
            <w:shd w:val="clear" w:color="auto" w:fill="auto"/>
            <w:noWrap/>
            <w:vAlign w:val="bottom"/>
            <w:hideMark/>
          </w:tcPr>
          <w:p w14:paraId="5F29DB47" w14:textId="77777777" w:rsidR="003735D6" w:rsidRPr="00C56EC9" w:rsidRDefault="003735D6" w:rsidP="003735D6">
            <w:pPr>
              <w:pStyle w:val="Tablas"/>
            </w:pPr>
            <w:r w:rsidRPr="00C56EC9">
              <w:t xml:space="preserve">$4.11 </w:t>
            </w:r>
          </w:p>
        </w:tc>
        <w:tc>
          <w:tcPr>
            <w:tcW w:w="678" w:type="pct"/>
            <w:tcBorders>
              <w:top w:val="nil"/>
              <w:left w:val="nil"/>
              <w:bottom w:val="single" w:sz="4" w:space="0" w:color="auto"/>
              <w:right w:val="single" w:sz="4" w:space="0" w:color="auto"/>
            </w:tcBorders>
            <w:shd w:val="clear" w:color="auto" w:fill="auto"/>
            <w:noWrap/>
            <w:vAlign w:val="bottom"/>
            <w:hideMark/>
          </w:tcPr>
          <w:p w14:paraId="63CE2F06"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77EED929"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210DEDE3" w14:textId="77777777" w:rsidR="003735D6" w:rsidRPr="00C56EC9" w:rsidRDefault="003735D6" w:rsidP="003735D6">
            <w:pPr>
              <w:pStyle w:val="Tablas"/>
            </w:pPr>
            <w:r w:rsidRPr="00C56EC9">
              <w:t>67</w:t>
            </w:r>
          </w:p>
        </w:tc>
        <w:tc>
          <w:tcPr>
            <w:tcW w:w="653" w:type="pct"/>
            <w:tcBorders>
              <w:top w:val="nil"/>
              <w:left w:val="nil"/>
              <w:bottom w:val="single" w:sz="4" w:space="0" w:color="auto"/>
              <w:right w:val="single" w:sz="4" w:space="0" w:color="auto"/>
            </w:tcBorders>
            <w:shd w:val="clear" w:color="auto" w:fill="auto"/>
            <w:noWrap/>
            <w:vAlign w:val="bottom"/>
            <w:hideMark/>
          </w:tcPr>
          <w:p w14:paraId="2E6BD7D6" w14:textId="77777777" w:rsidR="003735D6" w:rsidRPr="00C56EC9" w:rsidRDefault="003735D6" w:rsidP="003735D6">
            <w:pPr>
              <w:pStyle w:val="Tablas"/>
            </w:pPr>
            <w:r w:rsidRPr="00C56EC9">
              <w:t xml:space="preserve">$5.66 </w:t>
            </w:r>
          </w:p>
        </w:tc>
        <w:tc>
          <w:tcPr>
            <w:tcW w:w="681" w:type="pct"/>
            <w:tcBorders>
              <w:top w:val="nil"/>
              <w:left w:val="nil"/>
              <w:bottom w:val="single" w:sz="4" w:space="0" w:color="auto"/>
              <w:right w:val="single" w:sz="4" w:space="0" w:color="auto"/>
            </w:tcBorders>
            <w:shd w:val="clear" w:color="auto" w:fill="auto"/>
            <w:noWrap/>
            <w:vAlign w:val="bottom"/>
            <w:hideMark/>
          </w:tcPr>
          <w:p w14:paraId="7A43F352"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1BDA950A" w14:textId="77777777" w:rsidR="003735D6" w:rsidRPr="00C56EC9" w:rsidRDefault="003735D6" w:rsidP="003735D6">
            <w:pPr>
              <w:pStyle w:val="Tablas"/>
            </w:pPr>
            <w:r w:rsidRPr="00C56EC9">
              <w:t>0%</w:t>
            </w:r>
          </w:p>
        </w:tc>
      </w:tr>
      <w:tr w:rsidR="003735D6" w:rsidRPr="00C56EC9" w14:paraId="338E7814"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7DB2044" w14:textId="77777777" w:rsidR="003735D6" w:rsidRPr="00C56EC9" w:rsidRDefault="003735D6" w:rsidP="003735D6">
            <w:pPr>
              <w:pStyle w:val="Tablas"/>
            </w:pPr>
            <w:r w:rsidRPr="00C56EC9">
              <w:t>45</w:t>
            </w:r>
          </w:p>
        </w:tc>
        <w:tc>
          <w:tcPr>
            <w:tcW w:w="1136" w:type="pct"/>
            <w:tcBorders>
              <w:top w:val="nil"/>
              <w:left w:val="nil"/>
              <w:bottom w:val="single" w:sz="4" w:space="0" w:color="auto"/>
              <w:right w:val="single" w:sz="4" w:space="0" w:color="auto"/>
            </w:tcBorders>
            <w:shd w:val="clear" w:color="auto" w:fill="auto"/>
            <w:noWrap/>
            <w:vAlign w:val="bottom"/>
            <w:hideMark/>
          </w:tcPr>
          <w:p w14:paraId="2C71D567" w14:textId="77777777" w:rsidR="003735D6" w:rsidRPr="00C56EC9" w:rsidRDefault="003735D6" w:rsidP="003735D6">
            <w:pPr>
              <w:pStyle w:val="Tablas"/>
            </w:pPr>
            <w:r w:rsidRPr="00C56EC9">
              <w:t xml:space="preserve">$4.15 </w:t>
            </w:r>
          </w:p>
        </w:tc>
        <w:tc>
          <w:tcPr>
            <w:tcW w:w="678" w:type="pct"/>
            <w:tcBorders>
              <w:top w:val="nil"/>
              <w:left w:val="nil"/>
              <w:bottom w:val="single" w:sz="4" w:space="0" w:color="auto"/>
              <w:right w:val="single" w:sz="4" w:space="0" w:color="auto"/>
            </w:tcBorders>
            <w:shd w:val="clear" w:color="auto" w:fill="auto"/>
            <w:noWrap/>
            <w:vAlign w:val="bottom"/>
            <w:hideMark/>
          </w:tcPr>
          <w:p w14:paraId="26149E45"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00088C58" w14:textId="77777777" w:rsidR="003735D6" w:rsidRPr="00C56EC9" w:rsidRDefault="003735D6" w:rsidP="003735D6">
            <w:pPr>
              <w:pStyle w:val="Tablas"/>
            </w:pPr>
            <w:r w:rsidRPr="00C56EC9">
              <w:t>100%</w:t>
            </w:r>
          </w:p>
        </w:tc>
        <w:tc>
          <w:tcPr>
            <w:tcW w:w="581" w:type="pct"/>
            <w:tcBorders>
              <w:top w:val="nil"/>
              <w:left w:val="nil"/>
              <w:bottom w:val="single" w:sz="4" w:space="0" w:color="auto"/>
              <w:right w:val="single" w:sz="4" w:space="0" w:color="auto"/>
            </w:tcBorders>
            <w:shd w:val="clear" w:color="auto" w:fill="auto"/>
            <w:noWrap/>
            <w:vAlign w:val="bottom"/>
            <w:hideMark/>
          </w:tcPr>
          <w:p w14:paraId="62FCC630" w14:textId="77777777" w:rsidR="003735D6" w:rsidRPr="00C56EC9" w:rsidRDefault="003735D6" w:rsidP="003735D6">
            <w:pPr>
              <w:pStyle w:val="Tablas"/>
            </w:pPr>
            <w:r w:rsidRPr="00C56EC9">
              <w:t>68</w:t>
            </w:r>
          </w:p>
        </w:tc>
        <w:tc>
          <w:tcPr>
            <w:tcW w:w="653" w:type="pct"/>
            <w:tcBorders>
              <w:top w:val="nil"/>
              <w:left w:val="nil"/>
              <w:bottom w:val="single" w:sz="4" w:space="0" w:color="auto"/>
              <w:right w:val="single" w:sz="4" w:space="0" w:color="auto"/>
            </w:tcBorders>
            <w:shd w:val="clear" w:color="auto" w:fill="auto"/>
            <w:noWrap/>
            <w:vAlign w:val="bottom"/>
            <w:hideMark/>
          </w:tcPr>
          <w:p w14:paraId="164BFE73" w14:textId="77777777" w:rsidR="003735D6" w:rsidRPr="00C56EC9" w:rsidRDefault="003735D6" w:rsidP="003735D6">
            <w:pPr>
              <w:pStyle w:val="Tablas"/>
            </w:pPr>
            <w:r w:rsidRPr="00C56EC9">
              <w:t xml:space="preserve">$5.78 </w:t>
            </w:r>
          </w:p>
        </w:tc>
        <w:tc>
          <w:tcPr>
            <w:tcW w:w="681" w:type="pct"/>
            <w:tcBorders>
              <w:top w:val="nil"/>
              <w:left w:val="nil"/>
              <w:bottom w:val="single" w:sz="4" w:space="0" w:color="auto"/>
              <w:right w:val="single" w:sz="4" w:space="0" w:color="auto"/>
            </w:tcBorders>
            <w:shd w:val="clear" w:color="auto" w:fill="auto"/>
            <w:noWrap/>
            <w:vAlign w:val="bottom"/>
            <w:hideMark/>
          </w:tcPr>
          <w:p w14:paraId="7C6D4F2D"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0883638B" w14:textId="77777777" w:rsidR="003735D6" w:rsidRPr="00C56EC9" w:rsidRDefault="003735D6" w:rsidP="003735D6">
            <w:pPr>
              <w:pStyle w:val="Tablas"/>
            </w:pPr>
            <w:r w:rsidRPr="00C56EC9">
              <w:t>0%</w:t>
            </w:r>
          </w:p>
        </w:tc>
      </w:tr>
      <w:tr w:rsidR="003735D6" w:rsidRPr="00C56EC9" w14:paraId="7706B3A7"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BA17406" w14:textId="77777777" w:rsidR="003735D6" w:rsidRPr="00C56EC9" w:rsidRDefault="003735D6" w:rsidP="003735D6">
            <w:pPr>
              <w:pStyle w:val="Tablas"/>
            </w:pPr>
            <w:r w:rsidRPr="00C56EC9">
              <w:t>46</w:t>
            </w:r>
          </w:p>
        </w:tc>
        <w:tc>
          <w:tcPr>
            <w:tcW w:w="1136" w:type="pct"/>
            <w:tcBorders>
              <w:top w:val="nil"/>
              <w:left w:val="nil"/>
              <w:bottom w:val="single" w:sz="4" w:space="0" w:color="auto"/>
              <w:right w:val="single" w:sz="4" w:space="0" w:color="auto"/>
            </w:tcBorders>
            <w:shd w:val="clear" w:color="auto" w:fill="auto"/>
            <w:noWrap/>
            <w:vAlign w:val="bottom"/>
            <w:hideMark/>
          </w:tcPr>
          <w:p w14:paraId="7BED056F" w14:textId="77777777" w:rsidR="003735D6" w:rsidRPr="00C56EC9" w:rsidRDefault="003735D6" w:rsidP="003735D6">
            <w:pPr>
              <w:pStyle w:val="Tablas"/>
            </w:pPr>
            <w:r w:rsidRPr="00C56EC9">
              <w:t xml:space="preserve">$4.19 </w:t>
            </w:r>
          </w:p>
        </w:tc>
        <w:tc>
          <w:tcPr>
            <w:tcW w:w="678" w:type="pct"/>
            <w:tcBorders>
              <w:top w:val="nil"/>
              <w:left w:val="nil"/>
              <w:bottom w:val="single" w:sz="4" w:space="0" w:color="auto"/>
              <w:right w:val="single" w:sz="4" w:space="0" w:color="auto"/>
            </w:tcBorders>
            <w:shd w:val="clear" w:color="auto" w:fill="auto"/>
            <w:noWrap/>
            <w:vAlign w:val="bottom"/>
            <w:hideMark/>
          </w:tcPr>
          <w:p w14:paraId="4EF66BE2"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5E95A0FB" w14:textId="77777777" w:rsidR="003735D6" w:rsidRPr="00C56EC9" w:rsidRDefault="003735D6" w:rsidP="003735D6">
            <w:pPr>
              <w:pStyle w:val="Tablas"/>
            </w:pPr>
            <w:r w:rsidRPr="00C56EC9">
              <w:t>90%</w:t>
            </w:r>
          </w:p>
        </w:tc>
        <w:tc>
          <w:tcPr>
            <w:tcW w:w="581" w:type="pct"/>
            <w:tcBorders>
              <w:top w:val="nil"/>
              <w:left w:val="nil"/>
              <w:bottom w:val="single" w:sz="4" w:space="0" w:color="auto"/>
              <w:right w:val="single" w:sz="4" w:space="0" w:color="auto"/>
            </w:tcBorders>
            <w:shd w:val="clear" w:color="auto" w:fill="auto"/>
            <w:noWrap/>
            <w:vAlign w:val="bottom"/>
            <w:hideMark/>
          </w:tcPr>
          <w:p w14:paraId="2D4D9BE5" w14:textId="77777777" w:rsidR="003735D6" w:rsidRPr="00C56EC9" w:rsidRDefault="003735D6" w:rsidP="003735D6">
            <w:pPr>
              <w:pStyle w:val="Tablas"/>
            </w:pPr>
            <w:r w:rsidRPr="00C56EC9">
              <w:t>69</w:t>
            </w:r>
          </w:p>
        </w:tc>
        <w:tc>
          <w:tcPr>
            <w:tcW w:w="653" w:type="pct"/>
            <w:tcBorders>
              <w:top w:val="nil"/>
              <w:left w:val="nil"/>
              <w:bottom w:val="single" w:sz="4" w:space="0" w:color="auto"/>
              <w:right w:val="single" w:sz="4" w:space="0" w:color="auto"/>
            </w:tcBorders>
            <w:shd w:val="clear" w:color="auto" w:fill="auto"/>
            <w:noWrap/>
            <w:vAlign w:val="bottom"/>
            <w:hideMark/>
          </w:tcPr>
          <w:p w14:paraId="15626A73" w14:textId="77777777" w:rsidR="003735D6" w:rsidRPr="00C56EC9" w:rsidRDefault="003735D6" w:rsidP="003735D6">
            <w:pPr>
              <w:pStyle w:val="Tablas"/>
            </w:pPr>
            <w:r w:rsidRPr="00C56EC9">
              <w:t xml:space="preserve">$5.91 </w:t>
            </w:r>
          </w:p>
        </w:tc>
        <w:tc>
          <w:tcPr>
            <w:tcW w:w="681" w:type="pct"/>
            <w:tcBorders>
              <w:top w:val="nil"/>
              <w:left w:val="nil"/>
              <w:bottom w:val="single" w:sz="4" w:space="0" w:color="auto"/>
              <w:right w:val="single" w:sz="4" w:space="0" w:color="auto"/>
            </w:tcBorders>
            <w:shd w:val="clear" w:color="auto" w:fill="auto"/>
            <w:noWrap/>
            <w:vAlign w:val="bottom"/>
            <w:hideMark/>
          </w:tcPr>
          <w:p w14:paraId="7B9A7179"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6F003BE5" w14:textId="77777777" w:rsidR="003735D6" w:rsidRPr="00C56EC9" w:rsidRDefault="003735D6" w:rsidP="003735D6">
            <w:pPr>
              <w:pStyle w:val="Tablas"/>
            </w:pPr>
            <w:r w:rsidRPr="00C56EC9">
              <w:t>0%</w:t>
            </w:r>
          </w:p>
        </w:tc>
      </w:tr>
      <w:tr w:rsidR="003735D6" w:rsidRPr="00C56EC9" w14:paraId="75D4DF42"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7270A6C" w14:textId="77777777" w:rsidR="003735D6" w:rsidRPr="00C56EC9" w:rsidRDefault="003735D6" w:rsidP="003735D6">
            <w:pPr>
              <w:pStyle w:val="Tablas"/>
            </w:pPr>
            <w:r w:rsidRPr="00C56EC9">
              <w:t>47</w:t>
            </w:r>
          </w:p>
        </w:tc>
        <w:tc>
          <w:tcPr>
            <w:tcW w:w="1136" w:type="pct"/>
            <w:tcBorders>
              <w:top w:val="nil"/>
              <w:left w:val="nil"/>
              <w:bottom w:val="single" w:sz="4" w:space="0" w:color="auto"/>
              <w:right w:val="single" w:sz="4" w:space="0" w:color="auto"/>
            </w:tcBorders>
            <w:shd w:val="clear" w:color="auto" w:fill="auto"/>
            <w:noWrap/>
            <w:vAlign w:val="bottom"/>
            <w:hideMark/>
          </w:tcPr>
          <w:p w14:paraId="0FC7BBB6" w14:textId="77777777" w:rsidR="003735D6" w:rsidRPr="00C56EC9" w:rsidRDefault="003735D6" w:rsidP="003735D6">
            <w:pPr>
              <w:pStyle w:val="Tablas"/>
            </w:pPr>
            <w:r w:rsidRPr="00C56EC9">
              <w:t xml:space="preserve">$4.23 </w:t>
            </w:r>
          </w:p>
        </w:tc>
        <w:tc>
          <w:tcPr>
            <w:tcW w:w="678" w:type="pct"/>
            <w:tcBorders>
              <w:top w:val="nil"/>
              <w:left w:val="nil"/>
              <w:bottom w:val="single" w:sz="4" w:space="0" w:color="auto"/>
              <w:right w:val="single" w:sz="4" w:space="0" w:color="auto"/>
            </w:tcBorders>
            <w:shd w:val="clear" w:color="auto" w:fill="auto"/>
            <w:noWrap/>
            <w:vAlign w:val="bottom"/>
            <w:hideMark/>
          </w:tcPr>
          <w:p w14:paraId="7C78ECDC"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4623B985" w14:textId="77777777" w:rsidR="003735D6" w:rsidRPr="00C56EC9" w:rsidRDefault="003735D6" w:rsidP="003735D6">
            <w:pPr>
              <w:pStyle w:val="Tablas"/>
            </w:pPr>
            <w:r w:rsidRPr="00C56EC9">
              <w:t>85%</w:t>
            </w:r>
          </w:p>
        </w:tc>
        <w:tc>
          <w:tcPr>
            <w:tcW w:w="581" w:type="pct"/>
            <w:tcBorders>
              <w:top w:val="nil"/>
              <w:left w:val="nil"/>
              <w:bottom w:val="single" w:sz="4" w:space="0" w:color="auto"/>
              <w:right w:val="single" w:sz="4" w:space="0" w:color="auto"/>
            </w:tcBorders>
            <w:shd w:val="clear" w:color="auto" w:fill="auto"/>
            <w:noWrap/>
            <w:vAlign w:val="bottom"/>
            <w:hideMark/>
          </w:tcPr>
          <w:p w14:paraId="6390F80F" w14:textId="77777777" w:rsidR="003735D6" w:rsidRPr="00C56EC9" w:rsidRDefault="003735D6" w:rsidP="003735D6">
            <w:pPr>
              <w:pStyle w:val="Tablas"/>
            </w:pPr>
            <w:r w:rsidRPr="00C56EC9">
              <w:t>70</w:t>
            </w:r>
          </w:p>
        </w:tc>
        <w:tc>
          <w:tcPr>
            <w:tcW w:w="653" w:type="pct"/>
            <w:tcBorders>
              <w:top w:val="nil"/>
              <w:left w:val="nil"/>
              <w:bottom w:val="single" w:sz="4" w:space="0" w:color="auto"/>
              <w:right w:val="single" w:sz="4" w:space="0" w:color="auto"/>
            </w:tcBorders>
            <w:shd w:val="clear" w:color="auto" w:fill="auto"/>
            <w:noWrap/>
            <w:vAlign w:val="bottom"/>
            <w:hideMark/>
          </w:tcPr>
          <w:p w14:paraId="4B8941FF" w14:textId="77777777" w:rsidR="003735D6" w:rsidRPr="00C56EC9" w:rsidRDefault="003735D6" w:rsidP="003735D6">
            <w:pPr>
              <w:pStyle w:val="Tablas"/>
            </w:pPr>
            <w:r w:rsidRPr="00C56EC9">
              <w:t xml:space="preserve">$6.04 </w:t>
            </w:r>
          </w:p>
        </w:tc>
        <w:tc>
          <w:tcPr>
            <w:tcW w:w="681" w:type="pct"/>
            <w:tcBorders>
              <w:top w:val="nil"/>
              <w:left w:val="nil"/>
              <w:bottom w:val="single" w:sz="4" w:space="0" w:color="auto"/>
              <w:right w:val="single" w:sz="4" w:space="0" w:color="auto"/>
            </w:tcBorders>
            <w:shd w:val="clear" w:color="auto" w:fill="auto"/>
            <w:noWrap/>
            <w:vAlign w:val="bottom"/>
            <w:hideMark/>
          </w:tcPr>
          <w:p w14:paraId="6BB5B8B6"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357C1F98" w14:textId="77777777" w:rsidR="003735D6" w:rsidRPr="00C56EC9" w:rsidRDefault="003735D6" w:rsidP="003735D6">
            <w:pPr>
              <w:pStyle w:val="Tablas"/>
            </w:pPr>
            <w:r w:rsidRPr="00C56EC9">
              <w:t>0%</w:t>
            </w:r>
          </w:p>
        </w:tc>
      </w:tr>
      <w:tr w:rsidR="003735D6" w:rsidRPr="00C56EC9" w14:paraId="3F2E0FB3"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285ED67" w14:textId="77777777" w:rsidR="003735D6" w:rsidRPr="00C56EC9" w:rsidRDefault="003735D6" w:rsidP="003735D6">
            <w:pPr>
              <w:pStyle w:val="Tablas"/>
            </w:pPr>
            <w:r w:rsidRPr="00C56EC9">
              <w:t>48</w:t>
            </w:r>
          </w:p>
        </w:tc>
        <w:tc>
          <w:tcPr>
            <w:tcW w:w="1136" w:type="pct"/>
            <w:tcBorders>
              <w:top w:val="nil"/>
              <w:left w:val="nil"/>
              <w:bottom w:val="single" w:sz="4" w:space="0" w:color="auto"/>
              <w:right w:val="single" w:sz="4" w:space="0" w:color="auto"/>
            </w:tcBorders>
            <w:shd w:val="clear" w:color="auto" w:fill="auto"/>
            <w:noWrap/>
            <w:vAlign w:val="bottom"/>
            <w:hideMark/>
          </w:tcPr>
          <w:p w14:paraId="66F136CC" w14:textId="77777777" w:rsidR="003735D6" w:rsidRPr="00C56EC9" w:rsidRDefault="003735D6" w:rsidP="003735D6">
            <w:pPr>
              <w:pStyle w:val="Tablas"/>
            </w:pPr>
            <w:r w:rsidRPr="00C56EC9">
              <w:t xml:space="preserve">$4.27 </w:t>
            </w:r>
          </w:p>
        </w:tc>
        <w:tc>
          <w:tcPr>
            <w:tcW w:w="678" w:type="pct"/>
            <w:tcBorders>
              <w:top w:val="nil"/>
              <w:left w:val="nil"/>
              <w:bottom w:val="single" w:sz="4" w:space="0" w:color="auto"/>
              <w:right w:val="single" w:sz="4" w:space="0" w:color="auto"/>
            </w:tcBorders>
            <w:shd w:val="clear" w:color="auto" w:fill="auto"/>
            <w:noWrap/>
            <w:vAlign w:val="bottom"/>
            <w:hideMark/>
          </w:tcPr>
          <w:p w14:paraId="4ED01AA9"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209B9B1D" w14:textId="77777777" w:rsidR="003735D6" w:rsidRPr="00C56EC9" w:rsidRDefault="003735D6" w:rsidP="003735D6">
            <w:pPr>
              <w:pStyle w:val="Tablas"/>
            </w:pPr>
            <w:r w:rsidRPr="00C56EC9">
              <w:t>80%</w:t>
            </w:r>
          </w:p>
        </w:tc>
        <w:tc>
          <w:tcPr>
            <w:tcW w:w="581" w:type="pct"/>
            <w:tcBorders>
              <w:top w:val="nil"/>
              <w:left w:val="nil"/>
              <w:bottom w:val="single" w:sz="4" w:space="0" w:color="auto"/>
              <w:right w:val="single" w:sz="4" w:space="0" w:color="auto"/>
            </w:tcBorders>
            <w:shd w:val="clear" w:color="auto" w:fill="auto"/>
            <w:noWrap/>
            <w:vAlign w:val="bottom"/>
            <w:hideMark/>
          </w:tcPr>
          <w:p w14:paraId="0C9A7996" w14:textId="77777777" w:rsidR="003735D6" w:rsidRPr="00C56EC9" w:rsidRDefault="003735D6" w:rsidP="003735D6">
            <w:pPr>
              <w:pStyle w:val="Tablas"/>
            </w:pPr>
            <w:r w:rsidRPr="00C56EC9">
              <w:t>71</w:t>
            </w:r>
          </w:p>
        </w:tc>
        <w:tc>
          <w:tcPr>
            <w:tcW w:w="653" w:type="pct"/>
            <w:tcBorders>
              <w:top w:val="nil"/>
              <w:left w:val="nil"/>
              <w:bottom w:val="single" w:sz="4" w:space="0" w:color="auto"/>
              <w:right w:val="single" w:sz="4" w:space="0" w:color="auto"/>
            </w:tcBorders>
            <w:shd w:val="clear" w:color="auto" w:fill="auto"/>
            <w:noWrap/>
            <w:vAlign w:val="bottom"/>
            <w:hideMark/>
          </w:tcPr>
          <w:p w14:paraId="1D371F00" w14:textId="77777777" w:rsidR="003735D6" w:rsidRPr="00C56EC9" w:rsidRDefault="003735D6" w:rsidP="003735D6">
            <w:pPr>
              <w:pStyle w:val="Tablas"/>
            </w:pPr>
            <w:r w:rsidRPr="00C56EC9">
              <w:t xml:space="preserve">$6.18 </w:t>
            </w:r>
          </w:p>
        </w:tc>
        <w:tc>
          <w:tcPr>
            <w:tcW w:w="681" w:type="pct"/>
            <w:tcBorders>
              <w:top w:val="nil"/>
              <w:left w:val="nil"/>
              <w:bottom w:val="single" w:sz="4" w:space="0" w:color="auto"/>
              <w:right w:val="single" w:sz="4" w:space="0" w:color="auto"/>
            </w:tcBorders>
            <w:shd w:val="clear" w:color="auto" w:fill="auto"/>
            <w:noWrap/>
            <w:vAlign w:val="bottom"/>
            <w:hideMark/>
          </w:tcPr>
          <w:p w14:paraId="66ACFC9E"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15642D64" w14:textId="77777777" w:rsidR="003735D6" w:rsidRPr="00C56EC9" w:rsidRDefault="003735D6" w:rsidP="003735D6">
            <w:pPr>
              <w:pStyle w:val="Tablas"/>
            </w:pPr>
            <w:r w:rsidRPr="00C56EC9">
              <w:t>0%</w:t>
            </w:r>
          </w:p>
        </w:tc>
      </w:tr>
      <w:tr w:rsidR="003735D6" w:rsidRPr="00C56EC9" w14:paraId="0E09774D"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651D0C9C" w14:textId="77777777" w:rsidR="003735D6" w:rsidRPr="00C56EC9" w:rsidRDefault="003735D6" w:rsidP="003735D6">
            <w:pPr>
              <w:pStyle w:val="Tablas"/>
            </w:pPr>
            <w:r w:rsidRPr="00C56EC9">
              <w:t>49</w:t>
            </w:r>
          </w:p>
        </w:tc>
        <w:tc>
          <w:tcPr>
            <w:tcW w:w="1136" w:type="pct"/>
            <w:tcBorders>
              <w:top w:val="nil"/>
              <w:left w:val="nil"/>
              <w:bottom w:val="single" w:sz="4" w:space="0" w:color="auto"/>
              <w:right w:val="single" w:sz="4" w:space="0" w:color="auto"/>
            </w:tcBorders>
            <w:shd w:val="clear" w:color="auto" w:fill="auto"/>
            <w:noWrap/>
            <w:vAlign w:val="bottom"/>
            <w:hideMark/>
          </w:tcPr>
          <w:p w14:paraId="26799A8F" w14:textId="77777777" w:rsidR="003735D6" w:rsidRPr="00C56EC9" w:rsidRDefault="003735D6" w:rsidP="003735D6">
            <w:pPr>
              <w:pStyle w:val="Tablas"/>
            </w:pPr>
            <w:r w:rsidRPr="00C56EC9">
              <w:t xml:space="preserve">$4.32 </w:t>
            </w:r>
          </w:p>
        </w:tc>
        <w:tc>
          <w:tcPr>
            <w:tcW w:w="678" w:type="pct"/>
            <w:tcBorders>
              <w:top w:val="nil"/>
              <w:left w:val="nil"/>
              <w:bottom w:val="single" w:sz="4" w:space="0" w:color="auto"/>
              <w:right w:val="single" w:sz="4" w:space="0" w:color="auto"/>
            </w:tcBorders>
            <w:shd w:val="clear" w:color="auto" w:fill="auto"/>
            <w:noWrap/>
            <w:vAlign w:val="bottom"/>
            <w:hideMark/>
          </w:tcPr>
          <w:p w14:paraId="222B2A48"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6D01C6D3" w14:textId="77777777" w:rsidR="003735D6" w:rsidRPr="00C56EC9" w:rsidRDefault="003735D6" w:rsidP="003735D6">
            <w:pPr>
              <w:pStyle w:val="Tablas"/>
            </w:pPr>
            <w:r w:rsidRPr="00C56EC9">
              <w:t>75%</w:t>
            </w:r>
          </w:p>
        </w:tc>
        <w:tc>
          <w:tcPr>
            <w:tcW w:w="581" w:type="pct"/>
            <w:tcBorders>
              <w:top w:val="nil"/>
              <w:left w:val="nil"/>
              <w:bottom w:val="single" w:sz="4" w:space="0" w:color="auto"/>
              <w:right w:val="single" w:sz="4" w:space="0" w:color="auto"/>
            </w:tcBorders>
            <w:shd w:val="clear" w:color="auto" w:fill="auto"/>
            <w:noWrap/>
            <w:vAlign w:val="bottom"/>
            <w:hideMark/>
          </w:tcPr>
          <w:p w14:paraId="78356F1B" w14:textId="77777777" w:rsidR="003735D6" w:rsidRPr="00C56EC9" w:rsidRDefault="003735D6" w:rsidP="003735D6">
            <w:pPr>
              <w:pStyle w:val="Tablas"/>
            </w:pPr>
            <w:r w:rsidRPr="00C56EC9">
              <w:t>72</w:t>
            </w:r>
          </w:p>
        </w:tc>
        <w:tc>
          <w:tcPr>
            <w:tcW w:w="653" w:type="pct"/>
            <w:tcBorders>
              <w:top w:val="nil"/>
              <w:left w:val="nil"/>
              <w:bottom w:val="single" w:sz="4" w:space="0" w:color="auto"/>
              <w:right w:val="single" w:sz="4" w:space="0" w:color="auto"/>
            </w:tcBorders>
            <w:shd w:val="clear" w:color="auto" w:fill="auto"/>
            <w:noWrap/>
            <w:vAlign w:val="bottom"/>
            <w:hideMark/>
          </w:tcPr>
          <w:p w14:paraId="34F452B9" w14:textId="77777777" w:rsidR="003735D6" w:rsidRPr="00C56EC9" w:rsidRDefault="003735D6" w:rsidP="003735D6">
            <w:pPr>
              <w:pStyle w:val="Tablas"/>
            </w:pPr>
            <w:r w:rsidRPr="00C56EC9">
              <w:t xml:space="preserve">$6.33 </w:t>
            </w:r>
          </w:p>
        </w:tc>
        <w:tc>
          <w:tcPr>
            <w:tcW w:w="681" w:type="pct"/>
            <w:tcBorders>
              <w:top w:val="nil"/>
              <w:left w:val="nil"/>
              <w:bottom w:val="single" w:sz="4" w:space="0" w:color="auto"/>
              <w:right w:val="single" w:sz="4" w:space="0" w:color="auto"/>
            </w:tcBorders>
            <w:shd w:val="clear" w:color="auto" w:fill="auto"/>
            <w:noWrap/>
            <w:vAlign w:val="bottom"/>
            <w:hideMark/>
          </w:tcPr>
          <w:p w14:paraId="1C165D0C"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20FC6709" w14:textId="77777777" w:rsidR="003735D6" w:rsidRPr="00C56EC9" w:rsidRDefault="003735D6" w:rsidP="003735D6">
            <w:pPr>
              <w:pStyle w:val="Tablas"/>
            </w:pPr>
            <w:r w:rsidRPr="00C56EC9">
              <w:t>0%</w:t>
            </w:r>
          </w:p>
        </w:tc>
      </w:tr>
      <w:tr w:rsidR="003735D6" w:rsidRPr="00C56EC9" w14:paraId="4DDD364C"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1C326CD6" w14:textId="77777777" w:rsidR="003735D6" w:rsidRPr="00C56EC9" w:rsidRDefault="003735D6" w:rsidP="003735D6">
            <w:pPr>
              <w:pStyle w:val="Tablas"/>
            </w:pPr>
            <w:r w:rsidRPr="00C56EC9">
              <w:t>50</w:t>
            </w:r>
          </w:p>
        </w:tc>
        <w:tc>
          <w:tcPr>
            <w:tcW w:w="1136" w:type="pct"/>
            <w:tcBorders>
              <w:top w:val="nil"/>
              <w:left w:val="nil"/>
              <w:bottom w:val="single" w:sz="4" w:space="0" w:color="auto"/>
              <w:right w:val="single" w:sz="4" w:space="0" w:color="auto"/>
            </w:tcBorders>
            <w:shd w:val="clear" w:color="auto" w:fill="auto"/>
            <w:noWrap/>
            <w:vAlign w:val="bottom"/>
            <w:hideMark/>
          </w:tcPr>
          <w:p w14:paraId="5586197E" w14:textId="77777777" w:rsidR="003735D6" w:rsidRPr="00C56EC9" w:rsidRDefault="003735D6" w:rsidP="003735D6">
            <w:pPr>
              <w:pStyle w:val="Tablas"/>
            </w:pPr>
            <w:r w:rsidRPr="00C56EC9">
              <w:t xml:space="preserve">$4.37 </w:t>
            </w:r>
          </w:p>
        </w:tc>
        <w:tc>
          <w:tcPr>
            <w:tcW w:w="678" w:type="pct"/>
            <w:tcBorders>
              <w:top w:val="nil"/>
              <w:left w:val="nil"/>
              <w:bottom w:val="single" w:sz="4" w:space="0" w:color="auto"/>
              <w:right w:val="single" w:sz="4" w:space="0" w:color="auto"/>
            </w:tcBorders>
            <w:shd w:val="clear" w:color="auto" w:fill="auto"/>
            <w:noWrap/>
            <w:vAlign w:val="bottom"/>
            <w:hideMark/>
          </w:tcPr>
          <w:p w14:paraId="148CE91E" w14:textId="77777777" w:rsidR="003735D6" w:rsidRPr="00C56EC9" w:rsidRDefault="003735D6" w:rsidP="003735D6">
            <w:pPr>
              <w:pStyle w:val="Tablas"/>
            </w:pPr>
            <w:r w:rsidRPr="00C56EC9">
              <w:t>100%</w:t>
            </w:r>
          </w:p>
        </w:tc>
        <w:tc>
          <w:tcPr>
            <w:tcW w:w="484" w:type="pct"/>
            <w:tcBorders>
              <w:top w:val="nil"/>
              <w:left w:val="nil"/>
              <w:bottom w:val="single" w:sz="4" w:space="0" w:color="auto"/>
              <w:right w:val="single" w:sz="8" w:space="0" w:color="auto"/>
            </w:tcBorders>
            <w:shd w:val="clear" w:color="auto" w:fill="auto"/>
            <w:noWrap/>
            <w:vAlign w:val="bottom"/>
            <w:hideMark/>
          </w:tcPr>
          <w:p w14:paraId="7CD7DE6A" w14:textId="77777777" w:rsidR="003735D6" w:rsidRPr="00C56EC9" w:rsidRDefault="003735D6" w:rsidP="003735D6">
            <w:pPr>
              <w:pStyle w:val="Tablas"/>
            </w:pPr>
            <w:r w:rsidRPr="00C56EC9">
              <w:t>70%</w:t>
            </w:r>
          </w:p>
        </w:tc>
        <w:tc>
          <w:tcPr>
            <w:tcW w:w="581" w:type="pct"/>
            <w:tcBorders>
              <w:top w:val="nil"/>
              <w:left w:val="nil"/>
              <w:bottom w:val="single" w:sz="4" w:space="0" w:color="auto"/>
              <w:right w:val="single" w:sz="4" w:space="0" w:color="auto"/>
            </w:tcBorders>
            <w:shd w:val="clear" w:color="auto" w:fill="auto"/>
            <w:noWrap/>
            <w:vAlign w:val="bottom"/>
            <w:hideMark/>
          </w:tcPr>
          <w:p w14:paraId="007C8365" w14:textId="77777777" w:rsidR="003735D6" w:rsidRPr="00C56EC9" w:rsidRDefault="003735D6" w:rsidP="003735D6">
            <w:pPr>
              <w:pStyle w:val="Tablas"/>
            </w:pPr>
            <w:r w:rsidRPr="00C56EC9">
              <w:t>73</w:t>
            </w:r>
          </w:p>
        </w:tc>
        <w:tc>
          <w:tcPr>
            <w:tcW w:w="653" w:type="pct"/>
            <w:tcBorders>
              <w:top w:val="nil"/>
              <w:left w:val="nil"/>
              <w:bottom w:val="single" w:sz="4" w:space="0" w:color="auto"/>
              <w:right w:val="single" w:sz="4" w:space="0" w:color="auto"/>
            </w:tcBorders>
            <w:shd w:val="clear" w:color="auto" w:fill="auto"/>
            <w:noWrap/>
            <w:vAlign w:val="bottom"/>
            <w:hideMark/>
          </w:tcPr>
          <w:p w14:paraId="43C968F9" w14:textId="77777777" w:rsidR="003735D6" w:rsidRPr="00C56EC9" w:rsidRDefault="003735D6" w:rsidP="003735D6">
            <w:pPr>
              <w:pStyle w:val="Tablas"/>
            </w:pPr>
            <w:r w:rsidRPr="00C56EC9">
              <w:t xml:space="preserve">$6.49 </w:t>
            </w:r>
          </w:p>
        </w:tc>
        <w:tc>
          <w:tcPr>
            <w:tcW w:w="681" w:type="pct"/>
            <w:tcBorders>
              <w:top w:val="nil"/>
              <w:left w:val="nil"/>
              <w:bottom w:val="single" w:sz="4" w:space="0" w:color="auto"/>
              <w:right w:val="single" w:sz="4" w:space="0" w:color="auto"/>
            </w:tcBorders>
            <w:shd w:val="clear" w:color="auto" w:fill="auto"/>
            <w:noWrap/>
            <w:vAlign w:val="bottom"/>
            <w:hideMark/>
          </w:tcPr>
          <w:p w14:paraId="20CCE38A"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6F41E438" w14:textId="77777777" w:rsidR="003735D6" w:rsidRPr="00C56EC9" w:rsidRDefault="003735D6" w:rsidP="003735D6">
            <w:pPr>
              <w:pStyle w:val="Tablas"/>
            </w:pPr>
            <w:r w:rsidRPr="00C56EC9">
              <w:t>0%</w:t>
            </w:r>
          </w:p>
        </w:tc>
      </w:tr>
      <w:tr w:rsidR="003735D6" w:rsidRPr="00C56EC9" w14:paraId="74550091"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3A78E87D" w14:textId="77777777" w:rsidR="003735D6" w:rsidRPr="00C56EC9" w:rsidRDefault="003735D6" w:rsidP="003735D6">
            <w:pPr>
              <w:pStyle w:val="Tablas"/>
            </w:pPr>
            <w:r w:rsidRPr="00C56EC9">
              <w:t>51</w:t>
            </w:r>
          </w:p>
        </w:tc>
        <w:tc>
          <w:tcPr>
            <w:tcW w:w="1136" w:type="pct"/>
            <w:tcBorders>
              <w:top w:val="nil"/>
              <w:left w:val="nil"/>
              <w:bottom w:val="single" w:sz="4" w:space="0" w:color="auto"/>
              <w:right w:val="single" w:sz="4" w:space="0" w:color="auto"/>
            </w:tcBorders>
            <w:shd w:val="clear" w:color="auto" w:fill="auto"/>
            <w:noWrap/>
            <w:vAlign w:val="bottom"/>
            <w:hideMark/>
          </w:tcPr>
          <w:p w14:paraId="4B7BC5F2" w14:textId="77777777" w:rsidR="003735D6" w:rsidRPr="00C56EC9" w:rsidRDefault="003735D6" w:rsidP="003735D6">
            <w:pPr>
              <w:pStyle w:val="Tablas"/>
            </w:pPr>
            <w:r w:rsidRPr="00C56EC9">
              <w:t xml:space="preserve">$4.42 </w:t>
            </w:r>
          </w:p>
        </w:tc>
        <w:tc>
          <w:tcPr>
            <w:tcW w:w="678" w:type="pct"/>
            <w:tcBorders>
              <w:top w:val="nil"/>
              <w:left w:val="nil"/>
              <w:bottom w:val="single" w:sz="4" w:space="0" w:color="auto"/>
              <w:right w:val="single" w:sz="4" w:space="0" w:color="auto"/>
            </w:tcBorders>
            <w:shd w:val="clear" w:color="auto" w:fill="auto"/>
            <w:noWrap/>
            <w:vAlign w:val="bottom"/>
            <w:hideMark/>
          </w:tcPr>
          <w:p w14:paraId="6665BA24" w14:textId="77777777" w:rsidR="003735D6" w:rsidRPr="00C56EC9" w:rsidRDefault="003735D6" w:rsidP="003735D6">
            <w:pPr>
              <w:pStyle w:val="Tablas"/>
            </w:pPr>
            <w:r w:rsidRPr="00C56EC9">
              <w:t>90%</w:t>
            </w:r>
          </w:p>
        </w:tc>
        <w:tc>
          <w:tcPr>
            <w:tcW w:w="484" w:type="pct"/>
            <w:tcBorders>
              <w:top w:val="nil"/>
              <w:left w:val="nil"/>
              <w:bottom w:val="single" w:sz="4" w:space="0" w:color="auto"/>
              <w:right w:val="single" w:sz="8" w:space="0" w:color="auto"/>
            </w:tcBorders>
            <w:shd w:val="clear" w:color="auto" w:fill="auto"/>
            <w:noWrap/>
            <w:vAlign w:val="bottom"/>
            <w:hideMark/>
          </w:tcPr>
          <w:p w14:paraId="67A2E020" w14:textId="77777777" w:rsidR="003735D6" w:rsidRPr="00C56EC9" w:rsidRDefault="003735D6" w:rsidP="003735D6">
            <w:pPr>
              <w:pStyle w:val="Tablas"/>
            </w:pPr>
            <w:r w:rsidRPr="00C56EC9">
              <w:t>65%</w:t>
            </w:r>
          </w:p>
        </w:tc>
        <w:tc>
          <w:tcPr>
            <w:tcW w:w="581" w:type="pct"/>
            <w:tcBorders>
              <w:top w:val="nil"/>
              <w:left w:val="nil"/>
              <w:bottom w:val="single" w:sz="4" w:space="0" w:color="auto"/>
              <w:right w:val="single" w:sz="4" w:space="0" w:color="auto"/>
            </w:tcBorders>
            <w:shd w:val="clear" w:color="auto" w:fill="auto"/>
            <w:noWrap/>
            <w:vAlign w:val="bottom"/>
            <w:hideMark/>
          </w:tcPr>
          <w:p w14:paraId="6E7D1ECA" w14:textId="77777777" w:rsidR="003735D6" w:rsidRPr="00C56EC9" w:rsidRDefault="003735D6" w:rsidP="003735D6">
            <w:pPr>
              <w:pStyle w:val="Tablas"/>
            </w:pPr>
            <w:r w:rsidRPr="00C56EC9">
              <w:t>74</w:t>
            </w:r>
          </w:p>
        </w:tc>
        <w:tc>
          <w:tcPr>
            <w:tcW w:w="653" w:type="pct"/>
            <w:tcBorders>
              <w:top w:val="nil"/>
              <w:left w:val="nil"/>
              <w:bottom w:val="single" w:sz="4" w:space="0" w:color="auto"/>
              <w:right w:val="single" w:sz="4" w:space="0" w:color="auto"/>
            </w:tcBorders>
            <w:shd w:val="clear" w:color="auto" w:fill="auto"/>
            <w:noWrap/>
            <w:vAlign w:val="bottom"/>
            <w:hideMark/>
          </w:tcPr>
          <w:p w14:paraId="51130C30" w14:textId="77777777" w:rsidR="003735D6" w:rsidRPr="00C56EC9" w:rsidRDefault="003735D6" w:rsidP="003735D6">
            <w:pPr>
              <w:pStyle w:val="Tablas"/>
            </w:pPr>
            <w:r w:rsidRPr="00C56EC9">
              <w:t xml:space="preserve">$6.66 </w:t>
            </w:r>
          </w:p>
        </w:tc>
        <w:tc>
          <w:tcPr>
            <w:tcW w:w="681" w:type="pct"/>
            <w:tcBorders>
              <w:top w:val="nil"/>
              <w:left w:val="nil"/>
              <w:bottom w:val="single" w:sz="4" w:space="0" w:color="auto"/>
              <w:right w:val="single" w:sz="4" w:space="0" w:color="auto"/>
            </w:tcBorders>
            <w:shd w:val="clear" w:color="auto" w:fill="auto"/>
            <w:noWrap/>
            <w:vAlign w:val="bottom"/>
            <w:hideMark/>
          </w:tcPr>
          <w:p w14:paraId="62C7815A"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1ABA3376" w14:textId="77777777" w:rsidR="003735D6" w:rsidRPr="00C56EC9" w:rsidRDefault="003735D6" w:rsidP="003735D6">
            <w:pPr>
              <w:pStyle w:val="Tablas"/>
            </w:pPr>
            <w:r w:rsidRPr="00C56EC9">
              <w:t>0%</w:t>
            </w:r>
          </w:p>
        </w:tc>
      </w:tr>
      <w:tr w:rsidR="003735D6" w:rsidRPr="00C56EC9" w14:paraId="6E29C00B"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C03BE8C" w14:textId="77777777" w:rsidR="003735D6" w:rsidRPr="00C56EC9" w:rsidRDefault="003735D6" w:rsidP="003735D6">
            <w:pPr>
              <w:pStyle w:val="Tablas"/>
            </w:pPr>
            <w:r w:rsidRPr="00C56EC9">
              <w:t>52</w:t>
            </w:r>
          </w:p>
        </w:tc>
        <w:tc>
          <w:tcPr>
            <w:tcW w:w="1136" w:type="pct"/>
            <w:tcBorders>
              <w:top w:val="nil"/>
              <w:left w:val="nil"/>
              <w:bottom w:val="single" w:sz="4" w:space="0" w:color="auto"/>
              <w:right w:val="single" w:sz="4" w:space="0" w:color="auto"/>
            </w:tcBorders>
            <w:shd w:val="clear" w:color="auto" w:fill="auto"/>
            <w:noWrap/>
            <w:vAlign w:val="bottom"/>
            <w:hideMark/>
          </w:tcPr>
          <w:p w14:paraId="36B1F513" w14:textId="77777777" w:rsidR="003735D6" w:rsidRPr="00C56EC9" w:rsidRDefault="003735D6" w:rsidP="003735D6">
            <w:pPr>
              <w:pStyle w:val="Tablas"/>
            </w:pPr>
            <w:r w:rsidRPr="00C56EC9">
              <w:t xml:space="preserve">$4.47 </w:t>
            </w:r>
          </w:p>
        </w:tc>
        <w:tc>
          <w:tcPr>
            <w:tcW w:w="678" w:type="pct"/>
            <w:tcBorders>
              <w:top w:val="nil"/>
              <w:left w:val="nil"/>
              <w:bottom w:val="single" w:sz="4" w:space="0" w:color="auto"/>
              <w:right w:val="single" w:sz="4" w:space="0" w:color="auto"/>
            </w:tcBorders>
            <w:shd w:val="clear" w:color="auto" w:fill="auto"/>
            <w:noWrap/>
            <w:vAlign w:val="bottom"/>
            <w:hideMark/>
          </w:tcPr>
          <w:p w14:paraId="6413A940" w14:textId="77777777" w:rsidR="003735D6" w:rsidRPr="00C56EC9" w:rsidRDefault="003735D6" w:rsidP="003735D6">
            <w:pPr>
              <w:pStyle w:val="Tablas"/>
            </w:pPr>
            <w:r w:rsidRPr="00C56EC9">
              <w:t>85%</w:t>
            </w:r>
          </w:p>
        </w:tc>
        <w:tc>
          <w:tcPr>
            <w:tcW w:w="484" w:type="pct"/>
            <w:tcBorders>
              <w:top w:val="nil"/>
              <w:left w:val="nil"/>
              <w:bottom w:val="single" w:sz="4" w:space="0" w:color="auto"/>
              <w:right w:val="single" w:sz="8" w:space="0" w:color="auto"/>
            </w:tcBorders>
            <w:shd w:val="clear" w:color="auto" w:fill="auto"/>
            <w:noWrap/>
            <w:vAlign w:val="bottom"/>
            <w:hideMark/>
          </w:tcPr>
          <w:p w14:paraId="6150E3CD" w14:textId="77777777" w:rsidR="003735D6" w:rsidRPr="00C56EC9" w:rsidRDefault="003735D6" w:rsidP="003735D6">
            <w:pPr>
              <w:pStyle w:val="Tablas"/>
            </w:pPr>
            <w:r w:rsidRPr="00C56EC9">
              <w:t>60%</w:t>
            </w:r>
          </w:p>
        </w:tc>
        <w:tc>
          <w:tcPr>
            <w:tcW w:w="581" w:type="pct"/>
            <w:tcBorders>
              <w:top w:val="nil"/>
              <w:left w:val="nil"/>
              <w:bottom w:val="single" w:sz="4" w:space="0" w:color="auto"/>
              <w:right w:val="single" w:sz="4" w:space="0" w:color="auto"/>
            </w:tcBorders>
            <w:shd w:val="clear" w:color="auto" w:fill="auto"/>
            <w:noWrap/>
            <w:vAlign w:val="bottom"/>
            <w:hideMark/>
          </w:tcPr>
          <w:p w14:paraId="77400A5C" w14:textId="77777777" w:rsidR="003735D6" w:rsidRPr="00C56EC9" w:rsidRDefault="003735D6" w:rsidP="003735D6">
            <w:pPr>
              <w:pStyle w:val="Tablas"/>
            </w:pPr>
            <w:r w:rsidRPr="00C56EC9">
              <w:t>75</w:t>
            </w:r>
          </w:p>
        </w:tc>
        <w:tc>
          <w:tcPr>
            <w:tcW w:w="653" w:type="pct"/>
            <w:tcBorders>
              <w:top w:val="nil"/>
              <w:left w:val="nil"/>
              <w:bottom w:val="single" w:sz="4" w:space="0" w:color="auto"/>
              <w:right w:val="single" w:sz="4" w:space="0" w:color="auto"/>
            </w:tcBorders>
            <w:shd w:val="clear" w:color="auto" w:fill="auto"/>
            <w:noWrap/>
            <w:vAlign w:val="bottom"/>
            <w:hideMark/>
          </w:tcPr>
          <w:p w14:paraId="6EDA51EC" w14:textId="77777777" w:rsidR="003735D6" w:rsidRPr="00C56EC9" w:rsidRDefault="003735D6" w:rsidP="003735D6">
            <w:pPr>
              <w:pStyle w:val="Tablas"/>
            </w:pPr>
            <w:r w:rsidRPr="00C56EC9">
              <w:t xml:space="preserve">$6.85 </w:t>
            </w:r>
          </w:p>
        </w:tc>
        <w:tc>
          <w:tcPr>
            <w:tcW w:w="681" w:type="pct"/>
            <w:tcBorders>
              <w:top w:val="nil"/>
              <w:left w:val="nil"/>
              <w:bottom w:val="single" w:sz="4" w:space="0" w:color="auto"/>
              <w:right w:val="single" w:sz="4" w:space="0" w:color="auto"/>
            </w:tcBorders>
            <w:shd w:val="clear" w:color="auto" w:fill="auto"/>
            <w:noWrap/>
            <w:vAlign w:val="bottom"/>
            <w:hideMark/>
          </w:tcPr>
          <w:p w14:paraId="4885B728"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4CD04D13" w14:textId="77777777" w:rsidR="003735D6" w:rsidRPr="00C56EC9" w:rsidRDefault="003735D6" w:rsidP="003735D6">
            <w:pPr>
              <w:pStyle w:val="Tablas"/>
            </w:pPr>
            <w:r w:rsidRPr="00C56EC9">
              <w:t>0%</w:t>
            </w:r>
          </w:p>
        </w:tc>
      </w:tr>
      <w:tr w:rsidR="003735D6" w:rsidRPr="00C56EC9" w14:paraId="7EC449C7"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2B966A6" w14:textId="77777777" w:rsidR="003735D6" w:rsidRPr="00C56EC9" w:rsidRDefault="003735D6" w:rsidP="003735D6">
            <w:pPr>
              <w:pStyle w:val="Tablas"/>
            </w:pPr>
            <w:r w:rsidRPr="00C56EC9">
              <w:t>53</w:t>
            </w:r>
          </w:p>
        </w:tc>
        <w:tc>
          <w:tcPr>
            <w:tcW w:w="1136" w:type="pct"/>
            <w:tcBorders>
              <w:top w:val="nil"/>
              <w:left w:val="nil"/>
              <w:bottom w:val="single" w:sz="4" w:space="0" w:color="auto"/>
              <w:right w:val="single" w:sz="4" w:space="0" w:color="auto"/>
            </w:tcBorders>
            <w:shd w:val="clear" w:color="auto" w:fill="auto"/>
            <w:noWrap/>
            <w:vAlign w:val="bottom"/>
            <w:hideMark/>
          </w:tcPr>
          <w:p w14:paraId="2DA3C380" w14:textId="77777777" w:rsidR="003735D6" w:rsidRPr="00C56EC9" w:rsidRDefault="003735D6" w:rsidP="003735D6">
            <w:pPr>
              <w:pStyle w:val="Tablas"/>
            </w:pPr>
            <w:r w:rsidRPr="00C56EC9">
              <w:t xml:space="preserve">$4.52 </w:t>
            </w:r>
          </w:p>
        </w:tc>
        <w:tc>
          <w:tcPr>
            <w:tcW w:w="678" w:type="pct"/>
            <w:tcBorders>
              <w:top w:val="nil"/>
              <w:left w:val="nil"/>
              <w:bottom w:val="single" w:sz="4" w:space="0" w:color="auto"/>
              <w:right w:val="single" w:sz="4" w:space="0" w:color="auto"/>
            </w:tcBorders>
            <w:shd w:val="clear" w:color="auto" w:fill="auto"/>
            <w:noWrap/>
            <w:vAlign w:val="bottom"/>
            <w:hideMark/>
          </w:tcPr>
          <w:p w14:paraId="7E8FCD21" w14:textId="77777777" w:rsidR="003735D6" w:rsidRPr="00C56EC9" w:rsidRDefault="003735D6" w:rsidP="003735D6">
            <w:pPr>
              <w:pStyle w:val="Tablas"/>
            </w:pPr>
            <w:r w:rsidRPr="00C56EC9">
              <w:t>80%</w:t>
            </w:r>
          </w:p>
        </w:tc>
        <w:tc>
          <w:tcPr>
            <w:tcW w:w="484" w:type="pct"/>
            <w:tcBorders>
              <w:top w:val="nil"/>
              <w:left w:val="nil"/>
              <w:bottom w:val="single" w:sz="4" w:space="0" w:color="auto"/>
              <w:right w:val="single" w:sz="8" w:space="0" w:color="auto"/>
            </w:tcBorders>
            <w:shd w:val="clear" w:color="auto" w:fill="auto"/>
            <w:noWrap/>
            <w:vAlign w:val="bottom"/>
            <w:hideMark/>
          </w:tcPr>
          <w:p w14:paraId="6DBD5DB3" w14:textId="77777777" w:rsidR="003735D6" w:rsidRPr="00C56EC9" w:rsidRDefault="003735D6" w:rsidP="003735D6">
            <w:pPr>
              <w:pStyle w:val="Tablas"/>
            </w:pPr>
            <w:r w:rsidRPr="00C56EC9">
              <w:t>55%</w:t>
            </w:r>
          </w:p>
        </w:tc>
        <w:tc>
          <w:tcPr>
            <w:tcW w:w="581" w:type="pct"/>
            <w:tcBorders>
              <w:top w:val="nil"/>
              <w:left w:val="nil"/>
              <w:bottom w:val="single" w:sz="4" w:space="0" w:color="auto"/>
              <w:right w:val="single" w:sz="4" w:space="0" w:color="auto"/>
            </w:tcBorders>
            <w:shd w:val="clear" w:color="auto" w:fill="auto"/>
            <w:noWrap/>
            <w:vAlign w:val="bottom"/>
            <w:hideMark/>
          </w:tcPr>
          <w:p w14:paraId="14C09FD4" w14:textId="77777777" w:rsidR="003735D6" w:rsidRPr="00C56EC9" w:rsidRDefault="003735D6" w:rsidP="003735D6">
            <w:pPr>
              <w:pStyle w:val="Tablas"/>
            </w:pPr>
            <w:r w:rsidRPr="00C56EC9">
              <w:t>76</w:t>
            </w:r>
          </w:p>
        </w:tc>
        <w:tc>
          <w:tcPr>
            <w:tcW w:w="653" w:type="pct"/>
            <w:tcBorders>
              <w:top w:val="nil"/>
              <w:left w:val="nil"/>
              <w:bottom w:val="single" w:sz="4" w:space="0" w:color="auto"/>
              <w:right w:val="single" w:sz="4" w:space="0" w:color="auto"/>
            </w:tcBorders>
            <w:shd w:val="clear" w:color="auto" w:fill="auto"/>
            <w:noWrap/>
            <w:vAlign w:val="bottom"/>
            <w:hideMark/>
          </w:tcPr>
          <w:p w14:paraId="3CC04EF9" w14:textId="77777777" w:rsidR="003735D6" w:rsidRPr="00C56EC9" w:rsidRDefault="003735D6" w:rsidP="003735D6">
            <w:pPr>
              <w:pStyle w:val="Tablas"/>
            </w:pPr>
            <w:r w:rsidRPr="00C56EC9">
              <w:t xml:space="preserve">$7.04 </w:t>
            </w:r>
          </w:p>
        </w:tc>
        <w:tc>
          <w:tcPr>
            <w:tcW w:w="681" w:type="pct"/>
            <w:tcBorders>
              <w:top w:val="nil"/>
              <w:left w:val="nil"/>
              <w:bottom w:val="single" w:sz="4" w:space="0" w:color="auto"/>
              <w:right w:val="single" w:sz="4" w:space="0" w:color="auto"/>
            </w:tcBorders>
            <w:shd w:val="clear" w:color="auto" w:fill="auto"/>
            <w:noWrap/>
            <w:vAlign w:val="bottom"/>
            <w:hideMark/>
          </w:tcPr>
          <w:p w14:paraId="38A280D2"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4D34D460" w14:textId="77777777" w:rsidR="003735D6" w:rsidRPr="00C56EC9" w:rsidRDefault="003735D6" w:rsidP="003735D6">
            <w:pPr>
              <w:pStyle w:val="Tablas"/>
            </w:pPr>
            <w:r w:rsidRPr="00C56EC9">
              <w:t>0%</w:t>
            </w:r>
          </w:p>
        </w:tc>
      </w:tr>
      <w:tr w:rsidR="003735D6" w:rsidRPr="00C56EC9" w14:paraId="686EE87A"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4B4F4E81" w14:textId="77777777" w:rsidR="003735D6" w:rsidRPr="00C56EC9" w:rsidRDefault="003735D6" w:rsidP="003735D6">
            <w:pPr>
              <w:pStyle w:val="Tablas"/>
            </w:pPr>
            <w:r w:rsidRPr="00C56EC9">
              <w:t>54</w:t>
            </w:r>
          </w:p>
        </w:tc>
        <w:tc>
          <w:tcPr>
            <w:tcW w:w="1136" w:type="pct"/>
            <w:tcBorders>
              <w:top w:val="nil"/>
              <w:left w:val="nil"/>
              <w:bottom w:val="single" w:sz="4" w:space="0" w:color="auto"/>
              <w:right w:val="single" w:sz="4" w:space="0" w:color="auto"/>
            </w:tcBorders>
            <w:shd w:val="clear" w:color="auto" w:fill="auto"/>
            <w:noWrap/>
            <w:vAlign w:val="bottom"/>
            <w:hideMark/>
          </w:tcPr>
          <w:p w14:paraId="3C838467" w14:textId="77777777" w:rsidR="003735D6" w:rsidRPr="00C56EC9" w:rsidRDefault="003735D6" w:rsidP="003735D6">
            <w:pPr>
              <w:pStyle w:val="Tablas"/>
            </w:pPr>
            <w:r w:rsidRPr="00C56EC9">
              <w:t xml:space="preserve">$4.58 </w:t>
            </w:r>
          </w:p>
        </w:tc>
        <w:tc>
          <w:tcPr>
            <w:tcW w:w="678" w:type="pct"/>
            <w:tcBorders>
              <w:top w:val="nil"/>
              <w:left w:val="nil"/>
              <w:bottom w:val="single" w:sz="4" w:space="0" w:color="auto"/>
              <w:right w:val="single" w:sz="4" w:space="0" w:color="auto"/>
            </w:tcBorders>
            <w:shd w:val="clear" w:color="auto" w:fill="auto"/>
            <w:noWrap/>
            <w:vAlign w:val="bottom"/>
            <w:hideMark/>
          </w:tcPr>
          <w:p w14:paraId="1C7B3F95" w14:textId="77777777" w:rsidR="003735D6" w:rsidRPr="00C56EC9" w:rsidRDefault="003735D6" w:rsidP="003735D6">
            <w:pPr>
              <w:pStyle w:val="Tablas"/>
            </w:pPr>
            <w:r w:rsidRPr="00C56EC9">
              <w:t>75%</w:t>
            </w:r>
          </w:p>
        </w:tc>
        <w:tc>
          <w:tcPr>
            <w:tcW w:w="484" w:type="pct"/>
            <w:tcBorders>
              <w:top w:val="nil"/>
              <w:left w:val="nil"/>
              <w:bottom w:val="single" w:sz="4" w:space="0" w:color="auto"/>
              <w:right w:val="single" w:sz="8" w:space="0" w:color="auto"/>
            </w:tcBorders>
            <w:shd w:val="clear" w:color="auto" w:fill="auto"/>
            <w:noWrap/>
            <w:vAlign w:val="bottom"/>
            <w:hideMark/>
          </w:tcPr>
          <w:p w14:paraId="3F42FAA4" w14:textId="77777777" w:rsidR="003735D6" w:rsidRPr="00C56EC9" w:rsidRDefault="003735D6" w:rsidP="003735D6">
            <w:pPr>
              <w:pStyle w:val="Tablas"/>
            </w:pPr>
            <w:r w:rsidRPr="00C56EC9">
              <w:t>50%</w:t>
            </w:r>
          </w:p>
        </w:tc>
        <w:tc>
          <w:tcPr>
            <w:tcW w:w="581" w:type="pct"/>
            <w:tcBorders>
              <w:top w:val="nil"/>
              <w:left w:val="nil"/>
              <w:bottom w:val="single" w:sz="4" w:space="0" w:color="auto"/>
              <w:right w:val="single" w:sz="4" w:space="0" w:color="auto"/>
            </w:tcBorders>
            <w:shd w:val="clear" w:color="auto" w:fill="auto"/>
            <w:noWrap/>
            <w:vAlign w:val="bottom"/>
            <w:hideMark/>
          </w:tcPr>
          <w:p w14:paraId="0796324F" w14:textId="77777777" w:rsidR="003735D6" w:rsidRPr="00C56EC9" w:rsidRDefault="003735D6" w:rsidP="003735D6">
            <w:pPr>
              <w:pStyle w:val="Tablas"/>
            </w:pPr>
            <w:r w:rsidRPr="00C56EC9">
              <w:t>77</w:t>
            </w:r>
          </w:p>
        </w:tc>
        <w:tc>
          <w:tcPr>
            <w:tcW w:w="653" w:type="pct"/>
            <w:tcBorders>
              <w:top w:val="nil"/>
              <w:left w:val="nil"/>
              <w:bottom w:val="single" w:sz="4" w:space="0" w:color="auto"/>
              <w:right w:val="single" w:sz="4" w:space="0" w:color="auto"/>
            </w:tcBorders>
            <w:shd w:val="clear" w:color="auto" w:fill="auto"/>
            <w:noWrap/>
            <w:vAlign w:val="bottom"/>
            <w:hideMark/>
          </w:tcPr>
          <w:p w14:paraId="2814B42D" w14:textId="77777777" w:rsidR="003735D6" w:rsidRPr="00C56EC9" w:rsidRDefault="003735D6" w:rsidP="003735D6">
            <w:pPr>
              <w:pStyle w:val="Tablas"/>
            </w:pPr>
            <w:r w:rsidRPr="00C56EC9">
              <w:t xml:space="preserve">$7.24 </w:t>
            </w:r>
          </w:p>
        </w:tc>
        <w:tc>
          <w:tcPr>
            <w:tcW w:w="681" w:type="pct"/>
            <w:tcBorders>
              <w:top w:val="nil"/>
              <w:left w:val="nil"/>
              <w:bottom w:val="single" w:sz="4" w:space="0" w:color="auto"/>
              <w:right w:val="single" w:sz="4" w:space="0" w:color="auto"/>
            </w:tcBorders>
            <w:shd w:val="clear" w:color="auto" w:fill="auto"/>
            <w:noWrap/>
            <w:vAlign w:val="bottom"/>
            <w:hideMark/>
          </w:tcPr>
          <w:p w14:paraId="3D50F405"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65AE3D34" w14:textId="77777777" w:rsidR="003735D6" w:rsidRPr="00C56EC9" w:rsidRDefault="003735D6" w:rsidP="003735D6">
            <w:pPr>
              <w:pStyle w:val="Tablas"/>
            </w:pPr>
            <w:r w:rsidRPr="00C56EC9">
              <w:t>0%</w:t>
            </w:r>
          </w:p>
        </w:tc>
      </w:tr>
      <w:tr w:rsidR="003735D6" w:rsidRPr="00C56EC9" w14:paraId="10CF32FD"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1D98271" w14:textId="77777777" w:rsidR="003735D6" w:rsidRPr="00C56EC9" w:rsidRDefault="003735D6" w:rsidP="003735D6">
            <w:pPr>
              <w:pStyle w:val="Tablas"/>
            </w:pPr>
            <w:r w:rsidRPr="00C56EC9">
              <w:t>55</w:t>
            </w:r>
          </w:p>
        </w:tc>
        <w:tc>
          <w:tcPr>
            <w:tcW w:w="1136" w:type="pct"/>
            <w:tcBorders>
              <w:top w:val="nil"/>
              <w:left w:val="nil"/>
              <w:bottom w:val="single" w:sz="4" w:space="0" w:color="auto"/>
              <w:right w:val="single" w:sz="4" w:space="0" w:color="auto"/>
            </w:tcBorders>
            <w:shd w:val="clear" w:color="auto" w:fill="auto"/>
            <w:noWrap/>
            <w:vAlign w:val="bottom"/>
            <w:hideMark/>
          </w:tcPr>
          <w:p w14:paraId="106DCEAB" w14:textId="77777777" w:rsidR="003735D6" w:rsidRPr="00C56EC9" w:rsidRDefault="003735D6" w:rsidP="003735D6">
            <w:pPr>
              <w:pStyle w:val="Tablas"/>
            </w:pPr>
            <w:r w:rsidRPr="00C56EC9">
              <w:t xml:space="preserve">$4.64 </w:t>
            </w:r>
          </w:p>
        </w:tc>
        <w:tc>
          <w:tcPr>
            <w:tcW w:w="678" w:type="pct"/>
            <w:tcBorders>
              <w:top w:val="nil"/>
              <w:left w:val="nil"/>
              <w:bottom w:val="single" w:sz="4" w:space="0" w:color="auto"/>
              <w:right w:val="single" w:sz="4" w:space="0" w:color="auto"/>
            </w:tcBorders>
            <w:shd w:val="clear" w:color="auto" w:fill="auto"/>
            <w:noWrap/>
            <w:vAlign w:val="bottom"/>
            <w:hideMark/>
          </w:tcPr>
          <w:p w14:paraId="5F9E30A4" w14:textId="77777777" w:rsidR="003735D6" w:rsidRPr="00C56EC9" w:rsidRDefault="003735D6" w:rsidP="003735D6">
            <w:pPr>
              <w:pStyle w:val="Tablas"/>
            </w:pPr>
            <w:r w:rsidRPr="00C56EC9">
              <w:t>70%</w:t>
            </w:r>
          </w:p>
        </w:tc>
        <w:tc>
          <w:tcPr>
            <w:tcW w:w="484" w:type="pct"/>
            <w:tcBorders>
              <w:top w:val="nil"/>
              <w:left w:val="nil"/>
              <w:bottom w:val="single" w:sz="4" w:space="0" w:color="auto"/>
              <w:right w:val="single" w:sz="8" w:space="0" w:color="auto"/>
            </w:tcBorders>
            <w:shd w:val="clear" w:color="auto" w:fill="auto"/>
            <w:noWrap/>
            <w:vAlign w:val="bottom"/>
            <w:hideMark/>
          </w:tcPr>
          <w:p w14:paraId="52BCEF19" w14:textId="77777777" w:rsidR="003735D6" w:rsidRPr="00C56EC9" w:rsidRDefault="003735D6" w:rsidP="003735D6">
            <w:pPr>
              <w:pStyle w:val="Tablas"/>
            </w:pPr>
            <w:r w:rsidRPr="00C56EC9">
              <w:t>45%</w:t>
            </w:r>
          </w:p>
        </w:tc>
        <w:tc>
          <w:tcPr>
            <w:tcW w:w="581" w:type="pct"/>
            <w:tcBorders>
              <w:top w:val="nil"/>
              <w:left w:val="nil"/>
              <w:bottom w:val="single" w:sz="4" w:space="0" w:color="auto"/>
              <w:right w:val="single" w:sz="4" w:space="0" w:color="auto"/>
            </w:tcBorders>
            <w:shd w:val="clear" w:color="auto" w:fill="auto"/>
            <w:noWrap/>
            <w:vAlign w:val="bottom"/>
            <w:hideMark/>
          </w:tcPr>
          <w:p w14:paraId="352D8506" w14:textId="77777777" w:rsidR="003735D6" w:rsidRPr="00C56EC9" w:rsidRDefault="003735D6" w:rsidP="003735D6">
            <w:pPr>
              <w:pStyle w:val="Tablas"/>
            </w:pPr>
            <w:r w:rsidRPr="00C56EC9">
              <w:t>78</w:t>
            </w:r>
          </w:p>
        </w:tc>
        <w:tc>
          <w:tcPr>
            <w:tcW w:w="653" w:type="pct"/>
            <w:tcBorders>
              <w:top w:val="nil"/>
              <w:left w:val="nil"/>
              <w:bottom w:val="single" w:sz="4" w:space="0" w:color="auto"/>
              <w:right w:val="single" w:sz="4" w:space="0" w:color="auto"/>
            </w:tcBorders>
            <w:shd w:val="clear" w:color="auto" w:fill="auto"/>
            <w:noWrap/>
            <w:vAlign w:val="bottom"/>
            <w:hideMark/>
          </w:tcPr>
          <w:p w14:paraId="2E550315" w14:textId="77777777" w:rsidR="003735D6" w:rsidRPr="00C56EC9" w:rsidRDefault="003735D6" w:rsidP="003735D6">
            <w:pPr>
              <w:pStyle w:val="Tablas"/>
            </w:pPr>
            <w:r w:rsidRPr="00C56EC9">
              <w:t xml:space="preserve">$7.46 </w:t>
            </w:r>
          </w:p>
        </w:tc>
        <w:tc>
          <w:tcPr>
            <w:tcW w:w="681" w:type="pct"/>
            <w:tcBorders>
              <w:top w:val="nil"/>
              <w:left w:val="nil"/>
              <w:bottom w:val="single" w:sz="4" w:space="0" w:color="auto"/>
              <w:right w:val="single" w:sz="4" w:space="0" w:color="auto"/>
            </w:tcBorders>
            <w:shd w:val="clear" w:color="auto" w:fill="auto"/>
            <w:noWrap/>
            <w:vAlign w:val="bottom"/>
            <w:hideMark/>
          </w:tcPr>
          <w:p w14:paraId="0E64168C"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30C1AB23" w14:textId="77777777" w:rsidR="003735D6" w:rsidRPr="00C56EC9" w:rsidRDefault="003735D6" w:rsidP="003735D6">
            <w:pPr>
              <w:pStyle w:val="Tablas"/>
            </w:pPr>
            <w:r w:rsidRPr="00C56EC9">
              <w:t>0%</w:t>
            </w:r>
          </w:p>
        </w:tc>
      </w:tr>
      <w:tr w:rsidR="003735D6" w:rsidRPr="00C56EC9" w14:paraId="54E94EEB" w14:textId="77777777" w:rsidTr="003735D6">
        <w:trPr>
          <w:trHeight w:val="28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7E3BC25" w14:textId="77777777" w:rsidR="003735D6" w:rsidRPr="00C56EC9" w:rsidRDefault="003735D6" w:rsidP="003735D6">
            <w:pPr>
              <w:pStyle w:val="Tablas"/>
            </w:pPr>
            <w:r w:rsidRPr="00C56EC9">
              <w:t>56</w:t>
            </w:r>
          </w:p>
        </w:tc>
        <w:tc>
          <w:tcPr>
            <w:tcW w:w="1136" w:type="pct"/>
            <w:tcBorders>
              <w:top w:val="nil"/>
              <w:left w:val="nil"/>
              <w:bottom w:val="single" w:sz="4" w:space="0" w:color="auto"/>
              <w:right w:val="single" w:sz="4" w:space="0" w:color="auto"/>
            </w:tcBorders>
            <w:shd w:val="clear" w:color="auto" w:fill="auto"/>
            <w:noWrap/>
            <w:vAlign w:val="bottom"/>
            <w:hideMark/>
          </w:tcPr>
          <w:p w14:paraId="76B5C608" w14:textId="77777777" w:rsidR="003735D6" w:rsidRPr="00C56EC9" w:rsidRDefault="003735D6" w:rsidP="003735D6">
            <w:pPr>
              <w:pStyle w:val="Tablas"/>
            </w:pPr>
            <w:r w:rsidRPr="00C56EC9">
              <w:t xml:space="preserve">$4.70 </w:t>
            </w:r>
          </w:p>
        </w:tc>
        <w:tc>
          <w:tcPr>
            <w:tcW w:w="678" w:type="pct"/>
            <w:tcBorders>
              <w:top w:val="nil"/>
              <w:left w:val="nil"/>
              <w:bottom w:val="single" w:sz="4" w:space="0" w:color="auto"/>
              <w:right w:val="single" w:sz="4" w:space="0" w:color="auto"/>
            </w:tcBorders>
            <w:shd w:val="clear" w:color="auto" w:fill="auto"/>
            <w:noWrap/>
            <w:vAlign w:val="bottom"/>
            <w:hideMark/>
          </w:tcPr>
          <w:p w14:paraId="367B2501" w14:textId="77777777" w:rsidR="003735D6" w:rsidRPr="00C56EC9" w:rsidRDefault="003735D6" w:rsidP="003735D6">
            <w:pPr>
              <w:pStyle w:val="Tablas"/>
            </w:pPr>
            <w:r w:rsidRPr="00C56EC9">
              <w:t>65%</w:t>
            </w:r>
          </w:p>
        </w:tc>
        <w:tc>
          <w:tcPr>
            <w:tcW w:w="484" w:type="pct"/>
            <w:tcBorders>
              <w:top w:val="nil"/>
              <w:left w:val="nil"/>
              <w:bottom w:val="single" w:sz="4" w:space="0" w:color="auto"/>
              <w:right w:val="single" w:sz="8" w:space="0" w:color="auto"/>
            </w:tcBorders>
            <w:shd w:val="clear" w:color="auto" w:fill="auto"/>
            <w:noWrap/>
            <w:vAlign w:val="bottom"/>
            <w:hideMark/>
          </w:tcPr>
          <w:p w14:paraId="2D477A32" w14:textId="77777777" w:rsidR="003735D6" w:rsidRPr="00C56EC9" w:rsidRDefault="003735D6" w:rsidP="003735D6">
            <w:pPr>
              <w:pStyle w:val="Tablas"/>
            </w:pPr>
            <w:r w:rsidRPr="00C56EC9">
              <w:t>40%</w:t>
            </w:r>
          </w:p>
        </w:tc>
        <w:tc>
          <w:tcPr>
            <w:tcW w:w="581" w:type="pct"/>
            <w:tcBorders>
              <w:top w:val="nil"/>
              <w:left w:val="nil"/>
              <w:bottom w:val="single" w:sz="4" w:space="0" w:color="auto"/>
              <w:right w:val="single" w:sz="4" w:space="0" w:color="auto"/>
            </w:tcBorders>
            <w:shd w:val="clear" w:color="auto" w:fill="auto"/>
            <w:noWrap/>
            <w:vAlign w:val="bottom"/>
            <w:hideMark/>
          </w:tcPr>
          <w:p w14:paraId="2A279A0C" w14:textId="77777777" w:rsidR="003735D6" w:rsidRPr="00C56EC9" w:rsidRDefault="003735D6" w:rsidP="003735D6">
            <w:pPr>
              <w:pStyle w:val="Tablas"/>
            </w:pPr>
            <w:r w:rsidRPr="00C56EC9">
              <w:t>79</w:t>
            </w:r>
          </w:p>
        </w:tc>
        <w:tc>
          <w:tcPr>
            <w:tcW w:w="653" w:type="pct"/>
            <w:tcBorders>
              <w:top w:val="nil"/>
              <w:left w:val="nil"/>
              <w:bottom w:val="single" w:sz="4" w:space="0" w:color="auto"/>
              <w:right w:val="single" w:sz="4" w:space="0" w:color="auto"/>
            </w:tcBorders>
            <w:shd w:val="clear" w:color="auto" w:fill="auto"/>
            <w:noWrap/>
            <w:vAlign w:val="bottom"/>
            <w:hideMark/>
          </w:tcPr>
          <w:p w14:paraId="4C4D7595" w14:textId="77777777" w:rsidR="003735D6" w:rsidRPr="00C56EC9" w:rsidRDefault="003735D6" w:rsidP="003735D6">
            <w:pPr>
              <w:pStyle w:val="Tablas"/>
            </w:pPr>
            <w:r w:rsidRPr="00C56EC9">
              <w:t xml:space="preserve">$7.69 </w:t>
            </w:r>
          </w:p>
        </w:tc>
        <w:tc>
          <w:tcPr>
            <w:tcW w:w="681" w:type="pct"/>
            <w:tcBorders>
              <w:top w:val="nil"/>
              <w:left w:val="nil"/>
              <w:bottom w:val="single" w:sz="4" w:space="0" w:color="auto"/>
              <w:right w:val="single" w:sz="4" w:space="0" w:color="auto"/>
            </w:tcBorders>
            <w:shd w:val="clear" w:color="auto" w:fill="auto"/>
            <w:noWrap/>
            <w:vAlign w:val="bottom"/>
            <w:hideMark/>
          </w:tcPr>
          <w:p w14:paraId="52A4A9F2" w14:textId="77777777" w:rsidR="003735D6" w:rsidRPr="00C56EC9" w:rsidRDefault="003735D6" w:rsidP="003735D6">
            <w:pPr>
              <w:pStyle w:val="Tablas"/>
            </w:pPr>
            <w:r w:rsidRPr="00C56EC9">
              <w:t>0%</w:t>
            </w:r>
          </w:p>
        </w:tc>
        <w:tc>
          <w:tcPr>
            <w:tcW w:w="481" w:type="pct"/>
            <w:tcBorders>
              <w:top w:val="nil"/>
              <w:left w:val="nil"/>
              <w:bottom w:val="single" w:sz="4" w:space="0" w:color="auto"/>
              <w:right w:val="single" w:sz="8" w:space="0" w:color="auto"/>
            </w:tcBorders>
            <w:shd w:val="clear" w:color="auto" w:fill="auto"/>
            <w:noWrap/>
            <w:vAlign w:val="bottom"/>
            <w:hideMark/>
          </w:tcPr>
          <w:p w14:paraId="12189A6F" w14:textId="77777777" w:rsidR="003735D6" w:rsidRPr="00C56EC9" w:rsidRDefault="003735D6" w:rsidP="003735D6">
            <w:pPr>
              <w:pStyle w:val="Tablas"/>
            </w:pPr>
            <w:r w:rsidRPr="00C56EC9">
              <w:t>0%</w:t>
            </w:r>
          </w:p>
        </w:tc>
      </w:tr>
      <w:tr w:rsidR="003735D6" w:rsidRPr="00C56EC9" w14:paraId="0D3A753D" w14:textId="77777777" w:rsidTr="003735D6">
        <w:trPr>
          <w:trHeight w:val="293"/>
        </w:trPr>
        <w:tc>
          <w:tcPr>
            <w:tcW w:w="305" w:type="pct"/>
            <w:tcBorders>
              <w:top w:val="nil"/>
              <w:left w:val="single" w:sz="8" w:space="0" w:color="auto"/>
              <w:bottom w:val="single" w:sz="8" w:space="0" w:color="auto"/>
              <w:right w:val="single" w:sz="4" w:space="0" w:color="auto"/>
            </w:tcBorders>
            <w:shd w:val="clear" w:color="auto" w:fill="auto"/>
            <w:noWrap/>
            <w:vAlign w:val="bottom"/>
            <w:hideMark/>
          </w:tcPr>
          <w:p w14:paraId="158568DD" w14:textId="77777777" w:rsidR="003735D6" w:rsidRPr="00C56EC9" w:rsidRDefault="003735D6" w:rsidP="003735D6">
            <w:pPr>
              <w:pStyle w:val="Tablas"/>
            </w:pPr>
            <w:r w:rsidRPr="00C56EC9">
              <w:t>57</w:t>
            </w:r>
          </w:p>
        </w:tc>
        <w:tc>
          <w:tcPr>
            <w:tcW w:w="1136" w:type="pct"/>
            <w:tcBorders>
              <w:top w:val="nil"/>
              <w:left w:val="nil"/>
              <w:bottom w:val="single" w:sz="8" w:space="0" w:color="auto"/>
              <w:right w:val="single" w:sz="4" w:space="0" w:color="auto"/>
            </w:tcBorders>
            <w:shd w:val="clear" w:color="auto" w:fill="auto"/>
            <w:noWrap/>
            <w:vAlign w:val="bottom"/>
            <w:hideMark/>
          </w:tcPr>
          <w:p w14:paraId="3A149172" w14:textId="77777777" w:rsidR="003735D6" w:rsidRPr="00C56EC9" w:rsidRDefault="003735D6" w:rsidP="003735D6">
            <w:pPr>
              <w:pStyle w:val="Tablas"/>
            </w:pPr>
            <w:r w:rsidRPr="00C56EC9">
              <w:t xml:space="preserve">$4.77 </w:t>
            </w:r>
          </w:p>
        </w:tc>
        <w:tc>
          <w:tcPr>
            <w:tcW w:w="678" w:type="pct"/>
            <w:tcBorders>
              <w:top w:val="nil"/>
              <w:left w:val="nil"/>
              <w:bottom w:val="single" w:sz="8" w:space="0" w:color="auto"/>
              <w:right w:val="single" w:sz="4" w:space="0" w:color="auto"/>
            </w:tcBorders>
            <w:shd w:val="clear" w:color="auto" w:fill="auto"/>
            <w:noWrap/>
            <w:vAlign w:val="bottom"/>
            <w:hideMark/>
          </w:tcPr>
          <w:p w14:paraId="421C8DDE" w14:textId="77777777" w:rsidR="003735D6" w:rsidRPr="00C56EC9" w:rsidRDefault="003735D6" w:rsidP="003735D6">
            <w:pPr>
              <w:pStyle w:val="Tablas"/>
            </w:pPr>
            <w:r w:rsidRPr="00C56EC9">
              <w:t>60%</w:t>
            </w:r>
          </w:p>
        </w:tc>
        <w:tc>
          <w:tcPr>
            <w:tcW w:w="484" w:type="pct"/>
            <w:tcBorders>
              <w:top w:val="nil"/>
              <w:left w:val="nil"/>
              <w:bottom w:val="single" w:sz="8" w:space="0" w:color="auto"/>
              <w:right w:val="single" w:sz="8" w:space="0" w:color="auto"/>
            </w:tcBorders>
            <w:shd w:val="clear" w:color="auto" w:fill="auto"/>
            <w:noWrap/>
            <w:vAlign w:val="bottom"/>
            <w:hideMark/>
          </w:tcPr>
          <w:p w14:paraId="5C7B541D" w14:textId="77777777" w:rsidR="003735D6" w:rsidRPr="00C56EC9" w:rsidRDefault="003735D6" w:rsidP="003735D6">
            <w:pPr>
              <w:pStyle w:val="Tablas"/>
            </w:pPr>
            <w:r w:rsidRPr="00C56EC9">
              <w:t>35%</w:t>
            </w:r>
          </w:p>
        </w:tc>
        <w:tc>
          <w:tcPr>
            <w:tcW w:w="581" w:type="pct"/>
            <w:tcBorders>
              <w:top w:val="nil"/>
              <w:left w:val="nil"/>
              <w:bottom w:val="single" w:sz="8" w:space="0" w:color="auto"/>
              <w:right w:val="single" w:sz="4" w:space="0" w:color="auto"/>
            </w:tcBorders>
            <w:shd w:val="clear" w:color="auto" w:fill="auto"/>
            <w:noWrap/>
            <w:vAlign w:val="bottom"/>
            <w:hideMark/>
          </w:tcPr>
          <w:p w14:paraId="0256CDE8" w14:textId="77777777" w:rsidR="003735D6" w:rsidRPr="00C56EC9" w:rsidRDefault="003735D6" w:rsidP="003735D6">
            <w:pPr>
              <w:pStyle w:val="Tablas"/>
            </w:pPr>
            <w:r w:rsidRPr="00C56EC9">
              <w:t>80</w:t>
            </w:r>
          </w:p>
        </w:tc>
        <w:tc>
          <w:tcPr>
            <w:tcW w:w="653" w:type="pct"/>
            <w:tcBorders>
              <w:top w:val="nil"/>
              <w:left w:val="nil"/>
              <w:bottom w:val="single" w:sz="8" w:space="0" w:color="auto"/>
              <w:right w:val="single" w:sz="4" w:space="0" w:color="auto"/>
            </w:tcBorders>
            <w:shd w:val="clear" w:color="auto" w:fill="auto"/>
            <w:noWrap/>
            <w:vAlign w:val="bottom"/>
            <w:hideMark/>
          </w:tcPr>
          <w:p w14:paraId="5725E9F0" w14:textId="77777777" w:rsidR="003735D6" w:rsidRPr="00C56EC9" w:rsidRDefault="003735D6" w:rsidP="003735D6">
            <w:pPr>
              <w:pStyle w:val="Tablas"/>
            </w:pPr>
            <w:r w:rsidRPr="00C56EC9">
              <w:t xml:space="preserve">$7.94 </w:t>
            </w:r>
          </w:p>
        </w:tc>
        <w:tc>
          <w:tcPr>
            <w:tcW w:w="681" w:type="pct"/>
            <w:tcBorders>
              <w:top w:val="nil"/>
              <w:left w:val="nil"/>
              <w:bottom w:val="single" w:sz="8" w:space="0" w:color="auto"/>
              <w:right w:val="single" w:sz="4" w:space="0" w:color="auto"/>
            </w:tcBorders>
            <w:shd w:val="clear" w:color="auto" w:fill="auto"/>
            <w:noWrap/>
            <w:vAlign w:val="bottom"/>
            <w:hideMark/>
          </w:tcPr>
          <w:p w14:paraId="648C7FEB" w14:textId="77777777" w:rsidR="003735D6" w:rsidRPr="00C56EC9" w:rsidRDefault="003735D6" w:rsidP="003735D6">
            <w:pPr>
              <w:pStyle w:val="Tablas"/>
            </w:pPr>
            <w:r w:rsidRPr="00C56EC9">
              <w:t>0%</w:t>
            </w:r>
          </w:p>
        </w:tc>
        <w:tc>
          <w:tcPr>
            <w:tcW w:w="481" w:type="pct"/>
            <w:tcBorders>
              <w:top w:val="nil"/>
              <w:left w:val="nil"/>
              <w:bottom w:val="single" w:sz="8" w:space="0" w:color="auto"/>
              <w:right w:val="single" w:sz="8" w:space="0" w:color="auto"/>
            </w:tcBorders>
            <w:shd w:val="clear" w:color="auto" w:fill="auto"/>
            <w:noWrap/>
            <w:vAlign w:val="bottom"/>
            <w:hideMark/>
          </w:tcPr>
          <w:p w14:paraId="7D144225" w14:textId="77777777" w:rsidR="003735D6" w:rsidRPr="00C56EC9" w:rsidRDefault="003735D6" w:rsidP="003735D6">
            <w:pPr>
              <w:pStyle w:val="Tablas"/>
            </w:pPr>
            <w:r w:rsidRPr="00C56EC9">
              <w:t>0%</w:t>
            </w:r>
          </w:p>
        </w:tc>
      </w:tr>
    </w:tbl>
    <w:p w14:paraId="1CF7353F" w14:textId="00D861B4" w:rsidR="00561E63" w:rsidRDefault="00561E63" w:rsidP="00AB47C8">
      <w:pPr>
        <w:rPr>
          <w:b/>
          <w:bCs/>
          <w:lang w:val="es-419"/>
        </w:rPr>
      </w:pPr>
    </w:p>
    <w:p w14:paraId="0828E05B" w14:textId="77777777" w:rsidR="00710F49" w:rsidRDefault="00710F49" w:rsidP="00AB47C8">
      <w:pPr>
        <w:rPr>
          <w:b/>
          <w:bCs/>
          <w:lang w:val="es-419"/>
        </w:rPr>
      </w:pPr>
    </w:p>
    <w:p w14:paraId="3C20AFA2" w14:textId="5EB5B861" w:rsidR="00AE6B42" w:rsidRDefault="00AE6B42" w:rsidP="00AB47C8">
      <w:pPr>
        <w:rPr>
          <w:b/>
          <w:bCs/>
          <w:lang w:val="es-419"/>
        </w:rPr>
      </w:pPr>
      <w:r>
        <w:rPr>
          <w:b/>
          <w:bCs/>
          <w:lang w:val="es-419"/>
        </w:rPr>
        <w:lastRenderedPageBreak/>
        <w:t>Stock de pensionados</w:t>
      </w:r>
    </w:p>
    <w:p w14:paraId="540BEAFC" w14:textId="5AC5058C" w:rsidR="00AE6B42" w:rsidRDefault="00176847" w:rsidP="00AB47C8">
      <w:pPr>
        <w:rPr>
          <w:lang w:val="es-419"/>
        </w:rPr>
      </w:pPr>
      <w:r w:rsidRPr="00176847">
        <w:rPr>
          <w:lang w:val="es-419"/>
        </w:rPr>
        <w:t>En el anexo de este documento se encuentra una tabla detallada que proporciona información exhaustiva sobre las pensiones por edad, género, monto total, promedio anual y mensual, tipo de pensión y subsistema correspondiente. Esta tabla se organiza en columnas específicas que reflejan los datos relevantes tanto para hombres como para mujeres, permitiendo un análisis comparativo y detallado. La información presentada es de suma importancia para comprender las diferencias en el acceso y la distribución de las pensiones en distintos rangos de edad y géneros, lo que puede contribuir al diseño y evaluación de políticas públicas orientadas a mejorar la equidad y sostenibilidad del sistema de seguridad social.</w:t>
      </w:r>
    </w:p>
    <w:p w14:paraId="6A953740" w14:textId="0EF01289" w:rsidR="00AE6B42" w:rsidRPr="00C56EC9" w:rsidRDefault="00AE6B42" w:rsidP="00AE6B42">
      <w:pPr>
        <w:pStyle w:val="Grfico"/>
      </w:pPr>
    </w:p>
    <w:p w14:paraId="7ABBF8DF" w14:textId="08FE8DE5" w:rsidR="00A84CC2" w:rsidRPr="00C56EC9" w:rsidRDefault="00A84CC2" w:rsidP="00A84CC2">
      <w:pPr>
        <w:pStyle w:val="Ttulo1"/>
        <w:numPr>
          <w:ilvl w:val="0"/>
          <w:numId w:val="1"/>
        </w:numPr>
        <w:rPr>
          <w:lang w:val="es-419"/>
        </w:rPr>
      </w:pPr>
      <w:bookmarkStart w:id="8" w:name="_Toc183978429"/>
      <w:r w:rsidRPr="00C56EC9">
        <w:rPr>
          <w:lang w:val="es-419"/>
        </w:rPr>
        <w:t>Principales resultados</w:t>
      </w:r>
      <w:bookmarkEnd w:id="8"/>
    </w:p>
    <w:p w14:paraId="25D7795F" w14:textId="77777777" w:rsidR="00CC65F5" w:rsidRPr="00C56EC9" w:rsidRDefault="00CC65F5" w:rsidP="00CC65F5">
      <w:pPr>
        <w:rPr>
          <w:lang w:val="es-419"/>
        </w:rPr>
      </w:pPr>
      <w:r w:rsidRPr="00C56EC9">
        <w:rPr>
          <w:lang w:val="es-419"/>
        </w:rPr>
        <w:t>El Proyecto de Ley 163 de 2024 está diseñado para enfrentar los retos de sostenibilidad financiera y equidad del sistema de pensiones en Panamá, introduciendo reformas estructurales significativas. Estas reformas están orientadas a garantizar el pago de pensiones actuales y futuras, a la vez que buscan fortalecer la equidad y sostenibilidad del sistema. Entre las medidas más relevantes se incluyen:</w:t>
      </w:r>
    </w:p>
    <w:p w14:paraId="64B12DA8" w14:textId="77777777" w:rsidR="00704CB0" w:rsidRPr="00C56EC9" w:rsidRDefault="00CC65F5" w:rsidP="007D4163">
      <w:pPr>
        <w:pStyle w:val="Prrafodelista"/>
        <w:numPr>
          <w:ilvl w:val="0"/>
          <w:numId w:val="4"/>
        </w:numPr>
        <w:rPr>
          <w:lang w:val="es-419"/>
        </w:rPr>
      </w:pPr>
      <w:r w:rsidRPr="00C56EC9">
        <w:rPr>
          <w:lang w:val="es-419"/>
        </w:rPr>
        <w:t xml:space="preserve">Aporte </w:t>
      </w:r>
      <w:r w:rsidR="00433A16" w:rsidRPr="00C56EC9">
        <w:rPr>
          <w:lang w:val="es-419"/>
        </w:rPr>
        <w:t>E</w:t>
      </w:r>
      <w:r w:rsidRPr="00C56EC9">
        <w:rPr>
          <w:lang w:val="es-419"/>
        </w:rPr>
        <w:t>statal histórico: Se contempla una contribución sin precedentes de B/. 966 millones por parte del Estado, con un crecimiento</w:t>
      </w:r>
      <w:r w:rsidR="00704CB0" w:rsidRPr="00C56EC9">
        <w:rPr>
          <w:lang w:val="es-419"/>
        </w:rPr>
        <w:t xml:space="preserve"> potencial</w:t>
      </w:r>
      <w:r w:rsidRPr="00C56EC9">
        <w:rPr>
          <w:lang w:val="es-419"/>
        </w:rPr>
        <w:t xml:space="preserve"> anual proyectado del 4%. </w:t>
      </w:r>
    </w:p>
    <w:p w14:paraId="21E7B080" w14:textId="7D81AC9E" w:rsidR="00CC65F5" w:rsidRPr="00C56EC9" w:rsidRDefault="00CC65F5" w:rsidP="00BE0100">
      <w:pPr>
        <w:pStyle w:val="Prrafodelista"/>
        <w:numPr>
          <w:ilvl w:val="0"/>
          <w:numId w:val="4"/>
        </w:numPr>
        <w:rPr>
          <w:lang w:val="es-419"/>
        </w:rPr>
      </w:pPr>
      <w:r w:rsidRPr="00C56EC9">
        <w:rPr>
          <w:lang w:val="es-419"/>
        </w:rPr>
        <w:t>Protección a derechos adquiridos: Se garantiza el respeto a la legítima expectativa de las mujeres mayores de 50 años y los hombres mayores de 55 años afiliados al SEBD, quienes podrán conservar los beneficios definidos bajo las reglas actuales. Esto protege la confianza de los afiliados en el sistema y asegura una transición ordenada hacia el nuevo modelo.</w:t>
      </w:r>
    </w:p>
    <w:p w14:paraId="3252F874" w14:textId="1A959AC7" w:rsidR="00CC65F5" w:rsidRPr="00C56EC9" w:rsidRDefault="00CC65F5" w:rsidP="00525916">
      <w:pPr>
        <w:pStyle w:val="Prrafodelista"/>
        <w:numPr>
          <w:ilvl w:val="0"/>
          <w:numId w:val="4"/>
        </w:numPr>
        <w:rPr>
          <w:lang w:val="es-419"/>
        </w:rPr>
      </w:pPr>
      <w:r w:rsidRPr="00C56EC9">
        <w:rPr>
          <w:lang w:val="es-419"/>
        </w:rPr>
        <w:t>Incremento en las cuotas patronales: Se establece un aumento de 3 puntos porcentuales en la cuota a cargo de los empleadores, lo cual incrementará significativamente los ingresos del sistema. Este ajuste no afectará las contribuciones de los trabajadores.</w:t>
      </w:r>
    </w:p>
    <w:p w14:paraId="3A108530" w14:textId="625C9DF5" w:rsidR="00CC65F5" w:rsidRPr="00C56EC9" w:rsidRDefault="00CC65F5" w:rsidP="00CC65F5">
      <w:pPr>
        <w:pStyle w:val="Prrafodelista"/>
        <w:numPr>
          <w:ilvl w:val="0"/>
          <w:numId w:val="4"/>
        </w:numPr>
        <w:rPr>
          <w:lang w:val="es-419"/>
        </w:rPr>
      </w:pPr>
      <w:r w:rsidRPr="00C56EC9">
        <w:rPr>
          <w:lang w:val="es-419"/>
        </w:rPr>
        <w:lastRenderedPageBreak/>
        <w:t>Flexibilidad en el retiro anticipado: Para los afiliados al SEBD menores de 50 años (mujeres) y 55 años (hombres), se amplían las opciones de retiro anticipado bajo las nuevas reglas del sistema. Asimismo, los afiliados al SMP podrán disfrutar de prestaciones económicas completas a los 60 y 65 años, respectivamente, garantizando flexibilidad y equidad en las opciones de retiro.</w:t>
      </w:r>
    </w:p>
    <w:p w14:paraId="70EB4D4A" w14:textId="4C8E1665" w:rsidR="00CC65F5" w:rsidRPr="00C56EC9" w:rsidRDefault="00CC65F5" w:rsidP="000B646C">
      <w:pPr>
        <w:pStyle w:val="Prrafodelista"/>
        <w:numPr>
          <w:ilvl w:val="0"/>
          <w:numId w:val="4"/>
        </w:numPr>
        <w:rPr>
          <w:lang w:val="es-419"/>
        </w:rPr>
      </w:pPr>
      <w:r w:rsidRPr="00C56EC9">
        <w:rPr>
          <w:lang w:val="es-419"/>
        </w:rPr>
        <w:t>Sistema de Capitalización con Garantía Solidaria: Se crea un nuevo sistema para los afiliados entrantes, combinando características de ahorro individual con un componente solidario que brinda apoyo a quienes no logren acumular el capital suficiente para financiar su pensión. Este diseño busca equilibrar la sostenibilidad financiera con la inclusión social.</w:t>
      </w:r>
    </w:p>
    <w:p w14:paraId="0E00F291" w14:textId="77777777" w:rsidR="00CC65F5" w:rsidRPr="00C56EC9" w:rsidRDefault="00CC65F5" w:rsidP="003B7B7D">
      <w:pPr>
        <w:pStyle w:val="Prrafodelista"/>
        <w:numPr>
          <w:ilvl w:val="0"/>
          <w:numId w:val="4"/>
        </w:numPr>
        <w:rPr>
          <w:lang w:val="es-419"/>
        </w:rPr>
      </w:pPr>
      <w:r w:rsidRPr="00C56EC9">
        <w:rPr>
          <w:lang w:val="es-419"/>
        </w:rPr>
        <w:t>Fondo Único Solidario: Se fusionarán las reservas del SMP, los aportes estatales y las contribuciones de los nuevos afiliados para crear el Fondo Único Solidario. Este fondo, complementado con políticas de inversión más agresivas y diversificadas, permitirá optimizar el rendimiento financiero de los recursos y brindar mejores prestaciones económicas a los asegurados.</w:t>
      </w:r>
    </w:p>
    <w:p w14:paraId="15B8B609" w14:textId="234B44D7" w:rsidR="00CC65F5" w:rsidRPr="00C56EC9" w:rsidRDefault="00CC65F5" w:rsidP="00CC65F5">
      <w:pPr>
        <w:rPr>
          <w:lang w:val="es-419"/>
        </w:rPr>
      </w:pPr>
      <w:r w:rsidRPr="00C56EC9">
        <w:rPr>
          <w:lang w:val="es-419"/>
        </w:rPr>
        <w:t xml:space="preserve">Estas </w:t>
      </w:r>
      <w:r w:rsidR="00154EFE" w:rsidRPr="00C56EC9">
        <w:rPr>
          <w:lang w:val="es-419"/>
        </w:rPr>
        <w:t>medidas</w:t>
      </w:r>
      <w:r w:rsidRPr="00C56EC9">
        <w:rPr>
          <w:lang w:val="es-419"/>
        </w:rPr>
        <w:t xml:space="preserve"> estructurales están diseñadas para estabilizar el sistema y generar un balance</w:t>
      </w:r>
      <w:r w:rsidR="00154EFE" w:rsidRPr="00C56EC9">
        <w:rPr>
          <w:lang w:val="es-419"/>
        </w:rPr>
        <w:t xml:space="preserve"> de ingresos y gastos</w:t>
      </w:r>
      <w:r w:rsidRPr="00C56EC9">
        <w:rPr>
          <w:lang w:val="es-419"/>
        </w:rPr>
        <w:t xml:space="preserve"> positivo durante la mayor parte del periodo proyectado</w:t>
      </w:r>
      <w:r w:rsidR="00154EFE" w:rsidRPr="00C56EC9">
        <w:rPr>
          <w:lang w:val="es-419"/>
        </w:rPr>
        <w:t>. No obstante, las reservas fluctuarán y se mantendrán siempre en positivo</w:t>
      </w:r>
      <w:r w:rsidRPr="00C56EC9">
        <w:rPr>
          <w:lang w:val="es-419"/>
        </w:rPr>
        <w:t>. Aunque se enfrentará a déficits en las primeras décadas debido al crecimiento en los pagos de pensiones y las transiciones demográficas, las medidas implementadas apuntan a revertir esta tendencia a partir de la consolidación del nuevo modelo. A medida que el SEBD se extinga hacia finales del siglo, el sistema se posicionará en un marco de sostenibilidad, respaldado por ingresos constantes y el fortalecimiento de las reservas.</w:t>
      </w:r>
    </w:p>
    <w:p w14:paraId="6A4337DF" w14:textId="4CC2C07B" w:rsidR="00885E8F" w:rsidRPr="00C56EC9" w:rsidRDefault="00885E8F" w:rsidP="00885E8F">
      <w:pPr>
        <w:pStyle w:val="Grfico"/>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8</w:t>
      </w:r>
      <w:r w:rsidRPr="00C56EC9">
        <w:rPr>
          <w:rFonts w:ascii="Book Antiqua" w:hAnsi="Book Antiqua"/>
        </w:rPr>
        <w:fldChar w:fldCharType="end"/>
      </w:r>
      <w:r w:rsidRPr="00C56EC9">
        <w:rPr>
          <w:rFonts w:ascii="Book Antiqua" w:hAnsi="Book Antiqua"/>
        </w:rPr>
        <w:t>. Nivel de reservas actuales a cargo de la CSS</w:t>
      </w:r>
    </w:p>
    <w:p w14:paraId="2FC3459F" w14:textId="77777777" w:rsidR="00885E8F" w:rsidRPr="00C56EC9" w:rsidRDefault="00885E8F" w:rsidP="00885E8F">
      <w:pPr>
        <w:rPr>
          <w:lang w:val="es-419"/>
        </w:rPr>
      </w:pPr>
      <w:r w:rsidRPr="00C56EC9">
        <w:rPr>
          <w:noProof/>
          <w:lang w:val="es-PA" w:eastAsia="es-PA"/>
        </w:rPr>
        <w:lastRenderedPageBreak/>
        <w:drawing>
          <wp:inline distT="0" distB="0" distL="0" distR="0" wp14:anchorId="7152B5E8" wp14:editId="5C04A508">
            <wp:extent cx="5731510" cy="3217545"/>
            <wp:effectExtent l="0" t="0" r="2540" b="1905"/>
            <wp:docPr id="444796252" name="Chart 1">
              <a:extLst xmlns:a="http://schemas.openxmlformats.org/drawingml/2006/main">
                <a:ext uri="{FF2B5EF4-FFF2-40B4-BE49-F238E27FC236}">
                  <a16:creationId xmlns:a16="http://schemas.microsoft.com/office/drawing/2014/main" id="{8F803152-3A47-DCB6-45D5-73D3B56BE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C25BFD" w14:textId="59C1EBD3" w:rsidR="005C73F6" w:rsidRPr="00C56EC9" w:rsidRDefault="00526074" w:rsidP="00CC65F5">
      <w:pPr>
        <w:rPr>
          <w:lang w:val="es-419"/>
        </w:rPr>
      </w:pPr>
      <w:r w:rsidRPr="00C56EC9">
        <w:rPr>
          <w:lang w:val="es-419"/>
        </w:rPr>
        <w:t>Cuantitativamente, l</w:t>
      </w:r>
      <w:r w:rsidR="001C7888" w:rsidRPr="00C56EC9">
        <w:rPr>
          <w:lang w:val="es-419"/>
        </w:rPr>
        <w:t>os ingresos (línea verde</w:t>
      </w:r>
      <w:r w:rsidR="005C73F6" w:rsidRPr="00C56EC9">
        <w:rPr>
          <w:lang w:val="es-419"/>
        </w:rPr>
        <w:t xml:space="preserve"> de la gráfica</w:t>
      </w:r>
      <w:r w:rsidR="001C7888" w:rsidRPr="00C56EC9">
        <w:rPr>
          <w:lang w:val="es-419"/>
        </w:rPr>
        <w:t xml:space="preserve"> </w:t>
      </w:r>
      <w:r w:rsidR="00885E8F" w:rsidRPr="00C56EC9">
        <w:rPr>
          <w:lang w:val="es-419"/>
        </w:rPr>
        <w:t>arriba</w:t>
      </w:r>
      <w:r w:rsidR="001C7888" w:rsidRPr="00C56EC9">
        <w:rPr>
          <w:lang w:val="es-419"/>
        </w:rPr>
        <w:t xml:space="preserve">) experimentan un aumento sostenido, impulsado por los nuevos aportes del Estado, los incrementos en las contribuciones de los empleadores y las mejoras en las políticas de inversión. Por otro lado, los gastos (línea roja) presentan un crecimiento progresivo hasta mediados del siglo, reflejando la transición demográfica y el aumento en el número de pensionados, pero posteriormente disminuyen debido al marchitamiento del SEBD y la consolidación del nuevo Sistema de Capitalización Solidaria. </w:t>
      </w:r>
    </w:p>
    <w:p w14:paraId="7CA5E0F5" w14:textId="0808FAA4" w:rsidR="00F3270C" w:rsidRPr="00C56EC9" w:rsidRDefault="001C7888" w:rsidP="00F3270C">
      <w:pPr>
        <w:rPr>
          <w:lang w:val="es-419"/>
        </w:rPr>
      </w:pPr>
      <w:r w:rsidRPr="00C56EC9">
        <w:rPr>
          <w:lang w:val="es-419"/>
        </w:rPr>
        <w:t>La gráfica de déficit/superávit (barras grises) muestra inicialmente déficits controlados que alcanzan su punto más bajo en las décadas de 2040 y 2050, pero logran estabilizarse y revertirse a superávits hacia el final del periodo analizado, destacando la sostenibilidad a largo plazo del sistema bajo las reformas propuestas</w:t>
      </w:r>
      <w:r w:rsidR="005C73F6" w:rsidRPr="00C56EC9">
        <w:rPr>
          <w:lang w:val="es-419"/>
        </w:rPr>
        <w:t>.</w:t>
      </w:r>
    </w:p>
    <w:p w14:paraId="491F2E15" w14:textId="6ADA0076" w:rsidR="0056650C" w:rsidRPr="00C56EC9" w:rsidRDefault="0056650C" w:rsidP="0056650C">
      <w:pPr>
        <w:rPr>
          <w:lang w:val="es-419"/>
        </w:rPr>
      </w:pPr>
      <w:r w:rsidRPr="00C56EC9">
        <w:rPr>
          <w:lang w:val="es-419"/>
        </w:rPr>
        <w:t xml:space="preserve">La gráfica abajo muestra la evolución proyectada de las reservas del Fondo Único Solidario en función del PIB, diferenciando entre dos escenarios: con y sin el aporte del Estado. En el escenario que incluye el aporte </w:t>
      </w:r>
      <w:r w:rsidR="005951A2" w:rsidRPr="00C56EC9">
        <w:rPr>
          <w:lang w:val="es-419"/>
        </w:rPr>
        <w:t>del Estado</w:t>
      </w:r>
      <w:r w:rsidRPr="00C56EC9">
        <w:rPr>
          <w:lang w:val="es-419"/>
        </w:rPr>
        <w:t>, las reservas muestran un crecimiento constante, alcanzando un punto máximo cercano al 40% del PIB hacia la década de 2050. Este fortalecimiento de las reservas permite sostener las obligaciones del sistema y generar estabilidad financiera.</w:t>
      </w:r>
    </w:p>
    <w:p w14:paraId="0EB7C117" w14:textId="02DDC86F" w:rsidR="00885E8F" w:rsidRPr="00C56EC9" w:rsidRDefault="00885E8F" w:rsidP="00885E8F">
      <w:pPr>
        <w:pStyle w:val="Grfico"/>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9</w:t>
      </w:r>
      <w:r w:rsidRPr="00C56EC9">
        <w:rPr>
          <w:rFonts w:ascii="Book Antiqua" w:hAnsi="Book Antiqua"/>
        </w:rPr>
        <w:fldChar w:fldCharType="end"/>
      </w:r>
      <w:r w:rsidRPr="00C56EC9">
        <w:rPr>
          <w:rFonts w:ascii="Book Antiqua" w:hAnsi="Book Antiqua"/>
        </w:rPr>
        <w:t>. Nivel de reservas actuales a cargo de la CSS</w:t>
      </w:r>
    </w:p>
    <w:p w14:paraId="3A773B7D" w14:textId="77777777" w:rsidR="00885E8F" w:rsidRPr="00C56EC9" w:rsidRDefault="00885E8F" w:rsidP="00885E8F">
      <w:pPr>
        <w:jc w:val="center"/>
        <w:rPr>
          <w:lang w:val="es-419"/>
        </w:rPr>
      </w:pPr>
      <w:r w:rsidRPr="00C56EC9">
        <w:rPr>
          <w:noProof/>
          <w:lang w:val="es-PA" w:eastAsia="es-PA"/>
        </w:rPr>
        <w:lastRenderedPageBreak/>
        <w:drawing>
          <wp:inline distT="0" distB="0" distL="0" distR="0" wp14:anchorId="0B3203BA" wp14:editId="393C1AF8">
            <wp:extent cx="5731510" cy="3217545"/>
            <wp:effectExtent l="0" t="0" r="2540" b="1905"/>
            <wp:docPr id="995672503" name="Chart 1">
              <a:extLst xmlns:a="http://schemas.openxmlformats.org/drawingml/2006/main">
                <a:ext uri="{FF2B5EF4-FFF2-40B4-BE49-F238E27FC236}">
                  <a16:creationId xmlns:a16="http://schemas.microsoft.com/office/drawing/2014/main" id="{D735DA3A-1A5B-445F-906D-F7EFA55A4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37ADD3" w14:textId="2A5B49E8" w:rsidR="0056650C" w:rsidRPr="00C56EC9" w:rsidRDefault="0056650C" w:rsidP="0056650C">
      <w:pPr>
        <w:rPr>
          <w:lang w:val="es-419"/>
        </w:rPr>
      </w:pPr>
      <w:r w:rsidRPr="00C56EC9">
        <w:rPr>
          <w:lang w:val="es-419"/>
        </w:rPr>
        <w:t xml:space="preserve">A pesar de un decrecimiento gradual después del pico, las reservas no se agotan completamente. Hacia finales del siglo, las proyecciones indican una recuperación de las reservas, superando nuevamente el 20% del PIB. Este comportamiento </w:t>
      </w:r>
      <w:r w:rsidR="00885E8F" w:rsidRPr="00C56EC9">
        <w:rPr>
          <w:lang w:val="es-419"/>
        </w:rPr>
        <w:t>evidencia</w:t>
      </w:r>
      <w:r w:rsidRPr="00C56EC9">
        <w:rPr>
          <w:lang w:val="es-419"/>
        </w:rPr>
        <w:t xml:space="preserve"> la eficacia del esquema de financiamiento que incluye el aporte del Estado, los ingresos de los nuevos afiliados y las políticas de inversión optimizadas.</w:t>
      </w:r>
    </w:p>
    <w:p w14:paraId="3A899243" w14:textId="2304FA91" w:rsidR="0056650C" w:rsidRPr="00C56EC9" w:rsidRDefault="0056650C" w:rsidP="0056650C">
      <w:pPr>
        <w:rPr>
          <w:lang w:val="es-419"/>
        </w:rPr>
      </w:pPr>
      <w:r w:rsidRPr="00C56EC9">
        <w:rPr>
          <w:lang w:val="es-419"/>
        </w:rPr>
        <w:t xml:space="preserve">En contraste, en el escenario sin el apoyo </w:t>
      </w:r>
      <w:r w:rsidR="00885E8F" w:rsidRPr="00C56EC9">
        <w:rPr>
          <w:lang w:val="es-419"/>
        </w:rPr>
        <w:t>del Estado</w:t>
      </w:r>
      <w:r w:rsidRPr="00C56EC9">
        <w:rPr>
          <w:lang w:val="es-419"/>
        </w:rPr>
        <w:t>, las reservas del sistema comienzan a declinar de manera abrupta, agotándose completamente hacia 2045</w:t>
      </w:r>
      <w:r w:rsidR="00885E8F" w:rsidRPr="00C56EC9">
        <w:rPr>
          <w:lang w:val="es-419"/>
        </w:rPr>
        <w:t xml:space="preserve"> en una espiral de que no se recupera</w:t>
      </w:r>
      <w:r w:rsidRPr="00C56EC9">
        <w:rPr>
          <w:lang w:val="es-419"/>
        </w:rPr>
        <w:t>. Este agotamiento refleja la incapacidad de las contribuciones y retornos de inversión por sí solos para sostener las obligaciones crecientes del sistema.</w:t>
      </w:r>
    </w:p>
    <w:p w14:paraId="46DC9D9A" w14:textId="4FCA5F83" w:rsidR="00885E8F" w:rsidRPr="00C56EC9" w:rsidRDefault="007367D5" w:rsidP="00885E8F">
      <w:pPr>
        <w:rPr>
          <w:b/>
          <w:bCs/>
          <w:lang w:val="es-419"/>
        </w:rPr>
      </w:pPr>
      <w:r w:rsidRPr="00C56EC9">
        <w:rPr>
          <w:b/>
          <w:bCs/>
          <w:lang w:val="es-419"/>
        </w:rPr>
        <w:t>¿Qué sucede si no aumentamos la cuota a cargo del empleador en 3 puntos porcentuales?</w:t>
      </w:r>
    </w:p>
    <w:p w14:paraId="1ECB36AE" w14:textId="3A3A97F4" w:rsidR="007367D5" w:rsidRPr="00C56EC9" w:rsidRDefault="003A1255" w:rsidP="00885E8F">
      <w:pPr>
        <w:rPr>
          <w:lang w:val="es-419"/>
        </w:rPr>
      </w:pPr>
      <w:r w:rsidRPr="00C56EC9">
        <w:rPr>
          <w:lang w:val="es-419"/>
        </w:rPr>
        <w:t xml:space="preserve">La inyección inmediata de liquidez al Fondo Único Solidario mediante la cuota obrero-patronal es crucial para estabilizar el sistema en el corto y mediano plazo. Este flujo permite cubrir las pensiones actuales y consolidar las reservas del sistema, logrando un crecimiento sostenido hasta mediados de la década de 2040, como se observa en la gráfica. Sin embargo, a pesar de este refuerzo inicial, las proyecciones indican que las reservas podrían entrar en una espiral negativa a finales de la década </w:t>
      </w:r>
      <w:r w:rsidRPr="00C56EC9">
        <w:rPr>
          <w:lang w:val="es-419"/>
        </w:rPr>
        <w:lastRenderedPageBreak/>
        <w:t xml:space="preserve">de los 2060s, particularmente debido al envejecimiento demográfico y al incremento en las obligaciones de pago. </w:t>
      </w:r>
    </w:p>
    <w:p w14:paraId="4E218B8E" w14:textId="5FA5C3EC" w:rsidR="007367D5" w:rsidRPr="00C56EC9" w:rsidRDefault="007367D5" w:rsidP="007367D5">
      <w:pPr>
        <w:pStyle w:val="Grfico"/>
      </w:pPr>
      <w:r w:rsidRPr="00C56EC9">
        <w:rPr>
          <w:rFonts w:ascii="Book Antiqua" w:hAnsi="Book Antiqua"/>
        </w:rPr>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10</w:t>
      </w:r>
      <w:r w:rsidRPr="00C56EC9">
        <w:rPr>
          <w:rFonts w:ascii="Book Antiqua" w:hAnsi="Book Antiqua"/>
        </w:rPr>
        <w:fldChar w:fldCharType="end"/>
      </w:r>
      <w:r w:rsidRPr="00C56EC9">
        <w:rPr>
          <w:rFonts w:ascii="Book Antiqua" w:hAnsi="Book Antiqua"/>
        </w:rPr>
        <w:t>. Nivel de reservas si no se aumenta la cuota a cargo del empleador</w:t>
      </w:r>
    </w:p>
    <w:p w14:paraId="37841003" w14:textId="52B35A72" w:rsidR="007367D5" w:rsidRPr="00C56EC9" w:rsidRDefault="007367D5" w:rsidP="00AB47C8">
      <w:pPr>
        <w:rPr>
          <w:b/>
          <w:bCs/>
          <w:lang w:val="es-419"/>
        </w:rPr>
      </w:pPr>
      <w:r w:rsidRPr="00C56EC9">
        <w:rPr>
          <w:b/>
          <w:bCs/>
          <w:noProof/>
          <w:lang w:val="es-PA" w:eastAsia="es-PA"/>
        </w:rPr>
        <w:drawing>
          <wp:inline distT="0" distB="0" distL="0" distR="0" wp14:anchorId="55504748" wp14:editId="164A3297">
            <wp:extent cx="5670283" cy="2856749"/>
            <wp:effectExtent l="0" t="0" r="6985" b="1270"/>
            <wp:docPr id="204703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8054" cy="2870741"/>
                    </a:xfrm>
                    <a:prstGeom prst="rect">
                      <a:avLst/>
                    </a:prstGeom>
                    <a:noFill/>
                  </pic:spPr>
                </pic:pic>
              </a:graphicData>
            </a:graphic>
          </wp:inline>
        </w:drawing>
      </w:r>
    </w:p>
    <w:p w14:paraId="70D7D90E" w14:textId="77777777" w:rsidR="003A1255" w:rsidRPr="00C56EC9" w:rsidRDefault="003A1255" w:rsidP="00AB47C8">
      <w:pPr>
        <w:rPr>
          <w:b/>
          <w:bCs/>
          <w:lang w:val="es-419"/>
        </w:rPr>
      </w:pPr>
    </w:p>
    <w:p w14:paraId="08CA60B4" w14:textId="1C183E23" w:rsidR="003A1255" w:rsidRPr="00C56EC9" w:rsidRDefault="00D4607B" w:rsidP="00AB47C8">
      <w:pPr>
        <w:rPr>
          <w:b/>
          <w:bCs/>
          <w:lang w:val="es-419"/>
        </w:rPr>
      </w:pPr>
      <w:r w:rsidRPr="00C56EC9">
        <w:rPr>
          <w:b/>
          <w:bCs/>
          <w:lang w:val="es-419"/>
        </w:rPr>
        <w:t xml:space="preserve">¿Qué sucede si mantenemos las edades de referencia </w:t>
      </w:r>
      <w:r w:rsidR="002708DF" w:rsidRPr="00C56EC9">
        <w:rPr>
          <w:b/>
          <w:bCs/>
          <w:lang w:val="es-419"/>
        </w:rPr>
        <w:t>en 57 y 62 años para hombres y mujeres?</w:t>
      </w:r>
    </w:p>
    <w:p w14:paraId="10B19113" w14:textId="22F0FDD8" w:rsidR="008562A2" w:rsidRPr="00C56EC9" w:rsidRDefault="00A85C74" w:rsidP="00AB47C8">
      <w:pPr>
        <w:rPr>
          <w:lang w:val="es-419"/>
        </w:rPr>
      </w:pPr>
      <w:r w:rsidRPr="00C56EC9">
        <w:rPr>
          <w:lang w:val="es-419"/>
        </w:rPr>
        <w:t>En caso de mantener las edades de retiro inalteradas, las futuras generaciones enfrentarán un pasivo significativamente pronunciado que comprometerá la estabilidad del sistema a largo plazo. La gráfica evidencia que, sin ajustes en las edades de retiro, las reservas del Fondo Único Solidario entrarán en una trayectoria insostenible, especialmente en escenarios sin el aporte del Estado. Esto implicará que las nuevas generaciones de cotizantes no solo deberán financiar sus propias pensiones, sino que también tendrán que asumir las obligaciones generadas por los jubilados actuales y futuros, cuyas reservas estarán completamente agotadas antes de 2045. Este desbalance generacional no solo aumenta la presión fiscal sobre los jóvenes panameños y los que están por nacer, sino que también podría derivar en la necesidad de medidas drásticas como mayores impuestos, recortes en las prestaciones, o una dependencia creciente del presupuesto estatal para sostener las pensiones.</w:t>
      </w:r>
    </w:p>
    <w:p w14:paraId="10509592" w14:textId="77777777" w:rsidR="00710F49" w:rsidRDefault="00710F49" w:rsidP="00EE39AA">
      <w:pPr>
        <w:pStyle w:val="Grfico"/>
        <w:rPr>
          <w:rFonts w:ascii="Book Antiqua" w:hAnsi="Book Antiqua"/>
        </w:rPr>
      </w:pPr>
    </w:p>
    <w:p w14:paraId="1001354C" w14:textId="77777777" w:rsidR="00710F49" w:rsidRDefault="00710F49" w:rsidP="00EE39AA">
      <w:pPr>
        <w:pStyle w:val="Grfico"/>
        <w:rPr>
          <w:rFonts w:ascii="Book Antiqua" w:hAnsi="Book Antiqua"/>
        </w:rPr>
      </w:pPr>
    </w:p>
    <w:p w14:paraId="521F4CB8" w14:textId="6147234A" w:rsidR="00EE39AA" w:rsidRPr="00C56EC9" w:rsidRDefault="00EE39AA" w:rsidP="00EE39AA">
      <w:pPr>
        <w:pStyle w:val="Grfico"/>
      </w:pPr>
      <w:r w:rsidRPr="00C56EC9">
        <w:rPr>
          <w:rFonts w:ascii="Book Antiqua" w:hAnsi="Book Antiqua"/>
        </w:rPr>
        <w:lastRenderedPageBreak/>
        <w:t xml:space="preserve">Gráfico </w:t>
      </w:r>
      <w:r w:rsidRPr="00C56EC9">
        <w:rPr>
          <w:rFonts w:ascii="Book Antiqua" w:hAnsi="Book Antiqua"/>
        </w:rPr>
        <w:fldChar w:fldCharType="begin"/>
      </w:r>
      <w:r w:rsidRPr="00C56EC9">
        <w:rPr>
          <w:rFonts w:ascii="Book Antiqua" w:hAnsi="Book Antiqua"/>
        </w:rPr>
        <w:instrText xml:space="preserve"> SEQ Gráfico \* ARABIC </w:instrText>
      </w:r>
      <w:r w:rsidRPr="00C56EC9">
        <w:rPr>
          <w:rFonts w:ascii="Book Antiqua" w:hAnsi="Book Antiqua"/>
        </w:rPr>
        <w:fldChar w:fldCharType="separate"/>
      </w:r>
      <w:r w:rsidR="00B24233">
        <w:rPr>
          <w:rFonts w:ascii="Book Antiqua" w:hAnsi="Book Antiqua"/>
          <w:noProof/>
        </w:rPr>
        <w:t>11</w:t>
      </w:r>
      <w:r w:rsidRPr="00C56EC9">
        <w:rPr>
          <w:rFonts w:ascii="Book Antiqua" w:hAnsi="Book Antiqua"/>
        </w:rPr>
        <w:fldChar w:fldCharType="end"/>
      </w:r>
      <w:r w:rsidRPr="00C56EC9">
        <w:rPr>
          <w:rFonts w:ascii="Book Antiqua" w:hAnsi="Book Antiqua"/>
        </w:rPr>
        <w:t>. Nivel de reservas si no se ajustan las edades de retiro</w:t>
      </w:r>
    </w:p>
    <w:p w14:paraId="554D53B1" w14:textId="1D2CD150" w:rsidR="002708DF" w:rsidRPr="00C56EC9" w:rsidRDefault="008562A2" w:rsidP="008562A2">
      <w:pPr>
        <w:jc w:val="center"/>
        <w:rPr>
          <w:lang w:val="es-419"/>
        </w:rPr>
      </w:pPr>
      <w:r w:rsidRPr="00C56EC9">
        <w:rPr>
          <w:noProof/>
          <w:lang w:val="es-PA" w:eastAsia="es-PA"/>
        </w:rPr>
        <w:drawing>
          <wp:inline distT="0" distB="0" distL="0" distR="0" wp14:anchorId="321A4BF5" wp14:editId="6421BB1E">
            <wp:extent cx="5483026" cy="2762407"/>
            <wp:effectExtent l="0" t="0" r="3810" b="0"/>
            <wp:docPr id="1952857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2429" cy="2777221"/>
                    </a:xfrm>
                    <a:prstGeom prst="rect">
                      <a:avLst/>
                    </a:prstGeom>
                    <a:noFill/>
                  </pic:spPr>
                </pic:pic>
              </a:graphicData>
            </a:graphic>
          </wp:inline>
        </w:drawing>
      </w:r>
    </w:p>
    <w:p w14:paraId="0F590272" w14:textId="77777777" w:rsidR="00084994" w:rsidRPr="00C56EC9" w:rsidRDefault="00084994" w:rsidP="00AB47C8">
      <w:pPr>
        <w:rPr>
          <w:b/>
          <w:bCs/>
          <w:lang w:val="es-419"/>
        </w:rPr>
      </w:pPr>
    </w:p>
    <w:p w14:paraId="494AC700" w14:textId="77777777" w:rsidR="00EE39AA" w:rsidRDefault="00EE39AA" w:rsidP="00AB47C8">
      <w:pPr>
        <w:rPr>
          <w:b/>
          <w:bCs/>
          <w:lang w:val="es-419"/>
        </w:rPr>
      </w:pPr>
    </w:p>
    <w:p w14:paraId="5C99EE8B" w14:textId="77777777" w:rsidR="005C298D" w:rsidRDefault="001922D0" w:rsidP="005C298D">
      <w:pPr>
        <w:pStyle w:val="Ttulo1"/>
        <w:rPr>
          <w:lang w:val="es-419"/>
        </w:rPr>
      </w:pPr>
      <w:bookmarkStart w:id="9" w:name="_Toc183978430"/>
      <w:r>
        <w:rPr>
          <w:lang w:val="es-419"/>
        </w:rPr>
        <w:t xml:space="preserve">Anexo 1: </w:t>
      </w:r>
      <w:r w:rsidR="005C298D">
        <w:rPr>
          <w:lang w:val="es-419"/>
        </w:rPr>
        <w:t>Stock de pensionados por vejez</w:t>
      </w:r>
      <w:bookmarkEnd w:id="9"/>
    </w:p>
    <w:p w14:paraId="73620BB1" w14:textId="77777777" w:rsidR="005C298D" w:rsidRDefault="005C298D" w:rsidP="005C298D">
      <w:pPr>
        <w:jc w:val="center"/>
        <w:rPr>
          <w:lang w:val="es-419"/>
        </w:rPr>
      </w:pPr>
    </w:p>
    <w:p w14:paraId="06486E4D" w14:textId="77777777" w:rsidR="005C298D" w:rsidRDefault="005C298D" w:rsidP="005C298D">
      <w:pPr>
        <w:jc w:val="center"/>
        <w:rPr>
          <w:lang w:val="es-419"/>
        </w:rPr>
      </w:pPr>
    </w:p>
    <w:p w14:paraId="088F979D" w14:textId="1536C46A" w:rsidR="005C298D" w:rsidRDefault="005C298D" w:rsidP="005C298D">
      <w:pPr>
        <w:jc w:val="center"/>
        <w:rPr>
          <w:sz w:val="22"/>
          <w:szCs w:val="20"/>
          <w:lang w:val="es-419"/>
        </w:rPr>
      </w:pPr>
      <w:r>
        <w:rPr>
          <w:sz w:val="22"/>
          <w:szCs w:val="20"/>
          <w:lang w:val="es-419"/>
        </w:rPr>
        <w:t>[Continúa en la siguiente página]</w:t>
      </w:r>
    </w:p>
    <w:p w14:paraId="285F7768" w14:textId="77777777" w:rsidR="00D56753" w:rsidRDefault="001922D0" w:rsidP="00D56753">
      <w:pPr>
        <w:pStyle w:val="Captionfiguras"/>
        <w:sectPr w:rsidR="00D56753" w:rsidSect="00710F49">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br w:type="page"/>
      </w:r>
    </w:p>
    <w:p w14:paraId="4BC9BFBF" w14:textId="2E73C716" w:rsidR="001922D0" w:rsidRDefault="00E64223" w:rsidP="00D56753">
      <w:pPr>
        <w:pStyle w:val="Captionfiguras"/>
        <w:rPr>
          <w:b/>
          <w:bCs/>
        </w:rPr>
      </w:pPr>
      <w:proofErr w:type="spellStart"/>
      <w:r w:rsidRPr="00E64223">
        <w:rPr>
          <w:lang w:val="en-GB"/>
        </w:rPr>
        <w:lastRenderedPageBreak/>
        <w:t>Tabla</w:t>
      </w:r>
      <w:proofErr w:type="spellEnd"/>
      <w:r w:rsidRPr="00E64223">
        <w:rPr>
          <w:lang w:val="en-GB"/>
        </w:rPr>
        <w:t xml:space="preserve"> A1. Stock de pensionados </w:t>
      </w:r>
      <w:proofErr w:type="spellStart"/>
      <w:r w:rsidRPr="00E64223">
        <w:rPr>
          <w:lang w:val="en-GB"/>
        </w:rPr>
        <w:t>según</w:t>
      </w:r>
      <w:proofErr w:type="spellEnd"/>
      <w:r w:rsidRPr="00E64223">
        <w:rPr>
          <w:lang w:val="en-GB"/>
        </w:rPr>
        <w:t xml:space="preserve"> </w:t>
      </w:r>
      <w:proofErr w:type="spellStart"/>
      <w:r w:rsidRPr="00E64223">
        <w:rPr>
          <w:lang w:val="en-GB"/>
        </w:rPr>
        <w:t>edad</w:t>
      </w:r>
      <w:proofErr w:type="spellEnd"/>
      <w:r w:rsidRPr="00E64223">
        <w:rPr>
          <w:lang w:val="en-GB"/>
        </w:rPr>
        <w:t xml:space="preserve"> y </w:t>
      </w:r>
      <w:proofErr w:type="spellStart"/>
      <w:r w:rsidRPr="00E64223">
        <w:rPr>
          <w:lang w:val="en-GB"/>
        </w:rPr>
        <w:t>tipo</w:t>
      </w:r>
      <w:proofErr w:type="spellEnd"/>
      <w:r w:rsidR="00F31F6F">
        <w:t xml:space="preserve"> </w:t>
      </w:r>
    </w:p>
    <w:tbl>
      <w:tblPr>
        <w:tblW w:w="0" w:type="auto"/>
        <w:tblInd w:w="274" w:type="dxa"/>
        <w:tblLook w:val="04A0" w:firstRow="1" w:lastRow="0" w:firstColumn="1" w:lastColumn="0" w:noHBand="0" w:noVBand="1"/>
      </w:tblPr>
      <w:tblGrid>
        <w:gridCol w:w="584"/>
        <w:gridCol w:w="803"/>
        <w:gridCol w:w="972"/>
        <w:gridCol w:w="1389"/>
        <w:gridCol w:w="1464"/>
        <w:gridCol w:w="1782"/>
        <w:gridCol w:w="1023"/>
        <w:gridCol w:w="583"/>
        <w:gridCol w:w="803"/>
        <w:gridCol w:w="972"/>
        <w:gridCol w:w="1389"/>
        <w:gridCol w:w="1464"/>
        <w:gridCol w:w="1782"/>
        <w:gridCol w:w="966"/>
      </w:tblGrid>
      <w:tr w:rsidR="00572995" w:rsidRPr="00483EBE" w14:paraId="51FA3397" w14:textId="77777777" w:rsidTr="00710F49">
        <w:trPr>
          <w:trHeight w:val="257"/>
          <w:tblHeader/>
        </w:trPr>
        <w:tc>
          <w:tcPr>
            <w:tcW w:w="8017" w:type="dxa"/>
            <w:gridSpan w:val="7"/>
            <w:tcBorders>
              <w:top w:val="single" w:sz="8" w:space="0" w:color="auto"/>
              <w:left w:val="single" w:sz="8" w:space="0" w:color="auto"/>
              <w:bottom w:val="single" w:sz="4" w:space="0" w:color="auto"/>
              <w:right w:val="nil"/>
            </w:tcBorders>
            <w:shd w:val="clear" w:color="auto" w:fill="auto"/>
            <w:vAlign w:val="center"/>
            <w:hideMark/>
          </w:tcPr>
          <w:p w14:paraId="7E597EBA" w14:textId="5ED5F6BF" w:rsidR="00572995" w:rsidRPr="00483EBE" w:rsidRDefault="00483EBE" w:rsidP="00E8324D">
            <w:pPr>
              <w:pStyle w:val="Tablas"/>
              <w:rPr>
                <w:b/>
                <w:bCs w:val="0"/>
                <w:sz w:val="12"/>
                <w:szCs w:val="12"/>
              </w:rPr>
            </w:pPr>
            <w:r w:rsidRPr="00483EBE">
              <w:rPr>
                <w:b/>
                <w:bCs w:val="0"/>
                <w:sz w:val="12"/>
                <w:szCs w:val="12"/>
              </w:rPr>
              <w:t>MUJERES</w:t>
            </w:r>
          </w:p>
        </w:tc>
        <w:tc>
          <w:tcPr>
            <w:tcW w:w="7575"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A5FA2ED" w14:textId="1AFFF7FB" w:rsidR="00572995" w:rsidRPr="00483EBE" w:rsidRDefault="00483EBE" w:rsidP="00E8324D">
            <w:pPr>
              <w:pStyle w:val="Tablas"/>
              <w:rPr>
                <w:b/>
                <w:bCs w:val="0"/>
                <w:sz w:val="12"/>
                <w:szCs w:val="12"/>
              </w:rPr>
            </w:pPr>
            <w:r w:rsidRPr="00483EBE">
              <w:rPr>
                <w:b/>
                <w:bCs w:val="0"/>
                <w:sz w:val="12"/>
                <w:szCs w:val="12"/>
              </w:rPr>
              <w:t>HOMBRES</w:t>
            </w:r>
          </w:p>
        </w:tc>
      </w:tr>
      <w:tr w:rsidR="00572995" w:rsidRPr="00483EBE" w14:paraId="6C6C8F67" w14:textId="77777777" w:rsidTr="00710F49">
        <w:trPr>
          <w:trHeight w:val="257"/>
          <w:tblHeader/>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69A0B5D" w14:textId="77777777" w:rsidR="00572995" w:rsidRPr="00483EBE" w:rsidRDefault="00572995" w:rsidP="00E8324D">
            <w:pPr>
              <w:pStyle w:val="Tablas"/>
              <w:rPr>
                <w:b/>
                <w:bCs w:val="0"/>
                <w:sz w:val="12"/>
                <w:szCs w:val="12"/>
              </w:rPr>
            </w:pPr>
            <w:r w:rsidRPr="00483EBE">
              <w:rPr>
                <w:b/>
                <w:bCs w:val="0"/>
                <w:sz w:val="12"/>
                <w:szCs w:val="12"/>
              </w:rPr>
              <w:t>EDAD</w:t>
            </w:r>
          </w:p>
        </w:tc>
        <w:tc>
          <w:tcPr>
            <w:tcW w:w="0" w:type="auto"/>
            <w:tcBorders>
              <w:top w:val="nil"/>
              <w:left w:val="nil"/>
              <w:bottom w:val="single" w:sz="4" w:space="0" w:color="auto"/>
              <w:right w:val="single" w:sz="4" w:space="0" w:color="auto"/>
            </w:tcBorders>
            <w:shd w:val="clear" w:color="auto" w:fill="auto"/>
            <w:vAlign w:val="center"/>
            <w:hideMark/>
          </w:tcPr>
          <w:p w14:paraId="5EB2AAA7" w14:textId="77777777" w:rsidR="00572995" w:rsidRPr="00483EBE" w:rsidRDefault="00572995" w:rsidP="00E8324D">
            <w:pPr>
              <w:pStyle w:val="Tablas"/>
              <w:rPr>
                <w:b/>
                <w:bCs w:val="0"/>
                <w:sz w:val="12"/>
                <w:szCs w:val="12"/>
              </w:rPr>
            </w:pPr>
            <w:r w:rsidRPr="00483EBE">
              <w:rPr>
                <w:b/>
                <w:bCs w:val="0"/>
                <w:sz w:val="12"/>
                <w:szCs w:val="12"/>
              </w:rPr>
              <w:t xml:space="preserve"> NUMERO </w:t>
            </w:r>
          </w:p>
        </w:tc>
        <w:tc>
          <w:tcPr>
            <w:tcW w:w="0" w:type="auto"/>
            <w:tcBorders>
              <w:top w:val="nil"/>
              <w:left w:val="nil"/>
              <w:bottom w:val="single" w:sz="4" w:space="0" w:color="auto"/>
              <w:right w:val="single" w:sz="4" w:space="0" w:color="auto"/>
            </w:tcBorders>
            <w:shd w:val="clear" w:color="auto" w:fill="auto"/>
            <w:vAlign w:val="center"/>
            <w:hideMark/>
          </w:tcPr>
          <w:p w14:paraId="0749A788" w14:textId="77777777" w:rsidR="00572995" w:rsidRPr="00483EBE" w:rsidRDefault="00572995" w:rsidP="00E8324D">
            <w:pPr>
              <w:pStyle w:val="Tablas"/>
              <w:rPr>
                <w:b/>
                <w:bCs w:val="0"/>
                <w:sz w:val="12"/>
                <w:szCs w:val="12"/>
              </w:rPr>
            </w:pPr>
            <w:r w:rsidRPr="00483EBE">
              <w:rPr>
                <w:b/>
                <w:bCs w:val="0"/>
                <w:sz w:val="12"/>
                <w:szCs w:val="12"/>
              </w:rPr>
              <w:t>MONTO TOTAL</w:t>
            </w:r>
          </w:p>
        </w:tc>
        <w:tc>
          <w:tcPr>
            <w:tcW w:w="0" w:type="auto"/>
            <w:tcBorders>
              <w:top w:val="nil"/>
              <w:left w:val="nil"/>
              <w:bottom w:val="single" w:sz="4" w:space="0" w:color="auto"/>
              <w:right w:val="single" w:sz="4" w:space="0" w:color="auto"/>
            </w:tcBorders>
            <w:shd w:val="clear" w:color="auto" w:fill="auto"/>
            <w:vAlign w:val="center"/>
            <w:hideMark/>
          </w:tcPr>
          <w:p w14:paraId="2FACBE3C" w14:textId="77777777" w:rsidR="00572995" w:rsidRPr="00483EBE" w:rsidRDefault="00572995" w:rsidP="00E8324D">
            <w:pPr>
              <w:pStyle w:val="Tablas"/>
              <w:rPr>
                <w:b/>
                <w:bCs w:val="0"/>
                <w:sz w:val="12"/>
                <w:szCs w:val="12"/>
              </w:rPr>
            </w:pPr>
            <w:r w:rsidRPr="00483EBE">
              <w:rPr>
                <w:b/>
                <w:bCs w:val="0"/>
                <w:sz w:val="12"/>
                <w:szCs w:val="12"/>
              </w:rPr>
              <w:t>PENSION PROMEDIO ANUAL</w:t>
            </w:r>
          </w:p>
        </w:tc>
        <w:tc>
          <w:tcPr>
            <w:tcW w:w="0" w:type="auto"/>
            <w:tcBorders>
              <w:top w:val="nil"/>
              <w:left w:val="nil"/>
              <w:bottom w:val="single" w:sz="4" w:space="0" w:color="auto"/>
              <w:right w:val="single" w:sz="4" w:space="0" w:color="auto"/>
            </w:tcBorders>
            <w:shd w:val="clear" w:color="auto" w:fill="auto"/>
            <w:vAlign w:val="center"/>
            <w:hideMark/>
          </w:tcPr>
          <w:p w14:paraId="110AD59F" w14:textId="77777777" w:rsidR="00572995" w:rsidRPr="00483EBE" w:rsidRDefault="00572995" w:rsidP="00E8324D">
            <w:pPr>
              <w:pStyle w:val="Tablas"/>
              <w:rPr>
                <w:b/>
                <w:bCs w:val="0"/>
                <w:sz w:val="12"/>
                <w:szCs w:val="12"/>
              </w:rPr>
            </w:pPr>
            <w:r w:rsidRPr="00483EBE">
              <w:rPr>
                <w:b/>
                <w:bCs w:val="0"/>
                <w:sz w:val="12"/>
                <w:szCs w:val="12"/>
              </w:rPr>
              <w:t>PENSION PROMEDIO MENSUAL</w:t>
            </w:r>
          </w:p>
        </w:tc>
        <w:tc>
          <w:tcPr>
            <w:tcW w:w="0" w:type="auto"/>
            <w:tcBorders>
              <w:top w:val="nil"/>
              <w:left w:val="nil"/>
              <w:bottom w:val="single" w:sz="4" w:space="0" w:color="auto"/>
              <w:right w:val="single" w:sz="4" w:space="0" w:color="auto"/>
            </w:tcBorders>
            <w:shd w:val="clear" w:color="auto" w:fill="auto"/>
            <w:vAlign w:val="center"/>
            <w:hideMark/>
          </w:tcPr>
          <w:p w14:paraId="67B1F5B9" w14:textId="77777777" w:rsidR="00572995" w:rsidRPr="00483EBE" w:rsidRDefault="00572995" w:rsidP="00E8324D">
            <w:pPr>
              <w:pStyle w:val="Tablas"/>
              <w:rPr>
                <w:b/>
                <w:bCs w:val="0"/>
                <w:sz w:val="12"/>
                <w:szCs w:val="12"/>
              </w:rPr>
            </w:pPr>
            <w:r w:rsidRPr="00483EBE">
              <w:rPr>
                <w:b/>
                <w:bCs w:val="0"/>
                <w:sz w:val="12"/>
                <w:szCs w:val="12"/>
              </w:rPr>
              <w:t>TIPO</w:t>
            </w:r>
          </w:p>
        </w:tc>
        <w:tc>
          <w:tcPr>
            <w:tcW w:w="0" w:type="auto"/>
            <w:tcBorders>
              <w:top w:val="nil"/>
              <w:left w:val="nil"/>
              <w:bottom w:val="single" w:sz="4" w:space="0" w:color="auto"/>
              <w:right w:val="nil"/>
            </w:tcBorders>
            <w:shd w:val="clear" w:color="auto" w:fill="auto"/>
            <w:vAlign w:val="center"/>
            <w:hideMark/>
          </w:tcPr>
          <w:p w14:paraId="312CA68E" w14:textId="77777777" w:rsidR="00572995" w:rsidRPr="00483EBE" w:rsidRDefault="00572995" w:rsidP="00E8324D">
            <w:pPr>
              <w:pStyle w:val="Tablas"/>
              <w:rPr>
                <w:b/>
                <w:bCs w:val="0"/>
                <w:sz w:val="12"/>
                <w:szCs w:val="12"/>
              </w:rPr>
            </w:pPr>
            <w:r w:rsidRPr="00483EBE">
              <w:rPr>
                <w:b/>
                <w:bCs w:val="0"/>
                <w:sz w:val="12"/>
                <w:szCs w:val="12"/>
              </w:rPr>
              <w:t>SUBSISTEMA</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FE6217" w14:textId="77777777" w:rsidR="00572995" w:rsidRPr="00483EBE" w:rsidRDefault="00572995" w:rsidP="00E8324D">
            <w:pPr>
              <w:pStyle w:val="Tablas"/>
              <w:rPr>
                <w:b/>
                <w:bCs w:val="0"/>
                <w:sz w:val="12"/>
                <w:szCs w:val="12"/>
              </w:rPr>
            </w:pPr>
            <w:r w:rsidRPr="00483EBE">
              <w:rPr>
                <w:b/>
                <w:bCs w:val="0"/>
                <w:sz w:val="12"/>
                <w:szCs w:val="12"/>
              </w:rPr>
              <w:t>EDAD</w:t>
            </w:r>
          </w:p>
        </w:tc>
        <w:tc>
          <w:tcPr>
            <w:tcW w:w="0" w:type="auto"/>
            <w:tcBorders>
              <w:top w:val="nil"/>
              <w:left w:val="nil"/>
              <w:bottom w:val="single" w:sz="4" w:space="0" w:color="auto"/>
              <w:right w:val="single" w:sz="4" w:space="0" w:color="auto"/>
            </w:tcBorders>
            <w:shd w:val="clear" w:color="auto" w:fill="auto"/>
            <w:vAlign w:val="center"/>
            <w:hideMark/>
          </w:tcPr>
          <w:p w14:paraId="7205D149" w14:textId="77777777" w:rsidR="00572995" w:rsidRPr="00483EBE" w:rsidRDefault="00572995" w:rsidP="00E8324D">
            <w:pPr>
              <w:pStyle w:val="Tablas"/>
              <w:rPr>
                <w:b/>
                <w:bCs w:val="0"/>
                <w:sz w:val="12"/>
                <w:szCs w:val="12"/>
              </w:rPr>
            </w:pPr>
            <w:r w:rsidRPr="00483EBE">
              <w:rPr>
                <w:b/>
                <w:bCs w:val="0"/>
                <w:sz w:val="12"/>
                <w:szCs w:val="12"/>
              </w:rPr>
              <w:t xml:space="preserve"> NUMERO </w:t>
            </w:r>
          </w:p>
        </w:tc>
        <w:tc>
          <w:tcPr>
            <w:tcW w:w="0" w:type="auto"/>
            <w:tcBorders>
              <w:top w:val="nil"/>
              <w:left w:val="nil"/>
              <w:bottom w:val="single" w:sz="4" w:space="0" w:color="auto"/>
              <w:right w:val="single" w:sz="4" w:space="0" w:color="auto"/>
            </w:tcBorders>
            <w:shd w:val="clear" w:color="auto" w:fill="auto"/>
            <w:vAlign w:val="center"/>
            <w:hideMark/>
          </w:tcPr>
          <w:p w14:paraId="643AE1EA" w14:textId="77777777" w:rsidR="00572995" w:rsidRPr="00483EBE" w:rsidRDefault="00572995" w:rsidP="00E8324D">
            <w:pPr>
              <w:pStyle w:val="Tablas"/>
              <w:rPr>
                <w:b/>
                <w:bCs w:val="0"/>
                <w:sz w:val="12"/>
                <w:szCs w:val="12"/>
              </w:rPr>
            </w:pPr>
            <w:r w:rsidRPr="00483EBE">
              <w:rPr>
                <w:b/>
                <w:bCs w:val="0"/>
                <w:sz w:val="12"/>
                <w:szCs w:val="12"/>
              </w:rPr>
              <w:t>MONTO TOTAL</w:t>
            </w:r>
          </w:p>
        </w:tc>
        <w:tc>
          <w:tcPr>
            <w:tcW w:w="0" w:type="auto"/>
            <w:tcBorders>
              <w:top w:val="nil"/>
              <w:left w:val="nil"/>
              <w:bottom w:val="single" w:sz="4" w:space="0" w:color="auto"/>
              <w:right w:val="single" w:sz="4" w:space="0" w:color="auto"/>
            </w:tcBorders>
            <w:shd w:val="clear" w:color="auto" w:fill="auto"/>
            <w:vAlign w:val="center"/>
            <w:hideMark/>
          </w:tcPr>
          <w:p w14:paraId="41F9CCB6" w14:textId="77777777" w:rsidR="00572995" w:rsidRPr="00483EBE" w:rsidRDefault="00572995" w:rsidP="00E8324D">
            <w:pPr>
              <w:pStyle w:val="Tablas"/>
              <w:rPr>
                <w:b/>
                <w:bCs w:val="0"/>
                <w:sz w:val="12"/>
                <w:szCs w:val="12"/>
              </w:rPr>
            </w:pPr>
            <w:r w:rsidRPr="00483EBE">
              <w:rPr>
                <w:b/>
                <w:bCs w:val="0"/>
                <w:sz w:val="12"/>
                <w:szCs w:val="12"/>
              </w:rPr>
              <w:t>PENSION PROMEDIO ANUAL</w:t>
            </w:r>
          </w:p>
        </w:tc>
        <w:tc>
          <w:tcPr>
            <w:tcW w:w="0" w:type="auto"/>
            <w:tcBorders>
              <w:top w:val="nil"/>
              <w:left w:val="nil"/>
              <w:bottom w:val="single" w:sz="4" w:space="0" w:color="auto"/>
              <w:right w:val="single" w:sz="4" w:space="0" w:color="auto"/>
            </w:tcBorders>
            <w:shd w:val="clear" w:color="auto" w:fill="auto"/>
            <w:vAlign w:val="center"/>
            <w:hideMark/>
          </w:tcPr>
          <w:p w14:paraId="272F41E1" w14:textId="77777777" w:rsidR="00572995" w:rsidRPr="00483EBE" w:rsidRDefault="00572995" w:rsidP="00E8324D">
            <w:pPr>
              <w:pStyle w:val="Tablas"/>
              <w:rPr>
                <w:b/>
                <w:bCs w:val="0"/>
                <w:sz w:val="12"/>
                <w:szCs w:val="12"/>
              </w:rPr>
            </w:pPr>
            <w:r w:rsidRPr="00483EBE">
              <w:rPr>
                <w:b/>
                <w:bCs w:val="0"/>
                <w:sz w:val="12"/>
                <w:szCs w:val="12"/>
              </w:rPr>
              <w:t>PENSION PROMEDIO MENSUAL</w:t>
            </w:r>
          </w:p>
        </w:tc>
        <w:tc>
          <w:tcPr>
            <w:tcW w:w="0" w:type="auto"/>
            <w:tcBorders>
              <w:top w:val="nil"/>
              <w:left w:val="nil"/>
              <w:bottom w:val="single" w:sz="4" w:space="0" w:color="auto"/>
              <w:right w:val="single" w:sz="4" w:space="0" w:color="auto"/>
            </w:tcBorders>
            <w:shd w:val="clear" w:color="auto" w:fill="auto"/>
            <w:vAlign w:val="center"/>
            <w:hideMark/>
          </w:tcPr>
          <w:p w14:paraId="5AFF0D75" w14:textId="77777777" w:rsidR="00572995" w:rsidRPr="00483EBE" w:rsidRDefault="00572995" w:rsidP="00E8324D">
            <w:pPr>
              <w:pStyle w:val="Tablas"/>
              <w:rPr>
                <w:sz w:val="12"/>
                <w:szCs w:val="12"/>
              </w:rPr>
            </w:pPr>
            <w:r w:rsidRPr="00483EBE">
              <w:rPr>
                <w:sz w:val="12"/>
                <w:szCs w:val="12"/>
              </w:rPr>
              <w:t>TIPO</w:t>
            </w:r>
          </w:p>
        </w:tc>
        <w:tc>
          <w:tcPr>
            <w:tcW w:w="582" w:type="dxa"/>
            <w:tcBorders>
              <w:top w:val="nil"/>
              <w:left w:val="nil"/>
              <w:bottom w:val="single" w:sz="4" w:space="0" w:color="auto"/>
              <w:right w:val="single" w:sz="8" w:space="0" w:color="auto"/>
            </w:tcBorders>
            <w:shd w:val="clear" w:color="auto" w:fill="auto"/>
            <w:vAlign w:val="center"/>
            <w:hideMark/>
          </w:tcPr>
          <w:p w14:paraId="05B42E9A" w14:textId="77777777" w:rsidR="00572995" w:rsidRPr="00483EBE" w:rsidRDefault="00572995" w:rsidP="00E8324D">
            <w:pPr>
              <w:pStyle w:val="Tablas"/>
              <w:rPr>
                <w:sz w:val="12"/>
                <w:szCs w:val="12"/>
              </w:rPr>
            </w:pPr>
            <w:r w:rsidRPr="00483EBE">
              <w:rPr>
                <w:sz w:val="12"/>
                <w:szCs w:val="12"/>
              </w:rPr>
              <w:t>SUBSISTEMA</w:t>
            </w:r>
          </w:p>
        </w:tc>
      </w:tr>
      <w:tr w:rsidR="00572995" w:rsidRPr="00483EBE" w14:paraId="584065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BC64ADF"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21330895" w14:textId="77777777" w:rsidR="00572995" w:rsidRPr="00483EBE" w:rsidRDefault="00572995" w:rsidP="00E8324D">
            <w:pPr>
              <w:pStyle w:val="Tablas"/>
              <w:rPr>
                <w:sz w:val="12"/>
                <w:szCs w:val="12"/>
              </w:rPr>
            </w:pPr>
            <w:r w:rsidRPr="00483EBE">
              <w:rPr>
                <w:sz w:val="12"/>
                <w:szCs w:val="12"/>
              </w:rPr>
              <w:t xml:space="preserve">2,894 </w:t>
            </w:r>
          </w:p>
        </w:tc>
        <w:tc>
          <w:tcPr>
            <w:tcW w:w="0" w:type="auto"/>
            <w:tcBorders>
              <w:top w:val="nil"/>
              <w:left w:val="nil"/>
              <w:bottom w:val="single" w:sz="4" w:space="0" w:color="auto"/>
              <w:right w:val="single" w:sz="4" w:space="0" w:color="auto"/>
            </w:tcBorders>
            <w:shd w:val="clear" w:color="auto" w:fill="auto"/>
            <w:vAlign w:val="center"/>
            <w:hideMark/>
          </w:tcPr>
          <w:p w14:paraId="3DDCFF1E" w14:textId="77777777" w:rsidR="00572995" w:rsidRPr="00483EBE" w:rsidRDefault="00572995" w:rsidP="00E8324D">
            <w:pPr>
              <w:pStyle w:val="Tablas"/>
              <w:rPr>
                <w:sz w:val="12"/>
                <w:szCs w:val="12"/>
              </w:rPr>
            </w:pPr>
            <w:r w:rsidRPr="00483EBE">
              <w:rPr>
                <w:sz w:val="12"/>
                <w:szCs w:val="12"/>
              </w:rPr>
              <w:t>$29,792,308</w:t>
            </w:r>
          </w:p>
        </w:tc>
        <w:tc>
          <w:tcPr>
            <w:tcW w:w="0" w:type="auto"/>
            <w:tcBorders>
              <w:top w:val="nil"/>
              <w:left w:val="nil"/>
              <w:bottom w:val="single" w:sz="4" w:space="0" w:color="auto"/>
              <w:right w:val="single" w:sz="4" w:space="0" w:color="auto"/>
            </w:tcBorders>
            <w:shd w:val="clear" w:color="auto" w:fill="auto"/>
            <w:vAlign w:val="center"/>
            <w:hideMark/>
          </w:tcPr>
          <w:p w14:paraId="6233E435" w14:textId="77777777" w:rsidR="00572995" w:rsidRPr="00483EBE" w:rsidRDefault="00572995" w:rsidP="00E8324D">
            <w:pPr>
              <w:pStyle w:val="Tablas"/>
              <w:rPr>
                <w:sz w:val="12"/>
                <w:szCs w:val="12"/>
              </w:rPr>
            </w:pPr>
            <w:r w:rsidRPr="00483EBE">
              <w:rPr>
                <w:sz w:val="12"/>
                <w:szCs w:val="12"/>
              </w:rPr>
              <w:t>$10,295</w:t>
            </w:r>
          </w:p>
        </w:tc>
        <w:tc>
          <w:tcPr>
            <w:tcW w:w="0" w:type="auto"/>
            <w:tcBorders>
              <w:top w:val="nil"/>
              <w:left w:val="nil"/>
              <w:bottom w:val="single" w:sz="4" w:space="0" w:color="auto"/>
              <w:right w:val="single" w:sz="4" w:space="0" w:color="auto"/>
            </w:tcBorders>
            <w:shd w:val="clear" w:color="auto" w:fill="auto"/>
            <w:vAlign w:val="center"/>
            <w:hideMark/>
          </w:tcPr>
          <w:p w14:paraId="7BC6BBF0" w14:textId="77777777" w:rsidR="00572995" w:rsidRPr="00483EBE" w:rsidRDefault="00572995" w:rsidP="00E8324D">
            <w:pPr>
              <w:pStyle w:val="Tablas"/>
              <w:rPr>
                <w:sz w:val="12"/>
                <w:szCs w:val="12"/>
              </w:rPr>
            </w:pPr>
            <w:r w:rsidRPr="00483EBE">
              <w:rPr>
                <w:sz w:val="12"/>
                <w:szCs w:val="12"/>
              </w:rPr>
              <w:t>$858</w:t>
            </w:r>
          </w:p>
        </w:tc>
        <w:tc>
          <w:tcPr>
            <w:tcW w:w="0" w:type="auto"/>
            <w:tcBorders>
              <w:top w:val="nil"/>
              <w:left w:val="nil"/>
              <w:bottom w:val="single" w:sz="4" w:space="0" w:color="auto"/>
              <w:right w:val="single" w:sz="4" w:space="0" w:color="auto"/>
            </w:tcBorders>
            <w:shd w:val="clear" w:color="auto" w:fill="auto"/>
            <w:vAlign w:val="center"/>
            <w:hideMark/>
          </w:tcPr>
          <w:p w14:paraId="1224DB9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B096EB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E89502"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2CA9283F" w14:textId="77777777" w:rsidR="00572995" w:rsidRPr="00483EBE" w:rsidRDefault="00572995" w:rsidP="00E8324D">
            <w:pPr>
              <w:pStyle w:val="Tablas"/>
              <w:rPr>
                <w:sz w:val="12"/>
                <w:szCs w:val="12"/>
              </w:rPr>
            </w:pPr>
            <w:r w:rsidRPr="00483EBE">
              <w:rPr>
                <w:sz w:val="12"/>
                <w:szCs w:val="12"/>
              </w:rPr>
              <w:t xml:space="preserve">3,007 </w:t>
            </w:r>
          </w:p>
        </w:tc>
        <w:tc>
          <w:tcPr>
            <w:tcW w:w="0" w:type="auto"/>
            <w:tcBorders>
              <w:top w:val="nil"/>
              <w:left w:val="nil"/>
              <w:bottom w:val="single" w:sz="4" w:space="0" w:color="auto"/>
              <w:right w:val="single" w:sz="4" w:space="0" w:color="auto"/>
            </w:tcBorders>
            <w:shd w:val="clear" w:color="auto" w:fill="auto"/>
            <w:vAlign w:val="center"/>
            <w:hideMark/>
          </w:tcPr>
          <w:p w14:paraId="7079CD67" w14:textId="77777777" w:rsidR="00572995" w:rsidRPr="00483EBE" w:rsidRDefault="00572995" w:rsidP="00E8324D">
            <w:pPr>
              <w:pStyle w:val="Tablas"/>
              <w:rPr>
                <w:sz w:val="12"/>
                <w:szCs w:val="12"/>
              </w:rPr>
            </w:pPr>
            <w:r w:rsidRPr="00483EBE">
              <w:rPr>
                <w:sz w:val="12"/>
                <w:szCs w:val="12"/>
              </w:rPr>
              <w:t>$33,076,801</w:t>
            </w:r>
          </w:p>
        </w:tc>
        <w:tc>
          <w:tcPr>
            <w:tcW w:w="0" w:type="auto"/>
            <w:tcBorders>
              <w:top w:val="nil"/>
              <w:left w:val="nil"/>
              <w:bottom w:val="single" w:sz="4" w:space="0" w:color="auto"/>
              <w:right w:val="single" w:sz="4" w:space="0" w:color="auto"/>
            </w:tcBorders>
            <w:shd w:val="clear" w:color="auto" w:fill="auto"/>
            <w:vAlign w:val="center"/>
            <w:hideMark/>
          </w:tcPr>
          <w:p w14:paraId="0BC9E46E" w14:textId="77777777" w:rsidR="00572995" w:rsidRPr="00483EBE" w:rsidRDefault="00572995" w:rsidP="00E8324D">
            <w:pPr>
              <w:pStyle w:val="Tablas"/>
              <w:rPr>
                <w:sz w:val="12"/>
                <w:szCs w:val="12"/>
              </w:rPr>
            </w:pPr>
            <w:r w:rsidRPr="00483EBE">
              <w:rPr>
                <w:sz w:val="12"/>
                <w:szCs w:val="12"/>
              </w:rPr>
              <w:t>$11,000</w:t>
            </w:r>
          </w:p>
        </w:tc>
        <w:tc>
          <w:tcPr>
            <w:tcW w:w="0" w:type="auto"/>
            <w:tcBorders>
              <w:top w:val="nil"/>
              <w:left w:val="nil"/>
              <w:bottom w:val="single" w:sz="4" w:space="0" w:color="auto"/>
              <w:right w:val="single" w:sz="4" w:space="0" w:color="auto"/>
            </w:tcBorders>
            <w:shd w:val="clear" w:color="auto" w:fill="auto"/>
            <w:vAlign w:val="center"/>
            <w:hideMark/>
          </w:tcPr>
          <w:p w14:paraId="5B4CF4C0" w14:textId="77777777" w:rsidR="00572995" w:rsidRPr="00483EBE" w:rsidRDefault="00572995" w:rsidP="00E8324D">
            <w:pPr>
              <w:pStyle w:val="Tablas"/>
              <w:rPr>
                <w:sz w:val="12"/>
                <w:szCs w:val="12"/>
              </w:rPr>
            </w:pPr>
            <w:r w:rsidRPr="00483EBE">
              <w:rPr>
                <w:sz w:val="12"/>
                <w:szCs w:val="12"/>
              </w:rPr>
              <w:t>$917</w:t>
            </w:r>
          </w:p>
        </w:tc>
        <w:tc>
          <w:tcPr>
            <w:tcW w:w="0" w:type="auto"/>
            <w:tcBorders>
              <w:top w:val="nil"/>
              <w:left w:val="nil"/>
              <w:bottom w:val="single" w:sz="4" w:space="0" w:color="auto"/>
              <w:right w:val="single" w:sz="4" w:space="0" w:color="auto"/>
            </w:tcBorders>
            <w:shd w:val="clear" w:color="auto" w:fill="auto"/>
            <w:vAlign w:val="center"/>
            <w:hideMark/>
          </w:tcPr>
          <w:p w14:paraId="32564AB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37CDD3E" w14:textId="77777777" w:rsidR="00572995" w:rsidRPr="00483EBE" w:rsidRDefault="00572995" w:rsidP="00E8324D">
            <w:pPr>
              <w:pStyle w:val="Tablas"/>
              <w:rPr>
                <w:sz w:val="12"/>
                <w:szCs w:val="12"/>
              </w:rPr>
            </w:pPr>
            <w:r w:rsidRPr="00483EBE">
              <w:rPr>
                <w:sz w:val="12"/>
                <w:szCs w:val="12"/>
              </w:rPr>
              <w:t>SEBD</w:t>
            </w:r>
          </w:p>
        </w:tc>
      </w:tr>
      <w:tr w:rsidR="00572995" w:rsidRPr="00483EBE" w14:paraId="5807E38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97148D0"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4A032A08" w14:textId="77777777" w:rsidR="00572995" w:rsidRPr="00483EBE" w:rsidRDefault="00572995" w:rsidP="00E8324D">
            <w:pPr>
              <w:pStyle w:val="Tablas"/>
              <w:rPr>
                <w:sz w:val="12"/>
                <w:szCs w:val="12"/>
              </w:rPr>
            </w:pPr>
            <w:r w:rsidRPr="00483EBE">
              <w:rPr>
                <w:sz w:val="12"/>
                <w:szCs w:val="12"/>
              </w:rPr>
              <w:t xml:space="preserve">4,755 </w:t>
            </w:r>
          </w:p>
        </w:tc>
        <w:tc>
          <w:tcPr>
            <w:tcW w:w="0" w:type="auto"/>
            <w:tcBorders>
              <w:top w:val="nil"/>
              <w:left w:val="nil"/>
              <w:bottom w:val="single" w:sz="4" w:space="0" w:color="auto"/>
              <w:right w:val="single" w:sz="4" w:space="0" w:color="auto"/>
            </w:tcBorders>
            <w:shd w:val="clear" w:color="auto" w:fill="auto"/>
            <w:vAlign w:val="center"/>
            <w:hideMark/>
          </w:tcPr>
          <w:p w14:paraId="76703FE8" w14:textId="77777777" w:rsidR="00572995" w:rsidRPr="00483EBE" w:rsidRDefault="00572995" w:rsidP="00E8324D">
            <w:pPr>
              <w:pStyle w:val="Tablas"/>
              <w:rPr>
                <w:sz w:val="12"/>
                <w:szCs w:val="12"/>
              </w:rPr>
            </w:pPr>
            <w:r w:rsidRPr="00483EBE">
              <w:rPr>
                <w:sz w:val="12"/>
                <w:szCs w:val="12"/>
              </w:rPr>
              <w:t>$48,354,690</w:t>
            </w:r>
          </w:p>
        </w:tc>
        <w:tc>
          <w:tcPr>
            <w:tcW w:w="0" w:type="auto"/>
            <w:tcBorders>
              <w:top w:val="nil"/>
              <w:left w:val="nil"/>
              <w:bottom w:val="single" w:sz="4" w:space="0" w:color="auto"/>
              <w:right w:val="single" w:sz="4" w:space="0" w:color="auto"/>
            </w:tcBorders>
            <w:shd w:val="clear" w:color="auto" w:fill="auto"/>
            <w:vAlign w:val="center"/>
            <w:hideMark/>
          </w:tcPr>
          <w:p w14:paraId="4B50A0AA" w14:textId="77777777" w:rsidR="00572995" w:rsidRPr="00483EBE" w:rsidRDefault="00572995" w:rsidP="00E8324D">
            <w:pPr>
              <w:pStyle w:val="Tablas"/>
              <w:rPr>
                <w:sz w:val="12"/>
                <w:szCs w:val="12"/>
              </w:rPr>
            </w:pPr>
            <w:r w:rsidRPr="00483EBE">
              <w:rPr>
                <w:sz w:val="12"/>
                <w:szCs w:val="12"/>
              </w:rPr>
              <w:t>$10,169</w:t>
            </w:r>
          </w:p>
        </w:tc>
        <w:tc>
          <w:tcPr>
            <w:tcW w:w="0" w:type="auto"/>
            <w:tcBorders>
              <w:top w:val="nil"/>
              <w:left w:val="nil"/>
              <w:bottom w:val="single" w:sz="4" w:space="0" w:color="auto"/>
              <w:right w:val="single" w:sz="4" w:space="0" w:color="auto"/>
            </w:tcBorders>
            <w:shd w:val="clear" w:color="auto" w:fill="auto"/>
            <w:vAlign w:val="center"/>
            <w:hideMark/>
          </w:tcPr>
          <w:p w14:paraId="6F307D7C" w14:textId="77777777" w:rsidR="00572995" w:rsidRPr="00483EBE" w:rsidRDefault="00572995" w:rsidP="00E8324D">
            <w:pPr>
              <w:pStyle w:val="Tablas"/>
              <w:rPr>
                <w:sz w:val="12"/>
                <w:szCs w:val="12"/>
              </w:rPr>
            </w:pPr>
            <w:r w:rsidRPr="00483EBE">
              <w:rPr>
                <w:sz w:val="12"/>
                <w:szCs w:val="12"/>
              </w:rPr>
              <w:t>$847</w:t>
            </w:r>
          </w:p>
        </w:tc>
        <w:tc>
          <w:tcPr>
            <w:tcW w:w="0" w:type="auto"/>
            <w:tcBorders>
              <w:top w:val="nil"/>
              <w:left w:val="nil"/>
              <w:bottom w:val="single" w:sz="4" w:space="0" w:color="auto"/>
              <w:right w:val="single" w:sz="4" w:space="0" w:color="auto"/>
            </w:tcBorders>
            <w:shd w:val="clear" w:color="auto" w:fill="auto"/>
            <w:vAlign w:val="center"/>
            <w:hideMark/>
          </w:tcPr>
          <w:p w14:paraId="324AF52F"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00ACDEB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2E92019"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44811E19" w14:textId="77777777" w:rsidR="00572995" w:rsidRPr="00483EBE" w:rsidRDefault="00572995" w:rsidP="00E8324D">
            <w:pPr>
              <w:pStyle w:val="Tablas"/>
              <w:rPr>
                <w:sz w:val="12"/>
                <w:szCs w:val="12"/>
              </w:rPr>
            </w:pPr>
            <w:r w:rsidRPr="00483EBE">
              <w:rPr>
                <w:sz w:val="12"/>
                <w:szCs w:val="12"/>
              </w:rPr>
              <w:t xml:space="preserve">4,842 </w:t>
            </w:r>
          </w:p>
        </w:tc>
        <w:tc>
          <w:tcPr>
            <w:tcW w:w="0" w:type="auto"/>
            <w:tcBorders>
              <w:top w:val="nil"/>
              <w:left w:val="nil"/>
              <w:bottom w:val="single" w:sz="4" w:space="0" w:color="auto"/>
              <w:right w:val="single" w:sz="4" w:space="0" w:color="auto"/>
            </w:tcBorders>
            <w:shd w:val="clear" w:color="auto" w:fill="auto"/>
            <w:vAlign w:val="center"/>
            <w:hideMark/>
          </w:tcPr>
          <w:p w14:paraId="286C8135" w14:textId="77777777" w:rsidR="00572995" w:rsidRPr="00483EBE" w:rsidRDefault="00572995" w:rsidP="00E8324D">
            <w:pPr>
              <w:pStyle w:val="Tablas"/>
              <w:rPr>
                <w:sz w:val="12"/>
                <w:szCs w:val="12"/>
              </w:rPr>
            </w:pPr>
            <w:r w:rsidRPr="00483EBE">
              <w:rPr>
                <w:sz w:val="12"/>
                <w:szCs w:val="12"/>
              </w:rPr>
              <w:t>$50,998,865</w:t>
            </w:r>
          </w:p>
        </w:tc>
        <w:tc>
          <w:tcPr>
            <w:tcW w:w="0" w:type="auto"/>
            <w:tcBorders>
              <w:top w:val="nil"/>
              <w:left w:val="nil"/>
              <w:bottom w:val="single" w:sz="4" w:space="0" w:color="auto"/>
              <w:right w:val="single" w:sz="4" w:space="0" w:color="auto"/>
            </w:tcBorders>
            <w:shd w:val="clear" w:color="auto" w:fill="auto"/>
            <w:vAlign w:val="center"/>
            <w:hideMark/>
          </w:tcPr>
          <w:p w14:paraId="65A58A7F" w14:textId="77777777" w:rsidR="00572995" w:rsidRPr="00483EBE" w:rsidRDefault="00572995" w:rsidP="00E8324D">
            <w:pPr>
              <w:pStyle w:val="Tablas"/>
              <w:rPr>
                <w:sz w:val="12"/>
                <w:szCs w:val="12"/>
              </w:rPr>
            </w:pPr>
            <w:r w:rsidRPr="00483EBE">
              <w:rPr>
                <w:sz w:val="12"/>
                <w:szCs w:val="12"/>
              </w:rPr>
              <w:t>$10,533</w:t>
            </w:r>
          </w:p>
        </w:tc>
        <w:tc>
          <w:tcPr>
            <w:tcW w:w="0" w:type="auto"/>
            <w:tcBorders>
              <w:top w:val="nil"/>
              <w:left w:val="nil"/>
              <w:bottom w:val="single" w:sz="4" w:space="0" w:color="auto"/>
              <w:right w:val="single" w:sz="4" w:space="0" w:color="auto"/>
            </w:tcBorders>
            <w:shd w:val="clear" w:color="auto" w:fill="auto"/>
            <w:vAlign w:val="center"/>
            <w:hideMark/>
          </w:tcPr>
          <w:p w14:paraId="1ABF057A" w14:textId="77777777" w:rsidR="00572995" w:rsidRPr="00483EBE" w:rsidRDefault="00572995" w:rsidP="00E8324D">
            <w:pPr>
              <w:pStyle w:val="Tablas"/>
              <w:rPr>
                <w:sz w:val="12"/>
                <w:szCs w:val="12"/>
              </w:rPr>
            </w:pPr>
            <w:r w:rsidRPr="00483EBE">
              <w:rPr>
                <w:sz w:val="12"/>
                <w:szCs w:val="12"/>
              </w:rPr>
              <w:t>$878</w:t>
            </w:r>
          </w:p>
        </w:tc>
        <w:tc>
          <w:tcPr>
            <w:tcW w:w="0" w:type="auto"/>
            <w:tcBorders>
              <w:top w:val="nil"/>
              <w:left w:val="nil"/>
              <w:bottom w:val="single" w:sz="4" w:space="0" w:color="auto"/>
              <w:right w:val="single" w:sz="4" w:space="0" w:color="auto"/>
            </w:tcBorders>
            <w:shd w:val="clear" w:color="auto" w:fill="auto"/>
            <w:vAlign w:val="center"/>
            <w:hideMark/>
          </w:tcPr>
          <w:p w14:paraId="2D41DCE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2C483FA" w14:textId="77777777" w:rsidR="00572995" w:rsidRPr="00483EBE" w:rsidRDefault="00572995" w:rsidP="00E8324D">
            <w:pPr>
              <w:pStyle w:val="Tablas"/>
              <w:rPr>
                <w:sz w:val="12"/>
                <w:szCs w:val="12"/>
              </w:rPr>
            </w:pPr>
            <w:r w:rsidRPr="00483EBE">
              <w:rPr>
                <w:sz w:val="12"/>
                <w:szCs w:val="12"/>
              </w:rPr>
              <w:t>SEBD</w:t>
            </w:r>
          </w:p>
        </w:tc>
      </w:tr>
      <w:tr w:rsidR="00572995" w:rsidRPr="00483EBE" w14:paraId="593EEC4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B0F72E"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3D077594" w14:textId="77777777" w:rsidR="00572995" w:rsidRPr="00483EBE" w:rsidRDefault="00572995" w:rsidP="00E8324D">
            <w:pPr>
              <w:pStyle w:val="Tablas"/>
              <w:rPr>
                <w:sz w:val="12"/>
                <w:szCs w:val="12"/>
              </w:rPr>
            </w:pPr>
            <w:r w:rsidRPr="00483EBE">
              <w:rPr>
                <w:sz w:val="12"/>
                <w:szCs w:val="12"/>
              </w:rPr>
              <w:t xml:space="preserve">4,947 </w:t>
            </w:r>
          </w:p>
        </w:tc>
        <w:tc>
          <w:tcPr>
            <w:tcW w:w="0" w:type="auto"/>
            <w:tcBorders>
              <w:top w:val="nil"/>
              <w:left w:val="nil"/>
              <w:bottom w:val="single" w:sz="4" w:space="0" w:color="auto"/>
              <w:right w:val="single" w:sz="4" w:space="0" w:color="auto"/>
            </w:tcBorders>
            <w:shd w:val="clear" w:color="auto" w:fill="auto"/>
            <w:vAlign w:val="center"/>
            <w:hideMark/>
          </w:tcPr>
          <w:p w14:paraId="62368EBF" w14:textId="77777777" w:rsidR="00572995" w:rsidRPr="00483EBE" w:rsidRDefault="00572995" w:rsidP="00E8324D">
            <w:pPr>
              <w:pStyle w:val="Tablas"/>
              <w:rPr>
                <w:sz w:val="12"/>
                <w:szCs w:val="12"/>
              </w:rPr>
            </w:pPr>
            <w:r w:rsidRPr="00483EBE">
              <w:rPr>
                <w:sz w:val="12"/>
                <w:szCs w:val="12"/>
              </w:rPr>
              <w:t>$49,698,657</w:t>
            </w:r>
          </w:p>
        </w:tc>
        <w:tc>
          <w:tcPr>
            <w:tcW w:w="0" w:type="auto"/>
            <w:tcBorders>
              <w:top w:val="nil"/>
              <w:left w:val="nil"/>
              <w:bottom w:val="single" w:sz="4" w:space="0" w:color="auto"/>
              <w:right w:val="single" w:sz="4" w:space="0" w:color="auto"/>
            </w:tcBorders>
            <w:shd w:val="clear" w:color="auto" w:fill="auto"/>
            <w:vAlign w:val="center"/>
            <w:hideMark/>
          </w:tcPr>
          <w:p w14:paraId="620F2960" w14:textId="77777777" w:rsidR="00572995" w:rsidRPr="00483EBE" w:rsidRDefault="00572995" w:rsidP="00E8324D">
            <w:pPr>
              <w:pStyle w:val="Tablas"/>
              <w:rPr>
                <w:sz w:val="12"/>
                <w:szCs w:val="12"/>
              </w:rPr>
            </w:pPr>
            <w:r w:rsidRPr="00483EBE">
              <w:rPr>
                <w:sz w:val="12"/>
                <w:szCs w:val="12"/>
              </w:rPr>
              <w:t>$10,046</w:t>
            </w:r>
          </w:p>
        </w:tc>
        <w:tc>
          <w:tcPr>
            <w:tcW w:w="0" w:type="auto"/>
            <w:tcBorders>
              <w:top w:val="nil"/>
              <w:left w:val="nil"/>
              <w:bottom w:val="single" w:sz="4" w:space="0" w:color="auto"/>
              <w:right w:val="single" w:sz="4" w:space="0" w:color="auto"/>
            </w:tcBorders>
            <w:shd w:val="clear" w:color="auto" w:fill="auto"/>
            <w:vAlign w:val="center"/>
            <w:hideMark/>
          </w:tcPr>
          <w:p w14:paraId="7AB3289B" w14:textId="77777777" w:rsidR="00572995" w:rsidRPr="00483EBE" w:rsidRDefault="00572995" w:rsidP="00E8324D">
            <w:pPr>
              <w:pStyle w:val="Tablas"/>
              <w:rPr>
                <w:sz w:val="12"/>
                <w:szCs w:val="12"/>
              </w:rPr>
            </w:pPr>
            <w:r w:rsidRPr="00483EBE">
              <w:rPr>
                <w:sz w:val="12"/>
                <w:szCs w:val="12"/>
              </w:rPr>
              <w:t>$837</w:t>
            </w:r>
          </w:p>
        </w:tc>
        <w:tc>
          <w:tcPr>
            <w:tcW w:w="0" w:type="auto"/>
            <w:tcBorders>
              <w:top w:val="nil"/>
              <w:left w:val="nil"/>
              <w:bottom w:val="single" w:sz="4" w:space="0" w:color="auto"/>
              <w:right w:val="single" w:sz="4" w:space="0" w:color="auto"/>
            </w:tcBorders>
            <w:shd w:val="clear" w:color="auto" w:fill="auto"/>
            <w:vAlign w:val="center"/>
            <w:hideMark/>
          </w:tcPr>
          <w:p w14:paraId="4629AF41"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8352EA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B4B6E92"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57DDAFD4" w14:textId="77777777" w:rsidR="00572995" w:rsidRPr="00483EBE" w:rsidRDefault="00572995" w:rsidP="00E8324D">
            <w:pPr>
              <w:pStyle w:val="Tablas"/>
              <w:rPr>
                <w:sz w:val="12"/>
                <w:szCs w:val="12"/>
              </w:rPr>
            </w:pPr>
            <w:r w:rsidRPr="00483EBE">
              <w:rPr>
                <w:sz w:val="12"/>
                <w:szCs w:val="12"/>
              </w:rPr>
              <w:t xml:space="preserve">4,630 </w:t>
            </w:r>
          </w:p>
        </w:tc>
        <w:tc>
          <w:tcPr>
            <w:tcW w:w="0" w:type="auto"/>
            <w:tcBorders>
              <w:top w:val="nil"/>
              <w:left w:val="nil"/>
              <w:bottom w:val="single" w:sz="4" w:space="0" w:color="auto"/>
              <w:right w:val="single" w:sz="4" w:space="0" w:color="auto"/>
            </w:tcBorders>
            <w:shd w:val="clear" w:color="auto" w:fill="auto"/>
            <w:vAlign w:val="center"/>
            <w:hideMark/>
          </w:tcPr>
          <w:p w14:paraId="6EAF3B38" w14:textId="77777777" w:rsidR="00572995" w:rsidRPr="00483EBE" w:rsidRDefault="00572995" w:rsidP="00E8324D">
            <w:pPr>
              <w:pStyle w:val="Tablas"/>
              <w:rPr>
                <w:sz w:val="12"/>
                <w:szCs w:val="12"/>
              </w:rPr>
            </w:pPr>
            <w:r w:rsidRPr="00483EBE">
              <w:rPr>
                <w:sz w:val="12"/>
                <w:szCs w:val="12"/>
              </w:rPr>
              <w:t>$48,943,918</w:t>
            </w:r>
          </w:p>
        </w:tc>
        <w:tc>
          <w:tcPr>
            <w:tcW w:w="0" w:type="auto"/>
            <w:tcBorders>
              <w:top w:val="nil"/>
              <w:left w:val="nil"/>
              <w:bottom w:val="single" w:sz="4" w:space="0" w:color="auto"/>
              <w:right w:val="single" w:sz="4" w:space="0" w:color="auto"/>
            </w:tcBorders>
            <w:shd w:val="clear" w:color="auto" w:fill="auto"/>
            <w:vAlign w:val="center"/>
            <w:hideMark/>
          </w:tcPr>
          <w:p w14:paraId="537FC010" w14:textId="77777777" w:rsidR="00572995" w:rsidRPr="00483EBE" w:rsidRDefault="00572995" w:rsidP="00E8324D">
            <w:pPr>
              <w:pStyle w:val="Tablas"/>
              <w:rPr>
                <w:sz w:val="12"/>
                <w:szCs w:val="12"/>
              </w:rPr>
            </w:pPr>
            <w:r w:rsidRPr="00483EBE">
              <w:rPr>
                <w:sz w:val="12"/>
                <w:szCs w:val="12"/>
              </w:rPr>
              <w:t>$10,571</w:t>
            </w:r>
          </w:p>
        </w:tc>
        <w:tc>
          <w:tcPr>
            <w:tcW w:w="0" w:type="auto"/>
            <w:tcBorders>
              <w:top w:val="nil"/>
              <w:left w:val="nil"/>
              <w:bottom w:val="single" w:sz="4" w:space="0" w:color="auto"/>
              <w:right w:val="single" w:sz="4" w:space="0" w:color="auto"/>
            </w:tcBorders>
            <w:shd w:val="clear" w:color="auto" w:fill="auto"/>
            <w:vAlign w:val="center"/>
            <w:hideMark/>
          </w:tcPr>
          <w:p w14:paraId="66F8153B" w14:textId="77777777" w:rsidR="00572995" w:rsidRPr="00483EBE" w:rsidRDefault="00572995" w:rsidP="00E8324D">
            <w:pPr>
              <w:pStyle w:val="Tablas"/>
              <w:rPr>
                <w:sz w:val="12"/>
                <w:szCs w:val="12"/>
              </w:rPr>
            </w:pPr>
            <w:r w:rsidRPr="00483EBE">
              <w:rPr>
                <w:sz w:val="12"/>
                <w:szCs w:val="12"/>
              </w:rPr>
              <w:t>$881</w:t>
            </w:r>
          </w:p>
        </w:tc>
        <w:tc>
          <w:tcPr>
            <w:tcW w:w="0" w:type="auto"/>
            <w:tcBorders>
              <w:top w:val="nil"/>
              <w:left w:val="nil"/>
              <w:bottom w:val="single" w:sz="4" w:space="0" w:color="auto"/>
              <w:right w:val="single" w:sz="4" w:space="0" w:color="auto"/>
            </w:tcBorders>
            <w:shd w:val="clear" w:color="auto" w:fill="auto"/>
            <w:vAlign w:val="center"/>
            <w:hideMark/>
          </w:tcPr>
          <w:p w14:paraId="5653561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61AB281" w14:textId="77777777" w:rsidR="00572995" w:rsidRPr="00483EBE" w:rsidRDefault="00572995" w:rsidP="00E8324D">
            <w:pPr>
              <w:pStyle w:val="Tablas"/>
              <w:rPr>
                <w:sz w:val="12"/>
                <w:szCs w:val="12"/>
              </w:rPr>
            </w:pPr>
            <w:r w:rsidRPr="00483EBE">
              <w:rPr>
                <w:sz w:val="12"/>
                <w:szCs w:val="12"/>
              </w:rPr>
              <w:t>SEBD</w:t>
            </w:r>
          </w:p>
        </w:tc>
      </w:tr>
      <w:tr w:rsidR="00572995" w:rsidRPr="00483EBE" w14:paraId="18DF442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FA814F"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6E3F8BAA" w14:textId="77777777" w:rsidR="00572995" w:rsidRPr="00483EBE" w:rsidRDefault="00572995" w:rsidP="00E8324D">
            <w:pPr>
              <w:pStyle w:val="Tablas"/>
              <w:rPr>
                <w:sz w:val="12"/>
                <w:szCs w:val="12"/>
              </w:rPr>
            </w:pPr>
            <w:r w:rsidRPr="00483EBE">
              <w:rPr>
                <w:sz w:val="12"/>
                <w:szCs w:val="12"/>
              </w:rPr>
              <w:t xml:space="preserve">4,747 </w:t>
            </w:r>
          </w:p>
        </w:tc>
        <w:tc>
          <w:tcPr>
            <w:tcW w:w="0" w:type="auto"/>
            <w:tcBorders>
              <w:top w:val="nil"/>
              <w:left w:val="nil"/>
              <w:bottom w:val="single" w:sz="4" w:space="0" w:color="auto"/>
              <w:right w:val="single" w:sz="4" w:space="0" w:color="auto"/>
            </w:tcBorders>
            <w:shd w:val="clear" w:color="auto" w:fill="auto"/>
            <w:vAlign w:val="center"/>
            <w:hideMark/>
          </w:tcPr>
          <w:p w14:paraId="16DDDC0A" w14:textId="77777777" w:rsidR="00572995" w:rsidRPr="00483EBE" w:rsidRDefault="00572995" w:rsidP="00E8324D">
            <w:pPr>
              <w:pStyle w:val="Tablas"/>
              <w:rPr>
                <w:sz w:val="12"/>
                <w:szCs w:val="12"/>
              </w:rPr>
            </w:pPr>
            <w:r w:rsidRPr="00483EBE">
              <w:rPr>
                <w:sz w:val="12"/>
                <w:szCs w:val="12"/>
              </w:rPr>
              <w:t>$45,988,540</w:t>
            </w:r>
          </w:p>
        </w:tc>
        <w:tc>
          <w:tcPr>
            <w:tcW w:w="0" w:type="auto"/>
            <w:tcBorders>
              <w:top w:val="nil"/>
              <w:left w:val="nil"/>
              <w:bottom w:val="single" w:sz="4" w:space="0" w:color="auto"/>
              <w:right w:val="single" w:sz="4" w:space="0" w:color="auto"/>
            </w:tcBorders>
            <w:shd w:val="clear" w:color="auto" w:fill="auto"/>
            <w:vAlign w:val="center"/>
            <w:hideMark/>
          </w:tcPr>
          <w:p w14:paraId="584F3908" w14:textId="77777777" w:rsidR="00572995" w:rsidRPr="00483EBE" w:rsidRDefault="00572995" w:rsidP="00E8324D">
            <w:pPr>
              <w:pStyle w:val="Tablas"/>
              <w:rPr>
                <w:sz w:val="12"/>
                <w:szCs w:val="12"/>
              </w:rPr>
            </w:pPr>
            <w:r w:rsidRPr="00483EBE">
              <w:rPr>
                <w:sz w:val="12"/>
                <w:szCs w:val="12"/>
              </w:rPr>
              <w:t>$9,688</w:t>
            </w:r>
          </w:p>
        </w:tc>
        <w:tc>
          <w:tcPr>
            <w:tcW w:w="0" w:type="auto"/>
            <w:tcBorders>
              <w:top w:val="nil"/>
              <w:left w:val="nil"/>
              <w:bottom w:val="single" w:sz="4" w:space="0" w:color="auto"/>
              <w:right w:val="single" w:sz="4" w:space="0" w:color="auto"/>
            </w:tcBorders>
            <w:shd w:val="clear" w:color="auto" w:fill="auto"/>
            <w:vAlign w:val="center"/>
            <w:hideMark/>
          </w:tcPr>
          <w:p w14:paraId="724BDA18" w14:textId="77777777" w:rsidR="00572995" w:rsidRPr="00483EBE" w:rsidRDefault="00572995" w:rsidP="00E8324D">
            <w:pPr>
              <w:pStyle w:val="Tablas"/>
              <w:rPr>
                <w:sz w:val="12"/>
                <w:szCs w:val="12"/>
              </w:rPr>
            </w:pPr>
            <w:r w:rsidRPr="00483EBE">
              <w:rPr>
                <w:sz w:val="12"/>
                <w:szCs w:val="12"/>
              </w:rPr>
              <w:t>$807</w:t>
            </w:r>
          </w:p>
        </w:tc>
        <w:tc>
          <w:tcPr>
            <w:tcW w:w="0" w:type="auto"/>
            <w:tcBorders>
              <w:top w:val="nil"/>
              <w:left w:val="nil"/>
              <w:bottom w:val="single" w:sz="4" w:space="0" w:color="auto"/>
              <w:right w:val="single" w:sz="4" w:space="0" w:color="auto"/>
            </w:tcBorders>
            <w:shd w:val="clear" w:color="auto" w:fill="auto"/>
            <w:vAlign w:val="center"/>
            <w:hideMark/>
          </w:tcPr>
          <w:p w14:paraId="62FAC40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93F1D6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56EE1A"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2F92972" w14:textId="77777777" w:rsidR="00572995" w:rsidRPr="00483EBE" w:rsidRDefault="00572995" w:rsidP="00E8324D">
            <w:pPr>
              <w:pStyle w:val="Tablas"/>
              <w:rPr>
                <w:sz w:val="12"/>
                <w:szCs w:val="12"/>
              </w:rPr>
            </w:pPr>
            <w:r w:rsidRPr="00483EBE">
              <w:rPr>
                <w:sz w:val="12"/>
                <w:szCs w:val="12"/>
              </w:rPr>
              <w:t xml:space="preserve">4,757 </w:t>
            </w:r>
          </w:p>
        </w:tc>
        <w:tc>
          <w:tcPr>
            <w:tcW w:w="0" w:type="auto"/>
            <w:tcBorders>
              <w:top w:val="nil"/>
              <w:left w:val="nil"/>
              <w:bottom w:val="single" w:sz="4" w:space="0" w:color="auto"/>
              <w:right w:val="single" w:sz="4" w:space="0" w:color="auto"/>
            </w:tcBorders>
            <w:shd w:val="clear" w:color="auto" w:fill="auto"/>
            <w:vAlign w:val="center"/>
            <w:hideMark/>
          </w:tcPr>
          <w:p w14:paraId="6BB7D79F" w14:textId="77777777" w:rsidR="00572995" w:rsidRPr="00483EBE" w:rsidRDefault="00572995" w:rsidP="00E8324D">
            <w:pPr>
              <w:pStyle w:val="Tablas"/>
              <w:rPr>
                <w:sz w:val="12"/>
                <w:szCs w:val="12"/>
              </w:rPr>
            </w:pPr>
            <w:r w:rsidRPr="00483EBE">
              <w:rPr>
                <w:sz w:val="12"/>
                <w:szCs w:val="12"/>
              </w:rPr>
              <w:t>$49,538,534</w:t>
            </w:r>
          </w:p>
        </w:tc>
        <w:tc>
          <w:tcPr>
            <w:tcW w:w="0" w:type="auto"/>
            <w:tcBorders>
              <w:top w:val="nil"/>
              <w:left w:val="nil"/>
              <w:bottom w:val="single" w:sz="4" w:space="0" w:color="auto"/>
              <w:right w:val="single" w:sz="4" w:space="0" w:color="auto"/>
            </w:tcBorders>
            <w:shd w:val="clear" w:color="auto" w:fill="auto"/>
            <w:vAlign w:val="center"/>
            <w:hideMark/>
          </w:tcPr>
          <w:p w14:paraId="06D7ED78" w14:textId="77777777" w:rsidR="00572995" w:rsidRPr="00483EBE" w:rsidRDefault="00572995" w:rsidP="00E8324D">
            <w:pPr>
              <w:pStyle w:val="Tablas"/>
              <w:rPr>
                <w:sz w:val="12"/>
                <w:szCs w:val="12"/>
              </w:rPr>
            </w:pPr>
            <w:r w:rsidRPr="00483EBE">
              <w:rPr>
                <w:sz w:val="12"/>
                <w:szCs w:val="12"/>
              </w:rPr>
              <w:t>$10,414</w:t>
            </w:r>
          </w:p>
        </w:tc>
        <w:tc>
          <w:tcPr>
            <w:tcW w:w="0" w:type="auto"/>
            <w:tcBorders>
              <w:top w:val="nil"/>
              <w:left w:val="nil"/>
              <w:bottom w:val="single" w:sz="4" w:space="0" w:color="auto"/>
              <w:right w:val="single" w:sz="4" w:space="0" w:color="auto"/>
            </w:tcBorders>
            <w:shd w:val="clear" w:color="auto" w:fill="auto"/>
            <w:vAlign w:val="center"/>
            <w:hideMark/>
          </w:tcPr>
          <w:p w14:paraId="24BDCE11" w14:textId="77777777" w:rsidR="00572995" w:rsidRPr="00483EBE" w:rsidRDefault="00572995" w:rsidP="00E8324D">
            <w:pPr>
              <w:pStyle w:val="Tablas"/>
              <w:rPr>
                <w:sz w:val="12"/>
                <w:szCs w:val="12"/>
              </w:rPr>
            </w:pPr>
            <w:r w:rsidRPr="00483EBE">
              <w:rPr>
                <w:sz w:val="12"/>
                <w:szCs w:val="12"/>
              </w:rPr>
              <w:t>$868</w:t>
            </w:r>
          </w:p>
        </w:tc>
        <w:tc>
          <w:tcPr>
            <w:tcW w:w="0" w:type="auto"/>
            <w:tcBorders>
              <w:top w:val="nil"/>
              <w:left w:val="nil"/>
              <w:bottom w:val="single" w:sz="4" w:space="0" w:color="auto"/>
              <w:right w:val="single" w:sz="4" w:space="0" w:color="auto"/>
            </w:tcBorders>
            <w:shd w:val="clear" w:color="auto" w:fill="auto"/>
            <w:vAlign w:val="center"/>
            <w:hideMark/>
          </w:tcPr>
          <w:p w14:paraId="209721DE"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0FB0442" w14:textId="77777777" w:rsidR="00572995" w:rsidRPr="00483EBE" w:rsidRDefault="00572995" w:rsidP="00E8324D">
            <w:pPr>
              <w:pStyle w:val="Tablas"/>
              <w:rPr>
                <w:sz w:val="12"/>
                <w:szCs w:val="12"/>
              </w:rPr>
            </w:pPr>
            <w:r w:rsidRPr="00483EBE">
              <w:rPr>
                <w:sz w:val="12"/>
                <w:szCs w:val="12"/>
              </w:rPr>
              <w:t>SEBD</w:t>
            </w:r>
          </w:p>
        </w:tc>
      </w:tr>
      <w:tr w:rsidR="00572995" w:rsidRPr="00483EBE" w14:paraId="700F349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84730EA"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6E2C4E2E" w14:textId="77777777" w:rsidR="00572995" w:rsidRPr="00483EBE" w:rsidRDefault="00572995" w:rsidP="00E8324D">
            <w:pPr>
              <w:pStyle w:val="Tablas"/>
              <w:rPr>
                <w:sz w:val="12"/>
                <w:szCs w:val="12"/>
              </w:rPr>
            </w:pPr>
            <w:r w:rsidRPr="00483EBE">
              <w:rPr>
                <w:sz w:val="12"/>
                <w:szCs w:val="12"/>
              </w:rPr>
              <w:t xml:space="preserve">4,590 </w:t>
            </w:r>
          </w:p>
        </w:tc>
        <w:tc>
          <w:tcPr>
            <w:tcW w:w="0" w:type="auto"/>
            <w:tcBorders>
              <w:top w:val="nil"/>
              <w:left w:val="nil"/>
              <w:bottom w:val="single" w:sz="4" w:space="0" w:color="auto"/>
              <w:right w:val="single" w:sz="4" w:space="0" w:color="auto"/>
            </w:tcBorders>
            <w:shd w:val="clear" w:color="auto" w:fill="auto"/>
            <w:vAlign w:val="center"/>
            <w:hideMark/>
          </w:tcPr>
          <w:p w14:paraId="34C03E5C" w14:textId="77777777" w:rsidR="00572995" w:rsidRPr="00483EBE" w:rsidRDefault="00572995" w:rsidP="00E8324D">
            <w:pPr>
              <w:pStyle w:val="Tablas"/>
              <w:rPr>
                <w:sz w:val="12"/>
                <w:szCs w:val="12"/>
              </w:rPr>
            </w:pPr>
            <w:r w:rsidRPr="00483EBE">
              <w:rPr>
                <w:sz w:val="12"/>
                <w:szCs w:val="12"/>
              </w:rPr>
              <w:t>$43,793,232</w:t>
            </w:r>
          </w:p>
        </w:tc>
        <w:tc>
          <w:tcPr>
            <w:tcW w:w="0" w:type="auto"/>
            <w:tcBorders>
              <w:top w:val="nil"/>
              <w:left w:val="nil"/>
              <w:bottom w:val="single" w:sz="4" w:space="0" w:color="auto"/>
              <w:right w:val="single" w:sz="4" w:space="0" w:color="auto"/>
            </w:tcBorders>
            <w:shd w:val="clear" w:color="auto" w:fill="auto"/>
            <w:vAlign w:val="center"/>
            <w:hideMark/>
          </w:tcPr>
          <w:p w14:paraId="4E252ECE" w14:textId="77777777" w:rsidR="00572995" w:rsidRPr="00483EBE" w:rsidRDefault="00572995" w:rsidP="00E8324D">
            <w:pPr>
              <w:pStyle w:val="Tablas"/>
              <w:rPr>
                <w:sz w:val="12"/>
                <w:szCs w:val="12"/>
              </w:rPr>
            </w:pPr>
            <w:r w:rsidRPr="00483EBE">
              <w:rPr>
                <w:sz w:val="12"/>
                <w:szCs w:val="12"/>
              </w:rPr>
              <w:t>$9,541</w:t>
            </w:r>
          </w:p>
        </w:tc>
        <w:tc>
          <w:tcPr>
            <w:tcW w:w="0" w:type="auto"/>
            <w:tcBorders>
              <w:top w:val="nil"/>
              <w:left w:val="nil"/>
              <w:bottom w:val="single" w:sz="4" w:space="0" w:color="auto"/>
              <w:right w:val="single" w:sz="4" w:space="0" w:color="auto"/>
            </w:tcBorders>
            <w:shd w:val="clear" w:color="auto" w:fill="auto"/>
            <w:vAlign w:val="center"/>
            <w:hideMark/>
          </w:tcPr>
          <w:p w14:paraId="03817772" w14:textId="77777777" w:rsidR="00572995" w:rsidRPr="00483EBE" w:rsidRDefault="00572995" w:rsidP="00E8324D">
            <w:pPr>
              <w:pStyle w:val="Tablas"/>
              <w:rPr>
                <w:sz w:val="12"/>
                <w:szCs w:val="12"/>
              </w:rPr>
            </w:pPr>
            <w:r w:rsidRPr="00483EBE">
              <w:rPr>
                <w:sz w:val="12"/>
                <w:szCs w:val="12"/>
              </w:rPr>
              <w:t>$795</w:t>
            </w:r>
          </w:p>
        </w:tc>
        <w:tc>
          <w:tcPr>
            <w:tcW w:w="0" w:type="auto"/>
            <w:tcBorders>
              <w:top w:val="nil"/>
              <w:left w:val="nil"/>
              <w:bottom w:val="single" w:sz="4" w:space="0" w:color="auto"/>
              <w:right w:val="single" w:sz="4" w:space="0" w:color="auto"/>
            </w:tcBorders>
            <w:shd w:val="clear" w:color="auto" w:fill="auto"/>
            <w:vAlign w:val="center"/>
            <w:hideMark/>
          </w:tcPr>
          <w:p w14:paraId="18D0056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F6B90E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A334B4"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7C29B32E" w14:textId="77777777" w:rsidR="00572995" w:rsidRPr="00483EBE" w:rsidRDefault="00572995" w:rsidP="00E8324D">
            <w:pPr>
              <w:pStyle w:val="Tablas"/>
              <w:rPr>
                <w:sz w:val="12"/>
                <w:szCs w:val="12"/>
              </w:rPr>
            </w:pPr>
            <w:r w:rsidRPr="00483EBE">
              <w:rPr>
                <w:sz w:val="12"/>
                <w:szCs w:val="12"/>
              </w:rPr>
              <w:t xml:space="preserve">4,611 </w:t>
            </w:r>
          </w:p>
        </w:tc>
        <w:tc>
          <w:tcPr>
            <w:tcW w:w="0" w:type="auto"/>
            <w:tcBorders>
              <w:top w:val="nil"/>
              <w:left w:val="nil"/>
              <w:bottom w:val="single" w:sz="4" w:space="0" w:color="auto"/>
              <w:right w:val="single" w:sz="4" w:space="0" w:color="auto"/>
            </w:tcBorders>
            <w:shd w:val="clear" w:color="auto" w:fill="auto"/>
            <w:vAlign w:val="center"/>
            <w:hideMark/>
          </w:tcPr>
          <w:p w14:paraId="66CBEB16" w14:textId="77777777" w:rsidR="00572995" w:rsidRPr="00483EBE" w:rsidRDefault="00572995" w:rsidP="00E8324D">
            <w:pPr>
              <w:pStyle w:val="Tablas"/>
              <w:rPr>
                <w:sz w:val="12"/>
                <w:szCs w:val="12"/>
              </w:rPr>
            </w:pPr>
            <w:r w:rsidRPr="00483EBE">
              <w:rPr>
                <w:sz w:val="12"/>
                <w:szCs w:val="12"/>
              </w:rPr>
              <w:t>$46,975,697</w:t>
            </w:r>
          </w:p>
        </w:tc>
        <w:tc>
          <w:tcPr>
            <w:tcW w:w="0" w:type="auto"/>
            <w:tcBorders>
              <w:top w:val="nil"/>
              <w:left w:val="nil"/>
              <w:bottom w:val="single" w:sz="4" w:space="0" w:color="auto"/>
              <w:right w:val="single" w:sz="4" w:space="0" w:color="auto"/>
            </w:tcBorders>
            <w:shd w:val="clear" w:color="auto" w:fill="auto"/>
            <w:vAlign w:val="center"/>
            <w:hideMark/>
          </w:tcPr>
          <w:p w14:paraId="3806A31A" w14:textId="77777777" w:rsidR="00572995" w:rsidRPr="00483EBE" w:rsidRDefault="00572995" w:rsidP="00E8324D">
            <w:pPr>
              <w:pStyle w:val="Tablas"/>
              <w:rPr>
                <w:sz w:val="12"/>
                <w:szCs w:val="12"/>
              </w:rPr>
            </w:pPr>
            <w:r w:rsidRPr="00483EBE">
              <w:rPr>
                <w:sz w:val="12"/>
                <w:szCs w:val="12"/>
              </w:rPr>
              <w:t>$10,188</w:t>
            </w:r>
          </w:p>
        </w:tc>
        <w:tc>
          <w:tcPr>
            <w:tcW w:w="0" w:type="auto"/>
            <w:tcBorders>
              <w:top w:val="nil"/>
              <w:left w:val="nil"/>
              <w:bottom w:val="single" w:sz="4" w:space="0" w:color="auto"/>
              <w:right w:val="single" w:sz="4" w:space="0" w:color="auto"/>
            </w:tcBorders>
            <w:shd w:val="clear" w:color="auto" w:fill="auto"/>
            <w:vAlign w:val="center"/>
            <w:hideMark/>
          </w:tcPr>
          <w:p w14:paraId="71ABFCCD" w14:textId="77777777" w:rsidR="00572995" w:rsidRPr="00483EBE" w:rsidRDefault="00572995" w:rsidP="00E8324D">
            <w:pPr>
              <w:pStyle w:val="Tablas"/>
              <w:rPr>
                <w:sz w:val="12"/>
                <w:szCs w:val="12"/>
              </w:rPr>
            </w:pPr>
            <w:r w:rsidRPr="00483EBE">
              <w:rPr>
                <w:sz w:val="12"/>
                <w:szCs w:val="12"/>
              </w:rPr>
              <w:t>$849</w:t>
            </w:r>
          </w:p>
        </w:tc>
        <w:tc>
          <w:tcPr>
            <w:tcW w:w="0" w:type="auto"/>
            <w:tcBorders>
              <w:top w:val="nil"/>
              <w:left w:val="nil"/>
              <w:bottom w:val="single" w:sz="4" w:space="0" w:color="auto"/>
              <w:right w:val="single" w:sz="4" w:space="0" w:color="auto"/>
            </w:tcBorders>
            <w:shd w:val="clear" w:color="auto" w:fill="auto"/>
            <w:vAlign w:val="center"/>
            <w:hideMark/>
          </w:tcPr>
          <w:p w14:paraId="6E0E34F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211CDC1" w14:textId="77777777" w:rsidR="00572995" w:rsidRPr="00483EBE" w:rsidRDefault="00572995" w:rsidP="00E8324D">
            <w:pPr>
              <w:pStyle w:val="Tablas"/>
              <w:rPr>
                <w:sz w:val="12"/>
                <w:szCs w:val="12"/>
              </w:rPr>
            </w:pPr>
            <w:r w:rsidRPr="00483EBE">
              <w:rPr>
                <w:sz w:val="12"/>
                <w:szCs w:val="12"/>
              </w:rPr>
              <w:t>SEBD</w:t>
            </w:r>
          </w:p>
        </w:tc>
      </w:tr>
      <w:tr w:rsidR="00572995" w:rsidRPr="00483EBE" w14:paraId="2815018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2623A2A"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5D5E098A" w14:textId="77777777" w:rsidR="00572995" w:rsidRPr="00483EBE" w:rsidRDefault="00572995" w:rsidP="00E8324D">
            <w:pPr>
              <w:pStyle w:val="Tablas"/>
              <w:rPr>
                <w:sz w:val="12"/>
                <w:szCs w:val="12"/>
              </w:rPr>
            </w:pPr>
            <w:r w:rsidRPr="00483EBE">
              <w:rPr>
                <w:sz w:val="12"/>
                <w:szCs w:val="12"/>
              </w:rPr>
              <w:t xml:space="preserve">4,505 </w:t>
            </w:r>
          </w:p>
        </w:tc>
        <w:tc>
          <w:tcPr>
            <w:tcW w:w="0" w:type="auto"/>
            <w:tcBorders>
              <w:top w:val="nil"/>
              <w:left w:val="nil"/>
              <w:bottom w:val="single" w:sz="4" w:space="0" w:color="auto"/>
              <w:right w:val="single" w:sz="4" w:space="0" w:color="auto"/>
            </w:tcBorders>
            <w:shd w:val="clear" w:color="auto" w:fill="auto"/>
            <w:vAlign w:val="center"/>
            <w:hideMark/>
          </w:tcPr>
          <w:p w14:paraId="7BA0DA61" w14:textId="77777777" w:rsidR="00572995" w:rsidRPr="00483EBE" w:rsidRDefault="00572995" w:rsidP="00E8324D">
            <w:pPr>
              <w:pStyle w:val="Tablas"/>
              <w:rPr>
                <w:sz w:val="12"/>
                <w:szCs w:val="12"/>
              </w:rPr>
            </w:pPr>
            <w:r w:rsidRPr="00483EBE">
              <w:rPr>
                <w:sz w:val="12"/>
                <w:szCs w:val="12"/>
              </w:rPr>
              <w:t>$39,873,770</w:t>
            </w:r>
          </w:p>
        </w:tc>
        <w:tc>
          <w:tcPr>
            <w:tcW w:w="0" w:type="auto"/>
            <w:tcBorders>
              <w:top w:val="nil"/>
              <w:left w:val="nil"/>
              <w:bottom w:val="single" w:sz="4" w:space="0" w:color="auto"/>
              <w:right w:val="single" w:sz="4" w:space="0" w:color="auto"/>
            </w:tcBorders>
            <w:shd w:val="clear" w:color="auto" w:fill="auto"/>
            <w:vAlign w:val="center"/>
            <w:hideMark/>
          </w:tcPr>
          <w:p w14:paraId="64E6C6FA" w14:textId="77777777" w:rsidR="00572995" w:rsidRPr="00483EBE" w:rsidRDefault="00572995" w:rsidP="00E8324D">
            <w:pPr>
              <w:pStyle w:val="Tablas"/>
              <w:rPr>
                <w:sz w:val="12"/>
                <w:szCs w:val="12"/>
              </w:rPr>
            </w:pPr>
            <w:r w:rsidRPr="00483EBE">
              <w:rPr>
                <w:sz w:val="12"/>
                <w:szCs w:val="12"/>
              </w:rPr>
              <w:t>$8,851</w:t>
            </w:r>
          </w:p>
        </w:tc>
        <w:tc>
          <w:tcPr>
            <w:tcW w:w="0" w:type="auto"/>
            <w:tcBorders>
              <w:top w:val="nil"/>
              <w:left w:val="nil"/>
              <w:bottom w:val="single" w:sz="4" w:space="0" w:color="auto"/>
              <w:right w:val="single" w:sz="4" w:space="0" w:color="auto"/>
            </w:tcBorders>
            <w:shd w:val="clear" w:color="auto" w:fill="auto"/>
            <w:vAlign w:val="center"/>
            <w:hideMark/>
          </w:tcPr>
          <w:p w14:paraId="046C5BE3" w14:textId="77777777" w:rsidR="00572995" w:rsidRPr="00483EBE" w:rsidRDefault="00572995" w:rsidP="00E8324D">
            <w:pPr>
              <w:pStyle w:val="Tablas"/>
              <w:rPr>
                <w:sz w:val="12"/>
                <w:szCs w:val="12"/>
              </w:rPr>
            </w:pPr>
            <w:r w:rsidRPr="00483EBE">
              <w:rPr>
                <w:sz w:val="12"/>
                <w:szCs w:val="12"/>
              </w:rPr>
              <w:t>$738</w:t>
            </w:r>
          </w:p>
        </w:tc>
        <w:tc>
          <w:tcPr>
            <w:tcW w:w="0" w:type="auto"/>
            <w:tcBorders>
              <w:top w:val="nil"/>
              <w:left w:val="nil"/>
              <w:bottom w:val="single" w:sz="4" w:space="0" w:color="auto"/>
              <w:right w:val="single" w:sz="4" w:space="0" w:color="auto"/>
            </w:tcBorders>
            <w:shd w:val="clear" w:color="auto" w:fill="auto"/>
            <w:vAlign w:val="center"/>
            <w:hideMark/>
          </w:tcPr>
          <w:p w14:paraId="4C0DB8A1"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570D5E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CBABFC"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64918F94" w14:textId="77777777" w:rsidR="00572995" w:rsidRPr="00483EBE" w:rsidRDefault="00572995" w:rsidP="00E8324D">
            <w:pPr>
              <w:pStyle w:val="Tablas"/>
              <w:rPr>
                <w:sz w:val="12"/>
                <w:szCs w:val="12"/>
              </w:rPr>
            </w:pPr>
            <w:r w:rsidRPr="00483EBE">
              <w:rPr>
                <w:sz w:val="12"/>
                <w:szCs w:val="12"/>
              </w:rPr>
              <w:t xml:space="preserve">4,184 </w:t>
            </w:r>
          </w:p>
        </w:tc>
        <w:tc>
          <w:tcPr>
            <w:tcW w:w="0" w:type="auto"/>
            <w:tcBorders>
              <w:top w:val="nil"/>
              <w:left w:val="nil"/>
              <w:bottom w:val="single" w:sz="4" w:space="0" w:color="auto"/>
              <w:right w:val="single" w:sz="4" w:space="0" w:color="auto"/>
            </w:tcBorders>
            <w:shd w:val="clear" w:color="auto" w:fill="auto"/>
            <w:vAlign w:val="center"/>
            <w:hideMark/>
          </w:tcPr>
          <w:p w14:paraId="3F3E00F9" w14:textId="77777777" w:rsidR="00572995" w:rsidRPr="00483EBE" w:rsidRDefault="00572995" w:rsidP="00E8324D">
            <w:pPr>
              <w:pStyle w:val="Tablas"/>
              <w:rPr>
                <w:sz w:val="12"/>
                <w:szCs w:val="12"/>
              </w:rPr>
            </w:pPr>
            <w:r w:rsidRPr="00483EBE">
              <w:rPr>
                <w:sz w:val="12"/>
                <w:szCs w:val="12"/>
              </w:rPr>
              <w:t>$42,116,752</w:t>
            </w:r>
          </w:p>
        </w:tc>
        <w:tc>
          <w:tcPr>
            <w:tcW w:w="0" w:type="auto"/>
            <w:tcBorders>
              <w:top w:val="nil"/>
              <w:left w:val="nil"/>
              <w:bottom w:val="single" w:sz="4" w:space="0" w:color="auto"/>
              <w:right w:val="single" w:sz="4" w:space="0" w:color="auto"/>
            </w:tcBorders>
            <w:shd w:val="clear" w:color="auto" w:fill="auto"/>
            <w:vAlign w:val="center"/>
            <w:hideMark/>
          </w:tcPr>
          <w:p w14:paraId="48B832FD" w14:textId="77777777" w:rsidR="00572995" w:rsidRPr="00483EBE" w:rsidRDefault="00572995" w:rsidP="00E8324D">
            <w:pPr>
              <w:pStyle w:val="Tablas"/>
              <w:rPr>
                <w:sz w:val="12"/>
                <w:szCs w:val="12"/>
              </w:rPr>
            </w:pPr>
            <w:r w:rsidRPr="00483EBE">
              <w:rPr>
                <w:sz w:val="12"/>
                <w:szCs w:val="12"/>
              </w:rPr>
              <w:t>$10,066</w:t>
            </w:r>
          </w:p>
        </w:tc>
        <w:tc>
          <w:tcPr>
            <w:tcW w:w="0" w:type="auto"/>
            <w:tcBorders>
              <w:top w:val="nil"/>
              <w:left w:val="nil"/>
              <w:bottom w:val="single" w:sz="4" w:space="0" w:color="auto"/>
              <w:right w:val="single" w:sz="4" w:space="0" w:color="auto"/>
            </w:tcBorders>
            <w:shd w:val="clear" w:color="auto" w:fill="auto"/>
            <w:vAlign w:val="center"/>
            <w:hideMark/>
          </w:tcPr>
          <w:p w14:paraId="5D88E847" w14:textId="77777777" w:rsidR="00572995" w:rsidRPr="00483EBE" w:rsidRDefault="00572995" w:rsidP="00E8324D">
            <w:pPr>
              <w:pStyle w:val="Tablas"/>
              <w:rPr>
                <w:sz w:val="12"/>
                <w:szCs w:val="12"/>
              </w:rPr>
            </w:pPr>
            <w:r w:rsidRPr="00483EBE">
              <w:rPr>
                <w:sz w:val="12"/>
                <w:szCs w:val="12"/>
              </w:rPr>
              <w:t>$839</w:t>
            </w:r>
          </w:p>
        </w:tc>
        <w:tc>
          <w:tcPr>
            <w:tcW w:w="0" w:type="auto"/>
            <w:tcBorders>
              <w:top w:val="nil"/>
              <w:left w:val="nil"/>
              <w:bottom w:val="single" w:sz="4" w:space="0" w:color="auto"/>
              <w:right w:val="single" w:sz="4" w:space="0" w:color="auto"/>
            </w:tcBorders>
            <w:shd w:val="clear" w:color="auto" w:fill="auto"/>
            <w:vAlign w:val="center"/>
            <w:hideMark/>
          </w:tcPr>
          <w:p w14:paraId="6843D9DC"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E09C69C" w14:textId="77777777" w:rsidR="00572995" w:rsidRPr="00483EBE" w:rsidRDefault="00572995" w:rsidP="00E8324D">
            <w:pPr>
              <w:pStyle w:val="Tablas"/>
              <w:rPr>
                <w:sz w:val="12"/>
                <w:szCs w:val="12"/>
              </w:rPr>
            </w:pPr>
            <w:r w:rsidRPr="00483EBE">
              <w:rPr>
                <w:sz w:val="12"/>
                <w:szCs w:val="12"/>
              </w:rPr>
              <w:t>SEBD</w:t>
            </w:r>
          </w:p>
        </w:tc>
      </w:tr>
      <w:tr w:rsidR="00572995" w:rsidRPr="00483EBE" w14:paraId="6D06E64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8E93E83"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70FFB96" w14:textId="77777777" w:rsidR="00572995" w:rsidRPr="00483EBE" w:rsidRDefault="00572995" w:rsidP="00E8324D">
            <w:pPr>
              <w:pStyle w:val="Tablas"/>
              <w:rPr>
                <w:sz w:val="12"/>
                <w:szCs w:val="12"/>
              </w:rPr>
            </w:pPr>
            <w:r w:rsidRPr="00483EBE">
              <w:rPr>
                <w:sz w:val="12"/>
                <w:szCs w:val="12"/>
              </w:rPr>
              <w:t xml:space="preserve">4,346 </w:t>
            </w:r>
          </w:p>
        </w:tc>
        <w:tc>
          <w:tcPr>
            <w:tcW w:w="0" w:type="auto"/>
            <w:tcBorders>
              <w:top w:val="nil"/>
              <w:left w:val="nil"/>
              <w:bottom w:val="single" w:sz="4" w:space="0" w:color="auto"/>
              <w:right w:val="single" w:sz="4" w:space="0" w:color="auto"/>
            </w:tcBorders>
            <w:shd w:val="clear" w:color="auto" w:fill="auto"/>
            <w:vAlign w:val="center"/>
            <w:hideMark/>
          </w:tcPr>
          <w:p w14:paraId="7B3374B8" w14:textId="77777777" w:rsidR="00572995" w:rsidRPr="00483EBE" w:rsidRDefault="00572995" w:rsidP="00E8324D">
            <w:pPr>
              <w:pStyle w:val="Tablas"/>
              <w:rPr>
                <w:sz w:val="12"/>
                <w:szCs w:val="12"/>
              </w:rPr>
            </w:pPr>
            <w:r w:rsidRPr="00483EBE">
              <w:rPr>
                <w:sz w:val="12"/>
                <w:szCs w:val="12"/>
              </w:rPr>
              <w:t>$38,002,362</w:t>
            </w:r>
          </w:p>
        </w:tc>
        <w:tc>
          <w:tcPr>
            <w:tcW w:w="0" w:type="auto"/>
            <w:tcBorders>
              <w:top w:val="nil"/>
              <w:left w:val="nil"/>
              <w:bottom w:val="single" w:sz="4" w:space="0" w:color="auto"/>
              <w:right w:val="single" w:sz="4" w:space="0" w:color="auto"/>
            </w:tcBorders>
            <w:shd w:val="clear" w:color="auto" w:fill="auto"/>
            <w:vAlign w:val="center"/>
            <w:hideMark/>
          </w:tcPr>
          <w:p w14:paraId="00119EC6" w14:textId="77777777" w:rsidR="00572995" w:rsidRPr="00483EBE" w:rsidRDefault="00572995" w:rsidP="00E8324D">
            <w:pPr>
              <w:pStyle w:val="Tablas"/>
              <w:rPr>
                <w:sz w:val="12"/>
                <w:szCs w:val="12"/>
              </w:rPr>
            </w:pPr>
            <w:r w:rsidRPr="00483EBE">
              <w:rPr>
                <w:sz w:val="12"/>
                <w:szCs w:val="12"/>
              </w:rPr>
              <w:t>$8,744</w:t>
            </w:r>
          </w:p>
        </w:tc>
        <w:tc>
          <w:tcPr>
            <w:tcW w:w="0" w:type="auto"/>
            <w:tcBorders>
              <w:top w:val="nil"/>
              <w:left w:val="nil"/>
              <w:bottom w:val="single" w:sz="4" w:space="0" w:color="auto"/>
              <w:right w:val="single" w:sz="4" w:space="0" w:color="auto"/>
            </w:tcBorders>
            <w:shd w:val="clear" w:color="auto" w:fill="auto"/>
            <w:vAlign w:val="center"/>
            <w:hideMark/>
          </w:tcPr>
          <w:p w14:paraId="3F04C302" w14:textId="77777777" w:rsidR="00572995" w:rsidRPr="00483EBE" w:rsidRDefault="00572995" w:rsidP="00E8324D">
            <w:pPr>
              <w:pStyle w:val="Tablas"/>
              <w:rPr>
                <w:sz w:val="12"/>
                <w:szCs w:val="12"/>
              </w:rPr>
            </w:pPr>
            <w:r w:rsidRPr="00483EBE">
              <w:rPr>
                <w:sz w:val="12"/>
                <w:szCs w:val="12"/>
              </w:rPr>
              <w:t>$729</w:t>
            </w:r>
          </w:p>
        </w:tc>
        <w:tc>
          <w:tcPr>
            <w:tcW w:w="0" w:type="auto"/>
            <w:tcBorders>
              <w:top w:val="nil"/>
              <w:left w:val="nil"/>
              <w:bottom w:val="single" w:sz="4" w:space="0" w:color="auto"/>
              <w:right w:val="single" w:sz="4" w:space="0" w:color="auto"/>
            </w:tcBorders>
            <w:shd w:val="clear" w:color="auto" w:fill="auto"/>
            <w:vAlign w:val="center"/>
            <w:hideMark/>
          </w:tcPr>
          <w:p w14:paraId="34B9FC98"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5E1C24A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B7789A"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319AACE6" w14:textId="77777777" w:rsidR="00572995" w:rsidRPr="00483EBE" w:rsidRDefault="00572995" w:rsidP="00E8324D">
            <w:pPr>
              <w:pStyle w:val="Tablas"/>
              <w:rPr>
                <w:sz w:val="12"/>
                <w:szCs w:val="12"/>
              </w:rPr>
            </w:pPr>
            <w:r w:rsidRPr="00483EBE">
              <w:rPr>
                <w:sz w:val="12"/>
                <w:szCs w:val="12"/>
              </w:rPr>
              <w:t xml:space="preserve">4,031 </w:t>
            </w:r>
          </w:p>
        </w:tc>
        <w:tc>
          <w:tcPr>
            <w:tcW w:w="0" w:type="auto"/>
            <w:tcBorders>
              <w:top w:val="nil"/>
              <w:left w:val="nil"/>
              <w:bottom w:val="single" w:sz="4" w:space="0" w:color="auto"/>
              <w:right w:val="single" w:sz="4" w:space="0" w:color="auto"/>
            </w:tcBorders>
            <w:shd w:val="clear" w:color="auto" w:fill="auto"/>
            <w:vAlign w:val="center"/>
            <w:hideMark/>
          </w:tcPr>
          <w:p w14:paraId="15E7BE43" w14:textId="77777777" w:rsidR="00572995" w:rsidRPr="00483EBE" w:rsidRDefault="00572995" w:rsidP="00E8324D">
            <w:pPr>
              <w:pStyle w:val="Tablas"/>
              <w:rPr>
                <w:sz w:val="12"/>
                <w:szCs w:val="12"/>
              </w:rPr>
            </w:pPr>
            <w:r w:rsidRPr="00483EBE">
              <w:rPr>
                <w:sz w:val="12"/>
                <w:szCs w:val="12"/>
              </w:rPr>
              <w:t>$37,923,866</w:t>
            </w:r>
          </w:p>
        </w:tc>
        <w:tc>
          <w:tcPr>
            <w:tcW w:w="0" w:type="auto"/>
            <w:tcBorders>
              <w:top w:val="nil"/>
              <w:left w:val="nil"/>
              <w:bottom w:val="single" w:sz="4" w:space="0" w:color="auto"/>
              <w:right w:val="single" w:sz="4" w:space="0" w:color="auto"/>
            </w:tcBorders>
            <w:shd w:val="clear" w:color="auto" w:fill="auto"/>
            <w:vAlign w:val="center"/>
            <w:hideMark/>
          </w:tcPr>
          <w:p w14:paraId="767AC77C" w14:textId="77777777" w:rsidR="00572995" w:rsidRPr="00483EBE" w:rsidRDefault="00572995" w:rsidP="00E8324D">
            <w:pPr>
              <w:pStyle w:val="Tablas"/>
              <w:rPr>
                <w:sz w:val="12"/>
                <w:szCs w:val="12"/>
              </w:rPr>
            </w:pPr>
            <w:r w:rsidRPr="00483EBE">
              <w:rPr>
                <w:sz w:val="12"/>
                <w:szCs w:val="12"/>
              </w:rPr>
              <w:t>$9,408</w:t>
            </w:r>
          </w:p>
        </w:tc>
        <w:tc>
          <w:tcPr>
            <w:tcW w:w="0" w:type="auto"/>
            <w:tcBorders>
              <w:top w:val="nil"/>
              <w:left w:val="nil"/>
              <w:bottom w:val="single" w:sz="4" w:space="0" w:color="auto"/>
              <w:right w:val="single" w:sz="4" w:space="0" w:color="auto"/>
            </w:tcBorders>
            <w:shd w:val="clear" w:color="auto" w:fill="auto"/>
            <w:vAlign w:val="center"/>
            <w:hideMark/>
          </w:tcPr>
          <w:p w14:paraId="5F43D442" w14:textId="77777777" w:rsidR="00572995" w:rsidRPr="00483EBE" w:rsidRDefault="00572995" w:rsidP="00E8324D">
            <w:pPr>
              <w:pStyle w:val="Tablas"/>
              <w:rPr>
                <w:sz w:val="12"/>
                <w:szCs w:val="12"/>
              </w:rPr>
            </w:pPr>
            <w:r w:rsidRPr="00483EBE">
              <w:rPr>
                <w:sz w:val="12"/>
                <w:szCs w:val="12"/>
              </w:rPr>
              <w:t>$784</w:t>
            </w:r>
          </w:p>
        </w:tc>
        <w:tc>
          <w:tcPr>
            <w:tcW w:w="0" w:type="auto"/>
            <w:tcBorders>
              <w:top w:val="nil"/>
              <w:left w:val="nil"/>
              <w:bottom w:val="single" w:sz="4" w:space="0" w:color="auto"/>
              <w:right w:val="single" w:sz="4" w:space="0" w:color="auto"/>
            </w:tcBorders>
            <w:shd w:val="clear" w:color="auto" w:fill="auto"/>
            <w:vAlign w:val="center"/>
            <w:hideMark/>
          </w:tcPr>
          <w:p w14:paraId="4832DDB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26F907D" w14:textId="77777777" w:rsidR="00572995" w:rsidRPr="00483EBE" w:rsidRDefault="00572995" w:rsidP="00E8324D">
            <w:pPr>
              <w:pStyle w:val="Tablas"/>
              <w:rPr>
                <w:sz w:val="12"/>
                <w:szCs w:val="12"/>
              </w:rPr>
            </w:pPr>
            <w:r w:rsidRPr="00483EBE">
              <w:rPr>
                <w:sz w:val="12"/>
                <w:szCs w:val="12"/>
              </w:rPr>
              <w:t>SEBD</w:t>
            </w:r>
          </w:p>
        </w:tc>
      </w:tr>
      <w:tr w:rsidR="00572995" w:rsidRPr="00483EBE" w14:paraId="21F0CDC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CBDD81D"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5A189698" w14:textId="77777777" w:rsidR="00572995" w:rsidRPr="00483EBE" w:rsidRDefault="00572995" w:rsidP="00E8324D">
            <w:pPr>
              <w:pStyle w:val="Tablas"/>
              <w:rPr>
                <w:sz w:val="12"/>
                <w:szCs w:val="12"/>
              </w:rPr>
            </w:pPr>
            <w:r w:rsidRPr="00483EBE">
              <w:rPr>
                <w:sz w:val="12"/>
                <w:szCs w:val="12"/>
              </w:rPr>
              <w:t xml:space="preserve">4,171 </w:t>
            </w:r>
          </w:p>
        </w:tc>
        <w:tc>
          <w:tcPr>
            <w:tcW w:w="0" w:type="auto"/>
            <w:tcBorders>
              <w:top w:val="nil"/>
              <w:left w:val="nil"/>
              <w:bottom w:val="single" w:sz="4" w:space="0" w:color="auto"/>
              <w:right w:val="single" w:sz="4" w:space="0" w:color="auto"/>
            </w:tcBorders>
            <w:shd w:val="clear" w:color="auto" w:fill="auto"/>
            <w:vAlign w:val="center"/>
            <w:hideMark/>
          </w:tcPr>
          <w:p w14:paraId="7C5618AF" w14:textId="77777777" w:rsidR="00572995" w:rsidRPr="00483EBE" w:rsidRDefault="00572995" w:rsidP="00E8324D">
            <w:pPr>
              <w:pStyle w:val="Tablas"/>
              <w:rPr>
                <w:sz w:val="12"/>
                <w:szCs w:val="12"/>
              </w:rPr>
            </w:pPr>
            <w:r w:rsidRPr="00483EBE">
              <w:rPr>
                <w:sz w:val="12"/>
                <w:szCs w:val="12"/>
              </w:rPr>
              <w:t>$35,413,216</w:t>
            </w:r>
          </w:p>
        </w:tc>
        <w:tc>
          <w:tcPr>
            <w:tcW w:w="0" w:type="auto"/>
            <w:tcBorders>
              <w:top w:val="nil"/>
              <w:left w:val="nil"/>
              <w:bottom w:val="single" w:sz="4" w:space="0" w:color="auto"/>
              <w:right w:val="single" w:sz="4" w:space="0" w:color="auto"/>
            </w:tcBorders>
            <w:shd w:val="clear" w:color="auto" w:fill="auto"/>
            <w:vAlign w:val="center"/>
            <w:hideMark/>
          </w:tcPr>
          <w:p w14:paraId="0DFDFF1E" w14:textId="77777777" w:rsidR="00572995" w:rsidRPr="00483EBE" w:rsidRDefault="00572995" w:rsidP="00E8324D">
            <w:pPr>
              <w:pStyle w:val="Tablas"/>
              <w:rPr>
                <w:sz w:val="12"/>
                <w:szCs w:val="12"/>
              </w:rPr>
            </w:pPr>
            <w:r w:rsidRPr="00483EBE">
              <w:rPr>
                <w:sz w:val="12"/>
                <w:szCs w:val="12"/>
              </w:rPr>
              <w:t>$8,490</w:t>
            </w:r>
          </w:p>
        </w:tc>
        <w:tc>
          <w:tcPr>
            <w:tcW w:w="0" w:type="auto"/>
            <w:tcBorders>
              <w:top w:val="nil"/>
              <w:left w:val="nil"/>
              <w:bottom w:val="single" w:sz="4" w:space="0" w:color="auto"/>
              <w:right w:val="single" w:sz="4" w:space="0" w:color="auto"/>
            </w:tcBorders>
            <w:shd w:val="clear" w:color="auto" w:fill="auto"/>
            <w:vAlign w:val="center"/>
            <w:hideMark/>
          </w:tcPr>
          <w:p w14:paraId="6430DA05" w14:textId="77777777" w:rsidR="00572995" w:rsidRPr="00483EBE" w:rsidRDefault="00572995" w:rsidP="00E8324D">
            <w:pPr>
              <w:pStyle w:val="Tablas"/>
              <w:rPr>
                <w:sz w:val="12"/>
                <w:szCs w:val="12"/>
              </w:rPr>
            </w:pPr>
            <w:r w:rsidRPr="00483EBE">
              <w:rPr>
                <w:sz w:val="12"/>
                <w:szCs w:val="12"/>
              </w:rPr>
              <w:t>$708</w:t>
            </w:r>
          </w:p>
        </w:tc>
        <w:tc>
          <w:tcPr>
            <w:tcW w:w="0" w:type="auto"/>
            <w:tcBorders>
              <w:top w:val="nil"/>
              <w:left w:val="nil"/>
              <w:bottom w:val="single" w:sz="4" w:space="0" w:color="auto"/>
              <w:right w:val="single" w:sz="4" w:space="0" w:color="auto"/>
            </w:tcBorders>
            <w:shd w:val="clear" w:color="auto" w:fill="auto"/>
            <w:vAlign w:val="center"/>
            <w:hideMark/>
          </w:tcPr>
          <w:p w14:paraId="4128CD8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55619A7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6FD30D"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09004AF4" w14:textId="77777777" w:rsidR="00572995" w:rsidRPr="00483EBE" w:rsidRDefault="00572995" w:rsidP="00E8324D">
            <w:pPr>
              <w:pStyle w:val="Tablas"/>
              <w:rPr>
                <w:sz w:val="12"/>
                <w:szCs w:val="12"/>
              </w:rPr>
            </w:pPr>
            <w:r w:rsidRPr="00483EBE">
              <w:rPr>
                <w:sz w:val="12"/>
                <w:szCs w:val="12"/>
              </w:rPr>
              <w:t xml:space="preserve">3,613 </w:t>
            </w:r>
          </w:p>
        </w:tc>
        <w:tc>
          <w:tcPr>
            <w:tcW w:w="0" w:type="auto"/>
            <w:tcBorders>
              <w:top w:val="nil"/>
              <w:left w:val="nil"/>
              <w:bottom w:val="single" w:sz="4" w:space="0" w:color="auto"/>
              <w:right w:val="single" w:sz="4" w:space="0" w:color="auto"/>
            </w:tcBorders>
            <w:shd w:val="clear" w:color="auto" w:fill="auto"/>
            <w:vAlign w:val="center"/>
            <w:hideMark/>
          </w:tcPr>
          <w:p w14:paraId="6B483314" w14:textId="77777777" w:rsidR="00572995" w:rsidRPr="00483EBE" w:rsidRDefault="00572995" w:rsidP="00E8324D">
            <w:pPr>
              <w:pStyle w:val="Tablas"/>
              <w:rPr>
                <w:sz w:val="12"/>
                <w:szCs w:val="12"/>
              </w:rPr>
            </w:pPr>
            <w:r w:rsidRPr="00483EBE">
              <w:rPr>
                <w:sz w:val="12"/>
                <w:szCs w:val="12"/>
              </w:rPr>
              <w:t>$34,314,424</w:t>
            </w:r>
          </w:p>
        </w:tc>
        <w:tc>
          <w:tcPr>
            <w:tcW w:w="0" w:type="auto"/>
            <w:tcBorders>
              <w:top w:val="nil"/>
              <w:left w:val="nil"/>
              <w:bottom w:val="single" w:sz="4" w:space="0" w:color="auto"/>
              <w:right w:val="single" w:sz="4" w:space="0" w:color="auto"/>
            </w:tcBorders>
            <w:shd w:val="clear" w:color="auto" w:fill="auto"/>
            <w:vAlign w:val="center"/>
            <w:hideMark/>
          </w:tcPr>
          <w:p w14:paraId="4BDC6832" w14:textId="77777777" w:rsidR="00572995" w:rsidRPr="00483EBE" w:rsidRDefault="00572995" w:rsidP="00E8324D">
            <w:pPr>
              <w:pStyle w:val="Tablas"/>
              <w:rPr>
                <w:sz w:val="12"/>
                <w:szCs w:val="12"/>
              </w:rPr>
            </w:pPr>
            <w:r w:rsidRPr="00483EBE">
              <w:rPr>
                <w:sz w:val="12"/>
                <w:szCs w:val="12"/>
              </w:rPr>
              <w:t>$9,497</w:t>
            </w:r>
          </w:p>
        </w:tc>
        <w:tc>
          <w:tcPr>
            <w:tcW w:w="0" w:type="auto"/>
            <w:tcBorders>
              <w:top w:val="nil"/>
              <w:left w:val="nil"/>
              <w:bottom w:val="single" w:sz="4" w:space="0" w:color="auto"/>
              <w:right w:val="single" w:sz="4" w:space="0" w:color="auto"/>
            </w:tcBorders>
            <w:shd w:val="clear" w:color="auto" w:fill="auto"/>
            <w:vAlign w:val="center"/>
            <w:hideMark/>
          </w:tcPr>
          <w:p w14:paraId="61962F96" w14:textId="77777777" w:rsidR="00572995" w:rsidRPr="00483EBE" w:rsidRDefault="00572995" w:rsidP="00E8324D">
            <w:pPr>
              <w:pStyle w:val="Tablas"/>
              <w:rPr>
                <w:sz w:val="12"/>
                <w:szCs w:val="12"/>
              </w:rPr>
            </w:pPr>
            <w:r w:rsidRPr="00483EBE">
              <w:rPr>
                <w:sz w:val="12"/>
                <w:szCs w:val="12"/>
              </w:rPr>
              <w:t>$791</w:t>
            </w:r>
          </w:p>
        </w:tc>
        <w:tc>
          <w:tcPr>
            <w:tcW w:w="0" w:type="auto"/>
            <w:tcBorders>
              <w:top w:val="nil"/>
              <w:left w:val="nil"/>
              <w:bottom w:val="single" w:sz="4" w:space="0" w:color="auto"/>
              <w:right w:val="single" w:sz="4" w:space="0" w:color="auto"/>
            </w:tcBorders>
            <w:shd w:val="clear" w:color="auto" w:fill="auto"/>
            <w:vAlign w:val="center"/>
            <w:hideMark/>
          </w:tcPr>
          <w:p w14:paraId="59AC7D22"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494973EB" w14:textId="77777777" w:rsidR="00572995" w:rsidRPr="00483EBE" w:rsidRDefault="00572995" w:rsidP="00E8324D">
            <w:pPr>
              <w:pStyle w:val="Tablas"/>
              <w:rPr>
                <w:sz w:val="12"/>
                <w:szCs w:val="12"/>
              </w:rPr>
            </w:pPr>
            <w:r w:rsidRPr="00483EBE">
              <w:rPr>
                <w:sz w:val="12"/>
                <w:szCs w:val="12"/>
              </w:rPr>
              <w:t>SEBD</w:t>
            </w:r>
          </w:p>
        </w:tc>
      </w:tr>
      <w:tr w:rsidR="00572995" w:rsidRPr="00483EBE" w14:paraId="31150C9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13D344"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99CAE78" w14:textId="77777777" w:rsidR="00572995" w:rsidRPr="00483EBE" w:rsidRDefault="00572995" w:rsidP="00E8324D">
            <w:pPr>
              <w:pStyle w:val="Tablas"/>
              <w:rPr>
                <w:sz w:val="12"/>
                <w:szCs w:val="12"/>
              </w:rPr>
            </w:pPr>
            <w:r w:rsidRPr="00483EBE">
              <w:rPr>
                <w:sz w:val="12"/>
                <w:szCs w:val="12"/>
              </w:rPr>
              <w:t xml:space="preserve">3,808 </w:t>
            </w:r>
          </w:p>
        </w:tc>
        <w:tc>
          <w:tcPr>
            <w:tcW w:w="0" w:type="auto"/>
            <w:tcBorders>
              <w:top w:val="nil"/>
              <w:left w:val="nil"/>
              <w:bottom w:val="single" w:sz="4" w:space="0" w:color="auto"/>
              <w:right w:val="single" w:sz="4" w:space="0" w:color="auto"/>
            </w:tcBorders>
            <w:shd w:val="clear" w:color="auto" w:fill="auto"/>
            <w:vAlign w:val="center"/>
            <w:hideMark/>
          </w:tcPr>
          <w:p w14:paraId="1ADE1879" w14:textId="77777777" w:rsidR="00572995" w:rsidRPr="00483EBE" w:rsidRDefault="00572995" w:rsidP="00E8324D">
            <w:pPr>
              <w:pStyle w:val="Tablas"/>
              <w:rPr>
                <w:sz w:val="12"/>
                <w:szCs w:val="12"/>
              </w:rPr>
            </w:pPr>
            <w:r w:rsidRPr="00483EBE">
              <w:rPr>
                <w:sz w:val="12"/>
                <w:szCs w:val="12"/>
              </w:rPr>
              <w:t>$32,183,593</w:t>
            </w:r>
          </w:p>
        </w:tc>
        <w:tc>
          <w:tcPr>
            <w:tcW w:w="0" w:type="auto"/>
            <w:tcBorders>
              <w:top w:val="nil"/>
              <w:left w:val="nil"/>
              <w:bottom w:val="single" w:sz="4" w:space="0" w:color="auto"/>
              <w:right w:val="single" w:sz="4" w:space="0" w:color="auto"/>
            </w:tcBorders>
            <w:shd w:val="clear" w:color="auto" w:fill="auto"/>
            <w:vAlign w:val="center"/>
            <w:hideMark/>
          </w:tcPr>
          <w:p w14:paraId="555D9C7E" w14:textId="77777777" w:rsidR="00572995" w:rsidRPr="00483EBE" w:rsidRDefault="00572995" w:rsidP="00E8324D">
            <w:pPr>
              <w:pStyle w:val="Tablas"/>
              <w:rPr>
                <w:sz w:val="12"/>
                <w:szCs w:val="12"/>
              </w:rPr>
            </w:pPr>
            <w:r w:rsidRPr="00483EBE">
              <w:rPr>
                <w:sz w:val="12"/>
                <w:szCs w:val="12"/>
              </w:rPr>
              <w:t>$8,452</w:t>
            </w:r>
          </w:p>
        </w:tc>
        <w:tc>
          <w:tcPr>
            <w:tcW w:w="0" w:type="auto"/>
            <w:tcBorders>
              <w:top w:val="nil"/>
              <w:left w:val="nil"/>
              <w:bottom w:val="single" w:sz="4" w:space="0" w:color="auto"/>
              <w:right w:val="single" w:sz="4" w:space="0" w:color="auto"/>
            </w:tcBorders>
            <w:shd w:val="clear" w:color="auto" w:fill="auto"/>
            <w:vAlign w:val="center"/>
            <w:hideMark/>
          </w:tcPr>
          <w:p w14:paraId="03497301" w14:textId="77777777" w:rsidR="00572995" w:rsidRPr="00483EBE" w:rsidRDefault="00572995" w:rsidP="00E8324D">
            <w:pPr>
              <w:pStyle w:val="Tablas"/>
              <w:rPr>
                <w:sz w:val="12"/>
                <w:szCs w:val="12"/>
              </w:rPr>
            </w:pPr>
            <w:r w:rsidRPr="00483EBE">
              <w:rPr>
                <w:sz w:val="12"/>
                <w:szCs w:val="12"/>
              </w:rPr>
              <w:t>$704</w:t>
            </w:r>
          </w:p>
        </w:tc>
        <w:tc>
          <w:tcPr>
            <w:tcW w:w="0" w:type="auto"/>
            <w:tcBorders>
              <w:top w:val="nil"/>
              <w:left w:val="nil"/>
              <w:bottom w:val="single" w:sz="4" w:space="0" w:color="auto"/>
              <w:right w:val="single" w:sz="4" w:space="0" w:color="auto"/>
            </w:tcBorders>
            <w:shd w:val="clear" w:color="auto" w:fill="auto"/>
            <w:vAlign w:val="center"/>
            <w:hideMark/>
          </w:tcPr>
          <w:p w14:paraId="33CDB00D"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4E7AF8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7459F7D"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45046955" w14:textId="77777777" w:rsidR="00572995" w:rsidRPr="00483EBE" w:rsidRDefault="00572995" w:rsidP="00E8324D">
            <w:pPr>
              <w:pStyle w:val="Tablas"/>
              <w:rPr>
                <w:sz w:val="12"/>
                <w:szCs w:val="12"/>
              </w:rPr>
            </w:pPr>
            <w:r w:rsidRPr="00483EBE">
              <w:rPr>
                <w:sz w:val="12"/>
                <w:szCs w:val="12"/>
              </w:rPr>
              <w:t xml:space="preserve">3,064 </w:t>
            </w:r>
          </w:p>
        </w:tc>
        <w:tc>
          <w:tcPr>
            <w:tcW w:w="0" w:type="auto"/>
            <w:tcBorders>
              <w:top w:val="nil"/>
              <w:left w:val="nil"/>
              <w:bottom w:val="single" w:sz="4" w:space="0" w:color="auto"/>
              <w:right w:val="single" w:sz="4" w:space="0" w:color="auto"/>
            </w:tcBorders>
            <w:shd w:val="clear" w:color="auto" w:fill="auto"/>
            <w:vAlign w:val="center"/>
            <w:hideMark/>
          </w:tcPr>
          <w:p w14:paraId="5549C382" w14:textId="77777777" w:rsidR="00572995" w:rsidRPr="00483EBE" w:rsidRDefault="00572995" w:rsidP="00E8324D">
            <w:pPr>
              <w:pStyle w:val="Tablas"/>
              <w:rPr>
                <w:sz w:val="12"/>
                <w:szCs w:val="12"/>
              </w:rPr>
            </w:pPr>
            <w:r w:rsidRPr="00483EBE">
              <w:rPr>
                <w:sz w:val="12"/>
                <w:szCs w:val="12"/>
              </w:rPr>
              <w:t>$28,019,734</w:t>
            </w:r>
          </w:p>
        </w:tc>
        <w:tc>
          <w:tcPr>
            <w:tcW w:w="0" w:type="auto"/>
            <w:tcBorders>
              <w:top w:val="nil"/>
              <w:left w:val="nil"/>
              <w:bottom w:val="single" w:sz="4" w:space="0" w:color="auto"/>
              <w:right w:val="single" w:sz="4" w:space="0" w:color="auto"/>
            </w:tcBorders>
            <w:shd w:val="clear" w:color="auto" w:fill="auto"/>
            <w:vAlign w:val="center"/>
            <w:hideMark/>
          </w:tcPr>
          <w:p w14:paraId="09DE4612" w14:textId="77777777" w:rsidR="00572995" w:rsidRPr="00483EBE" w:rsidRDefault="00572995" w:rsidP="00E8324D">
            <w:pPr>
              <w:pStyle w:val="Tablas"/>
              <w:rPr>
                <w:sz w:val="12"/>
                <w:szCs w:val="12"/>
              </w:rPr>
            </w:pPr>
            <w:r w:rsidRPr="00483EBE">
              <w:rPr>
                <w:sz w:val="12"/>
                <w:szCs w:val="12"/>
              </w:rPr>
              <w:t>$9,145</w:t>
            </w:r>
          </w:p>
        </w:tc>
        <w:tc>
          <w:tcPr>
            <w:tcW w:w="0" w:type="auto"/>
            <w:tcBorders>
              <w:top w:val="nil"/>
              <w:left w:val="nil"/>
              <w:bottom w:val="single" w:sz="4" w:space="0" w:color="auto"/>
              <w:right w:val="single" w:sz="4" w:space="0" w:color="auto"/>
            </w:tcBorders>
            <w:shd w:val="clear" w:color="auto" w:fill="auto"/>
            <w:vAlign w:val="center"/>
            <w:hideMark/>
          </w:tcPr>
          <w:p w14:paraId="2F32CCF9" w14:textId="77777777" w:rsidR="00572995" w:rsidRPr="00483EBE" w:rsidRDefault="00572995" w:rsidP="00E8324D">
            <w:pPr>
              <w:pStyle w:val="Tablas"/>
              <w:rPr>
                <w:sz w:val="12"/>
                <w:szCs w:val="12"/>
              </w:rPr>
            </w:pPr>
            <w:r w:rsidRPr="00483EBE">
              <w:rPr>
                <w:sz w:val="12"/>
                <w:szCs w:val="12"/>
              </w:rPr>
              <w:t>$762</w:t>
            </w:r>
          </w:p>
        </w:tc>
        <w:tc>
          <w:tcPr>
            <w:tcW w:w="0" w:type="auto"/>
            <w:tcBorders>
              <w:top w:val="nil"/>
              <w:left w:val="nil"/>
              <w:bottom w:val="single" w:sz="4" w:space="0" w:color="auto"/>
              <w:right w:val="single" w:sz="4" w:space="0" w:color="auto"/>
            </w:tcBorders>
            <w:shd w:val="clear" w:color="auto" w:fill="auto"/>
            <w:vAlign w:val="center"/>
            <w:hideMark/>
          </w:tcPr>
          <w:p w14:paraId="4AEE3B4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065164B" w14:textId="77777777" w:rsidR="00572995" w:rsidRPr="00483EBE" w:rsidRDefault="00572995" w:rsidP="00E8324D">
            <w:pPr>
              <w:pStyle w:val="Tablas"/>
              <w:rPr>
                <w:sz w:val="12"/>
                <w:szCs w:val="12"/>
              </w:rPr>
            </w:pPr>
            <w:r w:rsidRPr="00483EBE">
              <w:rPr>
                <w:sz w:val="12"/>
                <w:szCs w:val="12"/>
              </w:rPr>
              <w:t>SEBD</w:t>
            </w:r>
          </w:p>
        </w:tc>
      </w:tr>
      <w:tr w:rsidR="00572995" w:rsidRPr="00483EBE" w14:paraId="776BAA0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91ED48"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C489B80" w14:textId="77777777" w:rsidR="00572995" w:rsidRPr="00483EBE" w:rsidRDefault="00572995" w:rsidP="00E8324D">
            <w:pPr>
              <w:pStyle w:val="Tablas"/>
              <w:rPr>
                <w:sz w:val="12"/>
                <w:szCs w:val="12"/>
              </w:rPr>
            </w:pPr>
            <w:r w:rsidRPr="00483EBE">
              <w:rPr>
                <w:sz w:val="12"/>
                <w:szCs w:val="12"/>
              </w:rPr>
              <w:t xml:space="preserve">3,388 </w:t>
            </w:r>
          </w:p>
        </w:tc>
        <w:tc>
          <w:tcPr>
            <w:tcW w:w="0" w:type="auto"/>
            <w:tcBorders>
              <w:top w:val="nil"/>
              <w:left w:val="nil"/>
              <w:bottom w:val="single" w:sz="4" w:space="0" w:color="auto"/>
              <w:right w:val="single" w:sz="4" w:space="0" w:color="auto"/>
            </w:tcBorders>
            <w:shd w:val="clear" w:color="auto" w:fill="auto"/>
            <w:vAlign w:val="center"/>
            <w:hideMark/>
          </w:tcPr>
          <w:p w14:paraId="38826E1E" w14:textId="77777777" w:rsidR="00572995" w:rsidRPr="00483EBE" w:rsidRDefault="00572995" w:rsidP="00E8324D">
            <w:pPr>
              <w:pStyle w:val="Tablas"/>
              <w:rPr>
                <w:sz w:val="12"/>
                <w:szCs w:val="12"/>
              </w:rPr>
            </w:pPr>
            <w:r w:rsidRPr="00483EBE">
              <w:rPr>
                <w:sz w:val="12"/>
                <w:szCs w:val="12"/>
              </w:rPr>
              <w:t>$27,179,353</w:t>
            </w:r>
          </w:p>
        </w:tc>
        <w:tc>
          <w:tcPr>
            <w:tcW w:w="0" w:type="auto"/>
            <w:tcBorders>
              <w:top w:val="nil"/>
              <w:left w:val="nil"/>
              <w:bottom w:val="single" w:sz="4" w:space="0" w:color="auto"/>
              <w:right w:val="single" w:sz="4" w:space="0" w:color="auto"/>
            </w:tcBorders>
            <w:shd w:val="clear" w:color="auto" w:fill="auto"/>
            <w:vAlign w:val="center"/>
            <w:hideMark/>
          </w:tcPr>
          <w:p w14:paraId="7EC74F09" w14:textId="77777777" w:rsidR="00572995" w:rsidRPr="00483EBE" w:rsidRDefault="00572995" w:rsidP="00E8324D">
            <w:pPr>
              <w:pStyle w:val="Tablas"/>
              <w:rPr>
                <w:sz w:val="12"/>
                <w:szCs w:val="12"/>
              </w:rPr>
            </w:pPr>
            <w:r w:rsidRPr="00483EBE">
              <w:rPr>
                <w:sz w:val="12"/>
                <w:szCs w:val="12"/>
              </w:rPr>
              <w:t>$8,022</w:t>
            </w:r>
          </w:p>
        </w:tc>
        <w:tc>
          <w:tcPr>
            <w:tcW w:w="0" w:type="auto"/>
            <w:tcBorders>
              <w:top w:val="nil"/>
              <w:left w:val="nil"/>
              <w:bottom w:val="single" w:sz="4" w:space="0" w:color="auto"/>
              <w:right w:val="single" w:sz="4" w:space="0" w:color="auto"/>
            </w:tcBorders>
            <w:shd w:val="clear" w:color="auto" w:fill="auto"/>
            <w:vAlign w:val="center"/>
            <w:hideMark/>
          </w:tcPr>
          <w:p w14:paraId="3F2FF9D1" w14:textId="77777777" w:rsidR="00572995" w:rsidRPr="00483EBE" w:rsidRDefault="00572995" w:rsidP="00E8324D">
            <w:pPr>
              <w:pStyle w:val="Tablas"/>
              <w:rPr>
                <w:sz w:val="12"/>
                <w:szCs w:val="12"/>
              </w:rPr>
            </w:pPr>
            <w:r w:rsidRPr="00483EBE">
              <w:rPr>
                <w:sz w:val="12"/>
                <w:szCs w:val="12"/>
              </w:rPr>
              <w:t>$669</w:t>
            </w:r>
          </w:p>
        </w:tc>
        <w:tc>
          <w:tcPr>
            <w:tcW w:w="0" w:type="auto"/>
            <w:tcBorders>
              <w:top w:val="nil"/>
              <w:left w:val="nil"/>
              <w:bottom w:val="single" w:sz="4" w:space="0" w:color="auto"/>
              <w:right w:val="single" w:sz="4" w:space="0" w:color="auto"/>
            </w:tcBorders>
            <w:shd w:val="clear" w:color="auto" w:fill="auto"/>
            <w:vAlign w:val="center"/>
            <w:hideMark/>
          </w:tcPr>
          <w:p w14:paraId="2E8F8FFB"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54936D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6E9D342"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435A5202" w14:textId="77777777" w:rsidR="00572995" w:rsidRPr="00483EBE" w:rsidRDefault="00572995" w:rsidP="00E8324D">
            <w:pPr>
              <w:pStyle w:val="Tablas"/>
              <w:rPr>
                <w:sz w:val="12"/>
                <w:szCs w:val="12"/>
              </w:rPr>
            </w:pPr>
            <w:r w:rsidRPr="00483EBE">
              <w:rPr>
                <w:sz w:val="12"/>
                <w:szCs w:val="12"/>
              </w:rPr>
              <w:t xml:space="preserve">2,756 </w:t>
            </w:r>
          </w:p>
        </w:tc>
        <w:tc>
          <w:tcPr>
            <w:tcW w:w="0" w:type="auto"/>
            <w:tcBorders>
              <w:top w:val="nil"/>
              <w:left w:val="nil"/>
              <w:bottom w:val="single" w:sz="4" w:space="0" w:color="auto"/>
              <w:right w:val="single" w:sz="4" w:space="0" w:color="auto"/>
            </w:tcBorders>
            <w:shd w:val="clear" w:color="auto" w:fill="auto"/>
            <w:vAlign w:val="center"/>
            <w:hideMark/>
          </w:tcPr>
          <w:p w14:paraId="7B08F80E" w14:textId="77777777" w:rsidR="00572995" w:rsidRPr="00483EBE" w:rsidRDefault="00572995" w:rsidP="00E8324D">
            <w:pPr>
              <w:pStyle w:val="Tablas"/>
              <w:rPr>
                <w:sz w:val="12"/>
                <w:szCs w:val="12"/>
              </w:rPr>
            </w:pPr>
            <w:r w:rsidRPr="00483EBE">
              <w:rPr>
                <w:sz w:val="12"/>
                <w:szCs w:val="12"/>
              </w:rPr>
              <w:t>$24,732,670</w:t>
            </w:r>
          </w:p>
        </w:tc>
        <w:tc>
          <w:tcPr>
            <w:tcW w:w="0" w:type="auto"/>
            <w:tcBorders>
              <w:top w:val="nil"/>
              <w:left w:val="nil"/>
              <w:bottom w:val="single" w:sz="4" w:space="0" w:color="auto"/>
              <w:right w:val="single" w:sz="4" w:space="0" w:color="auto"/>
            </w:tcBorders>
            <w:shd w:val="clear" w:color="auto" w:fill="auto"/>
            <w:vAlign w:val="center"/>
            <w:hideMark/>
          </w:tcPr>
          <w:p w14:paraId="22212F6B" w14:textId="77777777" w:rsidR="00572995" w:rsidRPr="00483EBE" w:rsidRDefault="00572995" w:rsidP="00E8324D">
            <w:pPr>
              <w:pStyle w:val="Tablas"/>
              <w:rPr>
                <w:sz w:val="12"/>
                <w:szCs w:val="12"/>
              </w:rPr>
            </w:pPr>
            <w:r w:rsidRPr="00483EBE">
              <w:rPr>
                <w:sz w:val="12"/>
                <w:szCs w:val="12"/>
              </w:rPr>
              <w:t>$8,974</w:t>
            </w:r>
          </w:p>
        </w:tc>
        <w:tc>
          <w:tcPr>
            <w:tcW w:w="0" w:type="auto"/>
            <w:tcBorders>
              <w:top w:val="nil"/>
              <w:left w:val="nil"/>
              <w:bottom w:val="single" w:sz="4" w:space="0" w:color="auto"/>
              <w:right w:val="single" w:sz="4" w:space="0" w:color="auto"/>
            </w:tcBorders>
            <w:shd w:val="clear" w:color="auto" w:fill="auto"/>
            <w:vAlign w:val="center"/>
            <w:hideMark/>
          </w:tcPr>
          <w:p w14:paraId="6E24D8EF" w14:textId="77777777" w:rsidR="00572995" w:rsidRPr="00483EBE" w:rsidRDefault="00572995" w:rsidP="00E8324D">
            <w:pPr>
              <w:pStyle w:val="Tablas"/>
              <w:rPr>
                <w:sz w:val="12"/>
                <w:szCs w:val="12"/>
              </w:rPr>
            </w:pPr>
            <w:r w:rsidRPr="00483EBE">
              <w:rPr>
                <w:sz w:val="12"/>
                <w:szCs w:val="12"/>
              </w:rPr>
              <w:t>$748</w:t>
            </w:r>
          </w:p>
        </w:tc>
        <w:tc>
          <w:tcPr>
            <w:tcW w:w="0" w:type="auto"/>
            <w:tcBorders>
              <w:top w:val="nil"/>
              <w:left w:val="nil"/>
              <w:bottom w:val="single" w:sz="4" w:space="0" w:color="auto"/>
              <w:right w:val="single" w:sz="4" w:space="0" w:color="auto"/>
            </w:tcBorders>
            <w:shd w:val="clear" w:color="auto" w:fill="auto"/>
            <w:vAlign w:val="center"/>
            <w:hideMark/>
          </w:tcPr>
          <w:p w14:paraId="16A34A74"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116C00E9" w14:textId="77777777" w:rsidR="00572995" w:rsidRPr="00483EBE" w:rsidRDefault="00572995" w:rsidP="00E8324D">
            <w:pPr>
              <w:pStyle w:val="Tablas"/>
              <w:rPr>
                <w:sz w:val="12"/>
                <w:szCs w:val="12"/>
              </w:rPr>
            </w:pPr>
            <w:r w:rsidRPr="00483EBE">
              <w:rPr>
                <w:sz w:val="12"/>
                <w:szCs w:val="12"/>
              </w:rPr>
              <w:t>SEBD</w:t>
            </w:r>
          </w:p>
        </w:tc>
      </w:tr>
      <w:tr w:rsidR="00572995" w:rsidRPr="00483EBE" w14:paraId="0B67808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866E85E"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1EED5AE8" w14:textId="77777777" w:rsidR="00572995" w:rsidRPr="00483EBE" w:rsidRDefault="00572995" w:rsidP="00E8324D">
            <w:pPr>
              <w:pStyle w:val="Tablas"/>
              <w:rPr>
                <w:sz w:val="12"/>
                <w:szCs w:val="12"/>
              </w:rPr>
            </w:pPr>
            <w:r w:rsidRPr="00483EBE">
              <w:rPr>
                <w:sz w:val="12"/>
                <w:szCs w:val="12"/>
              </w:rPr>
              <w:t xml:space="preserve">3,962 </w:t>
            </w:r>
          </w:p>
        </w:tc>
        <w:tc>
          <w:tcPr>
            <w:tcW w:w="0" w:type="auto"/>
            <w:tcBorders>
              <w:top w:val="nil"/>
              <w:left w:val="nil"/>
              <w:bottom w:val="single" w:sz="4" w:space="0" w:color="auto"/>
              <w:right w:val="single" w:sz="4" w:space="0" w:color="auto"/>
            </w:tcBorders>
            <w:shd w:val="clear" w:color="auto" w:fill="auto"/>
            <w:vAlign w:val="center"/>
            <w:hideMark/>
          </w:tcPr>
          <w:p w14:paraId="12C53A65" w14:textId="77777777" w:rsidR="00572995" w:rsidRPr="00483EBE" w:rsidRDefault="00572995" w:rsidP="00E8324D">
            <w:pPr>
              <w:pStyle w:val="Tablas"/>
              <w:rPr>
                <w:sz w:val="12"/>
                <w:szCs w:val="12"/>
              </w:rPr>
            </w:pPr>
            <w:r w:rsidRPr="00483EBE">
              <w:rPr>
                <w:sz w:val="12"/>
                <w:szCs w:val="12"/>
              </w:rPr>
              <w:t>$31,284,320</w:t>
            </w:r>
          </w:p>
        </w:tc>
        <w:tc>
          <w:tcPr>
            <w:tcW w:w="0" w:type="auto"/>
            <w:tcBorders>
              <w:top w:val="nil"/>
              <w:left w:val="nil"/>
              <w:bottom w:val="single" w:sz="4" w:space="0" w:color="auto"/>
              <w:right w:val="single" w:sz="4" w:space="0" w:color="auto"/>
            </w:tcBorders>
            <w:shd w:val="clear" w:color="auto" w:fill="auto"/>
            <w:vAlign w:val="center"/>
            <w:hideMark/>
          </w:tcPr>
          <w:p w14:paraId="335DEC70" w14:textId="77777777" w:rsidR="00572995" w:rsidRPr="00483EBE" w:rsidRDefault="00572995" w:rsidP="00E8324D">
            <w:pPr>
              <w:pStyle w:val="Tablas"/>
              <w:rPr>
                <w:sz w:val="12"/>
                <w:szCs w:val="12"/>
              </w:rPr>
            </w:pPr>
            <w:r w:rsidRPr="00483EBE">
              <w:rPr>
                <w:sz w:val="12"/>
                <w:szCs w:val="12"/>
              </w:rPr>
              <w:t>$7,896</w:t>
            </w:r>
          </w:p>
        </w:tc>
        <w:tc>
          <w:tcPr>
            <w:tcW w:w="0" w:type="auto"/>
            <w:tcBorders>
              <w:top w:val="nil"/>
              <w:left w:val="nil"/>
              <w:bottom w:val="single" w:sz="4" w:space="0" w:color="auto"/>
              <w:right w:val="single" w:sz="4" w:space="0" w:color="auto"/>
            </w:tcBorders>
            <w:shd w:val="clear" w:color="auto" w:fill="auto"/>
            <w:vAlign w:val="center"/>
            <w:hideMark/>
          </w:tcPr>
          <w:p w14:paraId="354463EC" w14:textId="77777777" w:rsidR="00572995" w:rsidRPr="00483EBE" w:rsidRDefault="00572995" w:rsidP="00E8324D">
            <w:pPr>
              <w:pStyle w:val="Tablas"/>
              <w:rPr>
                <w:sz w:val="12"/>
                <w:szCs w:val="12"/>
              </w:rPr>
            </w:pPr>
            <w:r w:rsidRPr="00483EBE">
              <w:rPr>
                <w:sz w:val="12"/>
                <w:szCs w:val="12"/>
              </w:rPr>
              <w:t>$658</w:t>
            </w:r>
          </w:p>
        </w:tc>
        <w:tc>
          <w:tcPr>
            <w:tcW w:w="0" w:type="auto"/>
            <w:tcBorders>
              <w:top w:val="nil"/>
              <w:left w:val="nil"/>
              <w:bottom w:val="single" w:sz="4" w:space="0" w:color="auto"/>
              <w:right w:val="single" w:sz="4" w:space="0" w:color="auto"/>
            </w:tcBorders>
            <w:shd w:val="clear" w:color="auto" w:fill="auto"/>
            <w:vAlign w:val="center"/>
            <w:hideMark/>
          </w:tcPr>
          <w:p w14:paraId="1BBA2968"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FD337F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5181AD5"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38CA5E7B" w14:textId="77777777" w:rsidR="00572995" w:rsidRPr="00483EBE" w:rsidRDefault="00572995" w:rsidP="00E8324D">
            <w:pPr>
              <w:pStyle w:val="Tablas"/>
              <w:rPr>
                <w:sz w:val="12"/>
                <w:szCs w:val="12"/>
              </w:rPr>
            </w:pPr>
            <w:r w:rsidRPr="00483EBE">
              <w:rPr>
                <w:sz w:val="12"/>
                <w:szCs w:val="12"/>
              </w:rPr>
              <w:t xml:space="preserve">3,229 </w:t>
            </w:r>
          </w:p>
        </w:tc>
        <w:tc>
          <w:tcPr>
            <w:tcW w:w="0" w:type="auto"/>
            <w:tcBorders>
              <w:top w:val="nil"/>
              <w:left w:val="nil"/>
              <w:bottom w:val="single" w:sz="4" w:space="0" w:color="auto"/>
              <w:right w:val="single" w:sz="4" w:space="0" w:color="auto"/>
            </w:tcBorders>
            <w:shd w:val="clear" w:color="auto" w:fill="auto"/>
            <w:vAlign w:val="center"/>
            <w:hideMark/>
          </w:tcPr>
          <w:p w14:paraId="46976D53" w14:textId="77777777" w:rsidR="00572995" w:rsidRPr="00483EBE" w:rsidRDefault="00572995" w:rsidP="00E8324D">
            <w:pPr>
              <w:pStyle w:val="Tablas"/>
              <w:rPr>
                <w:sz w:val="12"/>
                <w:szCs w:val="12"/>
              </w:rPr>
            </w:pPr>
            <w:r w:rsidRPr="00483EBE">
              <w:rPr>
                <w:sz w:val="12"/>
                <w:szCs w:val="12"/>
              </w:rPr>
              <w:t>$26,916,619</w:t>
            </w:r>
          </w:p>
        </w:tc>
        <w:tc>
          <w:tcPr>
            <w:tcW w:w="0" w:type="auto"/>
            <w:tcBorders>
              <w:top w:val="nil"/>
              <w:left w:val="nil"/>
              <w:bottom w:val="single" w:sz="4" w:space="0" w:color="auto"/>
              <w:right w:val="single" w:sz="4" w:space="0" w:color="auto"/>
            </w:tcBorders>
            <w:shd w:val="clear" w:color="auto" w:fill="auto"/>
            <w:vAlign w:val="center"/>
            <w:hideMark/>
          </w:tcPr>
          <w:p w14:paraId="3A49DE6C" w14:textId="77777777" w:rsidR="00572995" w:rsidRPr="00483EBE" w:rsidRDefault="00572995" w:rsidP="00E8324D">
            <w:pPr>
              <w:pStyle w:val="Tablas"/>
              <w:rPr>
                <w:sz w:val="12"/>
                <w:szCs w:val="12"/>
              </w:rPr>
            </w:pPr>
            <w:r w:rsidRPr="00483EBE">
              <w:rPr>
                <w:sz w:val="12"/>
                <w:szCs w:val="12"/>
              </w:rPr>
              <w:t>$8,336</w:t>
            </w:r>
          </w:p>
        </w:tc>
        <w:tc>
          <w:tcPr>
            <w:tcW w:w="0" w:type="auto"/>
            <w:tcBorders>
              <w:top w:val="nil"/>
              <w:left w:val="nil"/>
              <w:bottom w:val="single" w:sz="4" w:space="0" w:color="auto"/>
              <w:right w:val="single" w:sz="4" w:space="0" w:color="auto"/>
            </w:tcBorders>
            <w:shd w:val="clear" w:color="auto" w:fill="auto"/>
            <w:vAlign w:val="center"/>
            <w:hideMark/>
          </w:tcPr>
          <w:p w14:paraId="3EE6A3D6" w14:textId="77777777" w:rsidR="00572995" w:rsidRPr="00483EBE" w:rsidRDefault="00572995" w:rsidP="00E8324D">
            <w:pPr>
              <w:pStyle w:val="Tablas"/>
              <w:rPr>
                <w:sz w:val="12"/>
                <w:szCs w:val="12"/>
              </w:rPr>
            </w:pPr>
            <w:r w:rsidRPr="00483EBE">
              <w:rPr>
                <w:sz w:val="12"/>
                <w:szCs w:val="12"/>
              </w:rPr>
              <w:t>$695</w:t>
            </w:r>
          </w:p>
        </w:tc>
        <w:tc>
          <w:tcPr>
            <w:tcW w:w="0" w:type="auto"/>
            <w:tcBorders>
              <w:top w:val="nil"/>
              <w:left w:val="nil"/>
              <w:bottom w:val="single" w:sz="4" w:space="0" w:color="auto"/>
              <w:right w:val="single" w:sz="4" w:space="0" w:color="auto"/>
            </w:tcBorders>
            <w:shd w:val="clear" w:color="auto" w:fill="auto"/>
            <w:vAlign w:val="center"/>
            <w:hideMark/>
          </w:tcPr>
          <w:p w14:paraId="312810F9"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91FFE31" w14:textId="77777777" w:rsidR="00572995" w:rsidRPr="00483EBE" w:rsidRDefault="00572995" w:rsidP="00E8324D">
            <w:pPr>
              <w:pStyle w:val="Tablas"/>
              <w:rPr>
                <w:sz w:val="12"/>
                <w:szCs w:val="12"/>
              </w:rPr>
            </w:pPr>
            <w:r w:rsidRPr="00483EBE">
              <w:rPr>
                <w:sz w:val="12"/>
                <w:szCs w:val="12"/>
              </w:rPr>
              <w:t>SEBD</w:t>
            </w:r>
          </w:p>
        </w:tc>
      </w:tr>
      <w:tr w:rsidR="00572995" w:rsidRPr="00483EBE" w14:paraId="52A0D0A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CBBB0DD"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677CC9A0" w14:textId="77777777" w:rsidR="00572995" w:rsidRPr="00483EBE" w:rsidRDefault="00572995" w:rsidP="00E8324D">
            <w:pPr>
              <w:pStyle w:val="Tablas"/>
              <w:rPr>
                <w:sz w:val="12"/>
                <w:szCs w:val="12"/>
              </w:rPr>
            </w:pPr>
            <w:r w:rsidRPr="00483EBE">
              <w:rPr>
                <w:sz w:val="12"/>
                <w:szCs w:val="12"/>
              </w:rPr>
              <w:t xml:space="preserve">3,554 </w:t>
            </w:r>
          </w:p>
        </w:tc>
        <w:tc>
          <w:tcPr>
            <w:tcW w:w="0" w:type="auto"/>
            <w:tcBorders>
              <w:top w:val="nil"/>
              <w:left w:val="nil"/>
              <w:bottom w:val="single" w:sz="4" w:space="0" w:color="auto"/>
              <w:right w:val="single" w:sz="4" w:space="0" w:color="auto"/>
            </w:tcBorders>
            <w:shd w:val="clear" w:color="auto" w:fill="auto"/>
            <w:vAlign w:val="center"/>
            <w:hideMark/>
          </w:tcPr>
          <w:p w14:paraId="394FF9EF" w14:textId="77777777" w:rsidR="00572995" w:rsidRPr="00483EBE" w:rsidRDefault="00572995" w:rsidP="00E8324D">
            <w:pPr>
              <w:pStyle w:val="Tablas"/>
              <w:rPr>
                <w:sz w:val="12"/>
                <w:szCs w:val="12"/>
              </w:rPr>
            </w:pPr>
            <w:r w:rsidRPr="00483EBE">
              <w:rPr>
                <w:sz w:val="12"/>
                <w:szCs w:val="12"/>
              </w:rPr>
              <w:t>$26,506,919</w:t>
            </w:r>
          </w:p>
        </w:tc>
        <w:tc>
          <w:tcPr>
            <w:tcW w:w="0" w:type="auto"/>
            <w:tcBorders>
              <w:top w:val="nil"/>
              <w:left w:val="nil"/>
              <w:bottom w:val="single" w:sz="4" w:space="0" w:color="auto"/>
              <w:right w:val="single" w:sz="4" w:space="0" w:color="auto"/>
            </w:tcBorders>
            <w:shd w:val="clear" w:color="auto" w:fill="auto"/>
            <w:vAlign w:val="center"/>
            <w:hideMark/>
          </w:tcPr>
          <w:p w14:paraId="4C341480" w14:textId="77777777" w:rsidR="00572995" w:rsidRPr="00483EBE" w:rsidRDefault="00572995" w:rsidP="00E8324D">
            <w:pPr>
              <w:pStyle w:val="Tablas"/>
              <w:rPr>
                <w:sz w:val="12"/>
                <w:szCs w:val="12"/>
              </w:rPr>
            </w:pPr>
            <w:r w:rsidRPr="00483EBE">
              <w:rPr>
                <w:sz w:val="12"/>
                <w:szCs w:val="12"/>
              </w:rPr>
              <w:t>$7,458</w:t>
            </w:r>
          </w:p>
        </w:tc>
        <w:tc>
          <w:tcPr>
            <w:tcW w:w="0" w:type="auto"/>
            <w:tcBorders>
              <w:top w:val="nil"/>
              <w:left w:val="nil"/>
              <w:bottom w:val="single" w:sz="4" w:space="0" w:color="auto"/>
              <w:right w:val="single" w:sz="4" w:space="0" w:color="auto"/>
            </w:tcBorders>
            <w:shd w:val="clear" w:color="auto" w:fill="auto"/>
            <w:vAlign w:val="center"/>
            <w:hideMark/>
          </w:tcPr>
          <w:p w14:paraId="050341B4" w14:textId="77777777" w:rsidR="00572995" w:rsidRPr="00483EBE" w:rsidRDefault="00572995" w:rsidP="00E8324D">
            <w:pPr>
              <w:pStyle w:val="Tablas"/>
              <w:rPr>
                <w:sz w:val="12"/>
                <w:szCs w:val="12"/>
              </w:rPr>
            </w:pPr>
            <w:r w:rsidRPr="00483EBE">
              <w:rPr>
                <w:sz w:val="12"/>
                <w:szCs w:val="12"/>
              </w:rPr>
              <w:t>$622</w:t>
            </w:r>
          </w:p>
        </w:tc>
        <w:tc>
          <w:tcPr>
            <w:tcW w:w="0" w:type="auto"/>
            <w:tcBorders>
              <w:top w:val="nil"/>
              <w:left w:val="nil"/>
              <w:bottom w:val="single" w:sz="4" w:space="0" w:color="auto"/>
              <w:right w:val="single" w:sz="4" w:space="0" w:color="auto"/>
            </w:tcBorders>
            <w:shd w:val="clear" w:color="auto" w:fill="auto"/>
            <w:vAlign w:val="center"/>
            <w:hideMark/>
          </w:tcPr>
          <w:p w14:paraId="68FC49A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1A1FBB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E423482"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3CE52C54" w14:textId="77777777" w:rsidR="00572995" w:rsidRPr="00483EBE" w:rsidRDefault="00572995" w:rsidP="00E8324D">
            <w:pPr>
              <w:pStyle w:val="Tablas"/>
              <w:rPr>
                <w:sz w:val="12"/>
                <w:szCs w:val="12"/>
              </w:rPr>
            </w:pPr>
            <w:r w:rsidRPr="00483EBE">
              <w:rPr>
                <w:sz w:val="12"/>
                <w:szCs w:val="12"/>
              </w:rPr>
              <w:t xml:space="preserve">3,082 </w:t>
            </w:r>
          </w:p>
        </w:tc>
        <w:tc>
          <w:tcPr>
            <w:tcW w:w="0" w:type="auto"/>
            <w:tcBorders>
              <w:top w:val="nil"/>
              <w:left w:val="nil"/>
              <w:bottom w:val="single" w:sz="4" w:space="0" w:color="auto"/>
              <w:right w:val="single" w:sz="4" w:space="0" w:color="auto"/>
            </w:tcBorders>
            <w:shd w:val="clear" w:color="auto" w:fill="auto"/>
            <w:vAlign w:val="center"/>
            <w:hideMark/>
          </w:tcPr>
          <w:p w14:paraId="3EE268D5" w14:textId="77777777" w:rsidR="00572995" w:rsidRPr="00483EBE" w:rsidRDefault="00572995" w:rsidP="00E8324D">
            <w:pPr>
              <w:pStyle w:val="Tablas"/>
              <w:rPr>
                <w:sz w:val="12"/>
                <w:szCs w:val="12"/>
              </w:rPr>
            </w:pPr>
            <w:r w:rsidRPr="00483EBE">
              <w:rPr>
                <w:sz w:val="12"/>
                <w:szCs w:val="12"/>
              </w:rPr>
              <w:t>$23,660,578</w:t>
            </w:r>
          </w:p>
        </w:tc>
        <w:tc>
          <w:tcPr>
            <w:tcW w:w="0" w:type="auto"/>
            <w:tcBorders>
              <w:top w:val="nil"/>
              <w:left w:val="nil"/>
              <w:bottom w:val="single" w:sz="4" w:space="0" w:color="auto"/>
              <w:right w:val="single" w:sz="4" w:space="0" w:color="auto"/>
            </w:tcBorders>
            <w:shd w:val="clear" w:color="auto" w:fill="auto"/>
            <w:vAlign w:val="center"/>
            <w:hideMark/>
          </w:tcPr>
          <w:p w14:paraId="0EDC96D0" w14:textId="77777777" w:rsidR="00572995" w:rsidRPr="00483EBE" w:rsidRDefault="00572995" w:rsidP="00E8324D">
            <w:pPr>
              <w:pStyle w:val="Tablas"/>
              <w:rPr>
                <w:sz w:val="12"/>
                <w:szCs w:val="12"/>
              </w:rPr>
            </w:pPr>
            <w:r w:rsidRPr="00483EBE">
              <w:rPr>
                <w:sz w:val="12"/>
                <w:szCs w:val="12"/>
              </w:rPr>
              <w:t>$7,677</w:t>
            </w:r>
          </w:p>
        </w:tc>
        <w:tc>
          <w:tcPr>
            <w:tcW w:w="0" w:type="auto"/>
            <w:tcBorders>
              <w:top w:val="nil"/>
              <w:left w:val="nil"/>
              <w:bottom w:val="single" w:sz="4" w:space="0" w:color="auto"/>
              <w:right w:val="single" w:sz="4" w:space="0" w:color="auto"/>
            </w:tcBorders>
            <w:shd w:val="clear" w:color="auto" w:fill="auto"/>
            <w:vAlign w:val="center"/>
            <w:hideMark/>
          </w:tcPr>
          <w:p w14:paraId="3F925E76" w14:textId="77777777" w:rsidR="00572995" w:rsidRPr="00483EBE" w:rsidRDefault="00572995" w:rsidP="00E8324D">
            <w:pPr>
              <w:pStyle w:val="Tablas"/>
              <w:rPr>
                <w:sz w:val="12"/>
                <w:szCs w:val="12"/>
              </w:rPr>
            </w:pPr>
            <w:r w:rsidRPr="00483EBE">
              <w:rPr>
                <w:sz w:val="12"/>
                <w:szCs w:val="12"/>
              </w:rPr>
              <w:t>$640</w:t>
            </w:r>
          </w:p>
        </w:tc>
        <w:tc>
          <w:tcPr>
            <w:tcW w:w="0" w:type="auto"/>
            <w:tcBorders>
              <w:top w:val="nil"/>
              <w:left w:val="nil"/>
              <w:bottom w:val="single" w:sz="4" w:space="0" w:color="auto"/>
              <w:right w:val="single" w:sz="4" w:space="0" w:color="auto"/>
            </w:tcBorders>
            <w:shd w:val="clear" w:color="auto" w:fill="auto"/>
            <w:vAlign w:val="center"/>
            <w:hideMark/>
          </w:tcPr>
          <w:p w14:paraId="6D3EB7D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1A1FD7A7" w14:textId="77777777" w:rsidR="00572995" w:rsidRPr="00483EBE" w:rsidRDefault="00572995" w:rsidP="00E8324D">
            <w:pPr>
              <w:pStyle w:val="Tablas"/>
              <w:rPr>
                <w:sz w:val="12"/>
                <w:szCs w:val="12"/>
              </w:rPr>
            </w:pPr>
            <w:r w:rsidRPr="00483EBE">
              <w:rPr>
                <w:sz w:val="12"/>
                <w:szCs w:val="12"/>
              </w:rPr>
              <w:t>SEBD</w:t>
            </w:r>
          </w:p>
        </w:tc>
      </w:tr>
      <w:tr w:rsidR="00572995" w:rsidRPr="00483EBE" w14:paraId="0734AB4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7145DF"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5A92667C" w14:textId="77777777" w:rsidR="00572995" w:rsidRPr="00483EBE" w:rsidRDefault="00572995" w:rsidP="00E8324D">
            <w:pPr>
              <w:pStyle w:val="Tablas"/>
              <w:rPr>
                <w:sz w:val="12"/>
                <w:szCs w:val="12"/>
              </w:rPr>
            </w:pPr>
            <w:r w:rsidRPr="00483EBE">
              <w:rPr>
                <w:sz w:val="12"/>
                <w:szCs w:val="12"/>
              </w:rPr>
              <w:t xml:space="preserve">3,248 </w:t>
            </w:r>
          </w:p>
        </w:tc>
        <w:tc>
          <w:tcPr>
            <w:tcW w:w="0" w:type="auto"/>
            <w:tcBorders>
              <w:top w:val="nil"/>
              <w:left w:val="nil"/>
              <w:bottom w:val="single" w:sz="4" w:space="0" w:color="auto"/>
              <w:right w:val="single" w:sz="4" w:space="0" w:color="auto"/>
            </w:tcBorders>
            <w:shd w:val="clear" w:color="auto" w:fill="auto"/>
            <w:vAlign w:val="center"/>
            <w:hideMark/>
          </w:tcPr>
          <w:p w14:paraId="3D72813B" w14:textId="77777777" w:rsidR="00572995" w:rsidRPr="00483EBE" w:rsidRDefault="00572995" w:rsidP="00E8324D">
            <w:pPr>
              <w:pStyle w:val="Tablas"/>
              <w:rPr>
                <w:sz w:val="12"/>
                <w:szCs w:val="12"/>
              </w:rPr>
            </w:pPr>
            <w:r w:rsidRPr="00483EBE">
              <w:rPr>
                <w:sz w:val="12"/>
                <w:szCs w:val="12"/>
              </w:rPr>
              <w:t>$23,087,630</w:t>
            </w:r>
          </w:p>
        </w:tc>
        <w:tc>
          <w:tcPr>
            <w:tcW w:w="0" w:type="auto"/>
            <w:tcBorders>
              <w:top w:val="nil"/>
              <w:left w:val="nil"/>
              <w:bottom w:val="single" w:sz="4" w:space="0" w:color="auto"/>
              <w:right w:val="single" w:sz="4" w:space="0" w:color="auto"/>
            </w:tcBorders>
            <w:shd w:val="clear" w:color="auto" w:fill="auto"/>
            <w:vAlign w:val="center"/>
            <w:hideMark/>
          </w:tcPr>
          <w:p w14:paraId="6CD49AA2" w14:textId="77777777" w:rsidR="00572995" w:rsidRPr="00483EBE" w:rsidRDefault="00572995" w:rsidP="00E8324D">
            <w:pPr>
              <w:pStyle w:val="Tablas"/>
              <w:rPr>
                <w:sz w:val="12"/>
                <w:szCs w:val="12"/>
              </w:rPr>
            </w:pPr>
            <w:r w:rsidRPr="00483EBE">
              <w:rPr>
                <w:sz w:val="12"/>
                <w:szCs w:val="12"/>
              </w:rPr>
              <w:t>$7,108</w:t>
            </w:r>
          </w:p>
        </w:tc>
        <w:tc>
          <w:tcPr>
            <w:tcW w:w="0" w:type="auto"/>
            <w:tcBorders>
              <w:top w:val="nil"/>
              <w:left w:val="nil"/>
              <w:bottom w:val="single" w:sz="4" w:space="0" w:color="auto"/>
              <w:right w:val="single" w:sz="4" w:space="0" w:color="auto"/>
            </w:tcBorders>
            <w:shd w:val="clear" w:color="auto" w:fill="auto"/>
            <w:vAlign w:val="center"/>
            <w:hideMark/>
          </w:tcPr>
          <w:p w14:paraId="333D2FC4" w14:textId="77777777" w:rsidR="00572995" w:rsidRPr="00483EBE" w:rsidRDefault="00572995" w:rsidP="00E8324D">
            <w:pPr>
              <w:pStyle w:val="Tablas"/>
              <w:rPr>
                <w:sz w:val="12"/>
                <w:szCs w:val="12"/>
              </w:rPr>
            </w:pPr>
            <w:r w:rsidRPr="00483EBE">
              <w:rPr>
                <w:sz w:val="12"/>
                <w:szCs w:val="12"/>
              </w:rPr>
              <w:t>$592</w:t>
            </w:r>
          </w:p>
        </w:tc>
        <w:tc>
          <w:tcPr>
            <w:tcW w:w="0" w:type="auto"/>
            <w:tcBorders>
              <w:top w:val="nil"/>
              <w:left w:val="nil"/>
              <w:bottom w:val="single" w:sz="4" w:space="0" w:color="auto"/>
              <w:right w:val="single" w:sz="4" w:space="0" w:color="auto"/>
            </w:tcBorders>
            <w:shd w:val="clear" w:color="auto" w:fill="auto"/>
            <w:vAlign w:val="center"/>
            <w:hideMark/>
          </w:tcPr>
          <w:p w14:paraId="4D5E2FDE"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15F444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ECBD99F"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5D688393" w14:textId="77777777" w:rsidR="00572995" w:rsidRPr="00483EBE" w:rsidRDefault="00572995" w:rsidP="00E8324D">
            <w:pPr>
              <w:pStyle w:val="Tablas"/>
              <w:rPr>
                <w:sz w:val="12"/>
                <w:szCs w:val="12"/>
              </w:rPr>
            </w:pPr>
            <w:r w:rsidRPr="00483EBE">
              <w:rPr>
                <w:sz w:val="12"/>
                <w:szCs w:val="12"/>
              </w:rPr>
              <w:t xml:space="preserve">2,796 </w:t>
            </w:r>
          </w:p>
        </w:tc>
        <w:tc>
          <w:tcPr>
            <w:tcW w:w="0" w:type="auto"/>
            <w:tcBorders>
              <w:top w:val="nil"/>
              <w:left w:val="nil"/>
              <w:bottom w:val="single" w:sz="4" w:space="0" w:color="auto"/>
              <w:right w:val="single" w:sz="4" w:space="0" w:color="auto"/>
            </w:tcBorders>
            <w:shd w:val="clear" w:color="auto" w:fill="auto"/>
            <w:vAlign w:val="center"/>
            <w:hideMark/>
          </w:tcPr>
          <w:p w14:paraId="0D8C7DF0" w14:textId="77777777" w:rsidR="00572995" w:rsidRPr="00483EBE" w:rsidRDefault="00572995" w:rsidP="00E8324D">
            <w:pPr>
              <w:pStyle w:val="Tablas"/>
              <w:rPr>
                <w:sz w:val="12"/>
                <w:szCs w:val="12"/>
              </w:rPr>
            </w:pPr>
            <w:r w:rsidRPr="00483EBE">
              <w:rPr>
                <w:sz w:val="12"/>
                <w:szCs w:val="12"/>
              </w:rPr>
              <w:t>$21,842,517</w:t>
            </w:r>
          </w:p>
        </w:tc>
        <w:tc>
          <w:tcPr>
            <w:tcW w:w="0" w:type="auto"/>
            <w:tcBorders>
              <w:top w:val="nil"/>
              <w:left w:val="nil"/>
              <w:bottom w:val="single" w:sz="4" w:space="0" w:color="auto"/>
              <w:right w:val="single" w:sz="4" w:space="0" w:color="auto"/>
            </w:tcBorders>
            <w:shd w:val="clear" w:color="auto" w:fill="auto"/>
            <w:vAlign w:val="center"/>
            <w:hideMark/>
          </w:tcPr>
          <w:p w14:paraId="61C82A5D" w14:textId="77777777" w:rsidR="00572995" w:rsidRPr="00483EBE" w:rsidRDefault="00572995" w:rsidP="00E8324D">
            <w:pPr>
              <w:pStyle w:val="Tablas"/>
              <w:rPr>
                <w:sz w:val="12"/>
                <w:szCs w:val="12"/>
              </w:rPr>
            </w:pPr>
            <w:r w:rsidRPr="00483EBE">
              <w:rPr>
                <w:sz w:val="12"/>
                <w:szCs w:val="12"/>
              </w:rPr>
              <w:t>$7,812</w:t>
            </w:r>
          </w:p>
        </w:tc>
        <w:tc>
          <w:tcPr>
            <w:tcW w:w="0" w:type="auto"/>
            <w:tcBorders>
              <w:top w:val="nil"/>
              <w:left w:val="nil"/>
              <w:bottom w:val="single" w:sz="4" w:space="0" w:color="auto"/>
              <w:right w:val="single" w:sz="4" w:space="0" w:color="auto"/>
            </w:tcBorders>
            <w:shd w:val="clear" w:color="auto" w:fill="auto"/>
            <w:vAlign w:val="center"/>
            <w:hideMark/>
          </w:tcPr>
          <w:p w14:paraId="570E2B3E" w14:textId="77777777" w:rsidR="00572995" w:rsidRPr="00483EBE" w:rsidRDefault="00572995" w:rsidP="00E8324D">
            <w:pPr>
              <w:pStyle w:val="Tablas"/>
              <w:rPr>
                <w:sz w:val="12"/>
                <w:szCs w:val="12"/>
              </w:rPr>
            </w:pPr>
            <w:r w:rsidRPr="00483EBE">
              <w:rPr>
                <w:sz w:val="12"/>
                <w:szCs w:val="12"/>
              </w:rPr>
              <w:t>$651</w:t>
            </w:r>
          </w:p>
        </w:tc>
        <w:tc>
          <w:tcPr>
            <w:tcW w:w="0" w:type="auto"/>
            <w:tcBorders>
              <w:top w:val="nil"/>
              <w:left w:val="nil"/>
              <w:bottom w:val="single" w:sz="4" w:space="0" w:color="auto"/>
              <w:right w:val="single" w:sz="4" w:space="0" w:color="auto"/>
            </w:tcBorders>
            <w:shd w:val="clear" w:color="auto" w:fill="auto"/>
            <w:vAlign w:val="center"/>
            <w:hideMark/>
          </w:tcPr>
          <w:p w14:paraId="559DD43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2E35B5C" w14:textId="77777777" w:rsidR="00572995" w:rsidRPr="00483EBE" w:rsidRDefault="00572995" w:rsidP="00E8324D">
            <w:pPr>
              <w:pStyle w:val="Tablas"/>
              <w:rPr>
                <w:sz w:val="12"/>
                <w:szCs w:val="12"/>
              </w:rPr>
            </w:pPr>
            <w:r w:rsidRPr="00483EBE">
              <w:rPr>
                <w:sz w:val="12"/>
                <w:szCs w:val="12"/>
              </w:rPr>
              <w:t>SEBD</w:t>
            </w:r>
          </w:p>
        </w:tc>
      </w:tr>
      <w:tr w:rsidR="00572995" w:rsidRPr="00483EBE" w14:paraId="02846F5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A9C320B"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253882A6" w14:textId="77777777" w:rsidR="00572995" w:rsidRPr="00483EBE" w:rsidRDefault="00572995" w:rsidP="00E8324D">
            <w:pPr>
              <w:pStyle w:val="Tablas"/>
              <w:rPr>
                <w:sz w:val="12"/>
                <w:szCs w:val="12"/>
              </w:rPr>
            </w:pPr>
            <w:r w:rsidRPr="00483EBE">
              <w:rPr>
                <w:sz w:val="12"/>
                <w:szCs w:val="12"/>
              </w:rPr>
              <w:t xml:space="preserve">3,350 </w:t>
            </w:r>
          </w:p>
        </w:tc>
        <w:tc>
          <w:tcPr>
            <w:tcW w:w="0" w:type="auto"/>
            <w:tcBorders>
              <w:top w:val="nil"/>
              <w:left w:val="nil"/>
              <w:bottom w:val="single" w:sz="4" w:space="0" w:color="auto"/>
              <w:right w:val="single" w:sz="4" w:space="0" w:color="auto"/>
            </w:tcBorders>
            <w:shd w:val="clear" w:color="auto" w:fill="auto"/>
            <w:vAlign w:val="center"/>
            <w:hideMark/>
          </w:tcPr>
          <w:p w14:paraId="03F8EC0E" w14:textId="77777777" w:rsidR="00572995" w:rsidRPr="00483EBE" w:rsidRDefault="00572995" w:rsidP="00E8324D">
            <w:pPr>
              <w:pStyle w:val="Tablas"/>
              <w:rPr>
                <w:sz w:val="12"/>
                <w:szCs w:val="12"/>
              </w:rPr>
            </w:pPr>
            <w:r w:rsidRPr="00483EBE">
              <w:rPr>
                <w:sz w:val="12"/>
                <w:szCs w:val="12"/>
              </w:rPr>
              <w:t>$24,039,998</w:t>
            </w:r>
          </w:p>
        </w:tc>
        <w:tc>
          <w:tcPr>
            <w:tcW w:w="0" w:type="auto"/>
            <w:tcBorders>
              <w:top w:val="nil"/>
              <w:left w:val="nil"/>
              <w:bottom w:val="single" w:sz="4" w:space="0" w:color="auto"/>
              <w:right w:val="single" w:sz="4" w:space="0" w:color="auto"/>
            </w:tcBorders>
            <w:shd w:val="clear" w:color="auto" w:fill="auto"/>
            <w:vAlign w:val="center"/>
            <w:hideMark/>
          </w:tcPr>
          <w:p w14:paraId="7F848F14" w14:textId="77777777" w:rsidR="00572995" w:rsidRPr="00483EBE" w:rsidRDefault="00572995" w:rsidP="00E8324D">
            <w:pPr>
              <w:pStyle w:val="Tablas"/>
              <w:rPr>
                <w:sz w:val="12"/>
                <w:szCs w:val="12"/>
              </w:rPr>
            </w:pPr>
            <w:r w:rsidRPr="00483EBE">
              <w:rPr>
                <w:sz w:val="12"/>
                <w:szCs w:val="12"/>
              </w:rPr>
              <w:t>$7,176</w:t>
            </w:r>
          </w:p>
        </w:tc>
        <w:tc>
          <w:tcPr>
            <w:tcW w:w="0" w:type="auto"/>
            <w:tcBorders>
              <w:top w:val="nil"/>
              <w:left w:val="nil"/>
              <w:bottom w:val="single" w:sz="4" w:space="0" w:color="auto"/>
              <w:right w:val="single" w:sz="4" w:space="0" w:color="auto"/>
            </w:tcBorders>
            <w:shd w:val="clear" w:color="auto" w:fill="auto"/>
            <w:vAlign w:val="center"/>
            <w:hideMark/>
          </w:tcPr>
          <w:p w14:paraId="1B71E2BC" w14:textId="77777777" w:rsidR="00572995" w:rsidRPr="00483EBE" w:rsidRDefault="00572995" w:rsidP="00E8324D">
            <w:pPr>
              <w:pStyle w:val="Tablas"/>
              <w:rPr>
                <w:sz w:val="12"/>
                <w:szCs w:val="12"/>
              </w:rPr>
            </w:pPr>
            <w:r w:rsidRPr="00483EBE">
              <w:rPr>
                <w:sz w:val="12"/>
                <w:szCs w:val="12"/>
              </w:rPr>
              <w:t>$598</w:t>
            </w:r>
          </w:p>
        </w:tc>
        <w:tc>
          <w:tcPr>
            <w:tcW w:w="0" w:type="auto"/>
            <w:tcBorders>
              <w:top w:val="nil"/>
              <w:left w:val="nil"/>
              <w:bottom w:val="single" w:sz="4" w:space="0" w:color="auto"/>
              <w:right w:val="single" w:sz="4" w:space="0" w:color="auto"/>
            </w:tcBorders>
            <w:shd w:val="clear" w:color="auto" w:fill="auto"/>
            <w:vAlign w:val="center"/>
            <w:hideMark/>
          </w:tcPr>
          <w:p w14:paraId="7B14127F"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C1687E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695742"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3F452F61" w14:textId="77777777" w:rsidR="00572995" w:rsidRPr="00483EBE" w:rsidRDefault="00572995" w:rsidP="00E8324D">
            <w:pPr>
              <w:pStyle w:val="Tablas"/>
              <w:rPr>
                <w:sz w:val="12"/>
                <w:szCs w:val="12"/>
              </w:rPr>
            </w:pPr>
            <w:r w:rsidRPr="00483EBE">
              <w:rPr>
                <w:sz w:val="12"/>
                <w:szCs w:val="12"/>
              </w:rPr>
              <w:t xml:space="preserve">3,121 </w:t>
            </w:r>
          </w:p>
        </w:tc>
        <w:tc>
          <w:tcPr>
            <w:tcW w:w="0" w:type="auto"/>
            <w:tcBorders>
              <w:top w:val="nil"/>
              <w:left w:val="nil"/>
              <w:bottom w:val="single" w:sz="4" w:space="0" w:color="auto"/>
              <w:right w:val="single" w:sz="4" w:space="0" w:color="auto"/>
            </w:tcBorders>
            <w:shd w:val="clear" w:color="auto" w:fill="auto"/>
            <w:vAlign w:val="center"/>
            <w:hideMark/>
          </w:tcPr>
          <w:p w14:paraId="5C37831D" w14:textId="77777777" w:rsidR="00572995" w:rsidRPr="00483EBE" w:rsidRDefault="00572995" w:rsidP="00E8324D">
            <w:pPr>
              <w:pStyle w:val="Tablas"/>
              <w:rPr>
                <w:sz w:val="12"/>
                <w:szCs w:val="12"/>
              </w:rPr>
            </w:pPr>
            <w:r w:rsidRPr="00483EBE">
              <w:rPr>
                <w:sz w:val="12"/>
                <w:szCs w:val="12"/>
              </w:rPr>
              <w:t>$24,230,643</w:t>
            </w:r>
          </w:p>
        </w:tc>
        <w:tc>
          <w:tcPr>
            <w:tcW w:w="0" w:type="auto"/>
            <w:tcBorders>
              <w:top w:val="nil"/>
              <w:left w:val="nil"/>
              <w:bottom w:val="single" w:sz="4" w:space="0" w:color="auto"/>
              <w:right w:val="single" w:sz="4" w:space="0" w:color="auto"/>
            </w:tcBorders>
            <w:shd w:val="clear" w:color="auto" w:fill="auto"/>
            <w:vAlign w:val="center"/>
            <w:hideMark/>
          </w:tcPr>
          <w:p w14:paraId="58ADD86F" w14:textId="77777777" w:rsidR="00572995" w:rsidRPr="00483EBE" w:rsidRDefault="00572995" w:rsidP="00E8324D">
            <w:pPr>
              <w:pStyle w:val="Tablas"/>
              <w:rPr>
                <w:sz w:val="12"/>
                <w:szCs w:val="12"/>
              </w:rPr>
            </w:pPr>
            <w:r w:rsidRPr="00483EBE">
              <w:rPr>
                <w:sz w:val="12"/>
                <w:szCs w:val="12"/>
              </w:rPr>
              <w:t>$7,764</w:t>
            </w:r>
          </w:p>
        </w:tc>
        <w:tc>
          <w:tcPr>
            <w:tcW w:w="0" w:type="auto"/>
            <w:tcBorders>
              <w:top w:val="nil"/>
              <w:left w:val="nil"/>
              <w:bottom w:val="single" w:sz="4" w:space="0" w:color="auto"/>
              <w:right w:val="single" w:sz="4" w:space="0" w:color="auto"/>
            </w:tcBorders>
            <w:shd w:val="clear" w:color="auto" w:fill="auto"/>
            <w:vAlign w:val="center"/>
            <w:hideMark/>
          </w:tcPr>
          <w:p w14:paraId="2054FF8E" w14:textId="77777777" w:rsidR="00572995" w:rsidRPr="00483EBE" w:rsidRDefault="00572995" w:rsidP="00E8324D">
            <w:pPr>
              <w:pStyle w:val="Tablas"/>
              <w:rPr>
                <w:sz w:val="12"/>
                <w:szCs w:val="12"/>
              </w:rPr>
            </w:pPr>
            <w:r w:rsidRPr="00483EBE">
              <w:rPr>
                <w:sz w:val="12"/>
                <w:szCs w:val="12"/>
              </w:rPr>
              <w:t>$647</w:t>
            </w:r>
          </w:p>
        </w:tc>
        <w:tc>
          <w:tcPr>
            <w:tcW w:w="0" w:type="auto"/>
            <w:tcBorders>
              <w:top w:val="nil"/>
              <w:left w:val="nil"/>
              <w:bottom w:val="single" w:sz="4" w:space="0" w:color="auto"/>
              <w:right w:val="single" w:sz="4" w:space="0" w:color="auto"/>
            </w:tcBorders>
            <w:shd w:val="clear" w:color="auto" w:fill="auto"/>
            <w:vAlign w:val="center"/>
            <w:hideMark/>
          </w:tcPr>
          <w:p w14:paraId="77DCAD4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7F0233B" w14:textId="77777777" w:rsidR="00572995" w:rsidRPr="00483EBE" w:rsidRDefault="00572995" w:rsidP="00E8324D">
            <w:pPr>
              <w:pStyle w:val="Tablas"/>
              <w:rPr>
                <w:sz w:val="12"/>
                <w:szCs w:val="12"/>
              </w:rPr>
            </w:pPr>
            <w:r w:rsidRPr="00483EBE">
              <w:rPr>
                <w:sz w:val="12"/>
                <w:szCs w:val="12"/>
              </w:rPr>
              <w:t>SEBD</w:t>
            </w:r>
          </w:p>
        </w:tc>
      </w:tr>
      <w:tr w:rsidR="00572995" w:rsidRPr="00483EBE" w14:paraId="0FBBBA6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DAF4AF2"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38DAFB8F" w14:textId="77777777" w:rsidR="00572995" w:rsidRPr="00483EBE" w:rsidRDefault="00572995" w:rsidP="00E8324D">
            <w:pPr>
              <w:pStyle w:val="Tablas"/>
              <w:rPr>
                <w:sz w:val="12"/>
                <w:szCs w:val="12"/>
              </w:rPr>
            </w:pPr>
            <w:r w:rsidRPr="00483EBE">
              <w:rPr>
                <w:sz w:val="12"/>
                <w:szCs w:val="12"/>
              </w:rPr>
              <w:t xml:space="preserve">3,467 </w:t>
            </w:r>
          </w:p>
        </w:tc>
        <w:tc>
          <w:tcPr>
            <w:tcW w:w="0" w:type="auto"/>
            <w:tcBorders>
              <w:top w:val="nil"/>
              <w:left w:val="nil"/>
              <w:bottom w:val="single" w:sz="4" w:space="0" w:color="auto"/>
              <w:right w:val="single" w:sz="4" w:space="0" w:color="auto"/>
            </w:tcBorders>
            <w:shd w:val="clear" w:color="auto" w:fill="auto"/>
            <w:vAlign w:val="center"/>
            <w:hideMark/>
          </w:tcPr>
          <w:p w14:paraId="43F17F08" w14:textId="77777777" w:rsidR="00572995" w:rsidRPr="00483EBE" w:rsidRDefault="00572995" w:rsidP="00E8324D">
            <w:pPr>
              <w:pStyle w:val="Tablas"/>
              <w:rPr>
                <w:sz w:val="12"/>
                <w:szCs w:val="12"/>
              </w:rPr>
            </w:pPr>
            <w:r w:rsidRPr="00483EBE">
              <w:rPr>
                <w:sz w:val="12"/>
                <w:szCs w:val="12"/>
              </w:rPr>
              <w:t>$23,541,844</w:t>
            </w:r>
          </w:p>
        </w:tc>
        <w:tc>
          <w:tcPr>
            <w:tcW w:w="0" w:type="auto"/>
            <w:tcBorders>
              <w:top w:val="nil"/>
              <w:left w:val="nil"/>
              <w:bottom w:val="single" w:sz="4" w:space="0" w:color="auto"/>
              <w:right w:val="single" w:sz="4" w:space="0" w:color="auto"/>
            </w:tcBorders>
            <w:shd w:val="clear" w:color="auto" w:fill="auto"/>
            <w:vAlign w:val="center"/>
            <w:hideMark/>
          </w:tcPr>
          <w:p w14:paraId="22A326D5" w14:textId="77777777" w:rsidR="00572995" w:rsidRPr="00483EBE" w:rsidRDefault="00572995" w:rsidP="00E8324D">
            <w:pPr>
              <w:pStyle w:val="Tablas"/>
              <w:rPr>
                <w:sz w:val="12"/>
                <w:szCs w:val="12"/>
              </w:rPr>
            </w:pPr>
            <w:r w:rsidRPr="00483EBE">
              <w:rPr>
                <w:sz w:val="12"/>
                <w:szCs w:val="12"/>
              </w:rPr>
              <w:t>$6,790</w:t>
            </w:r>
          </w:p>
        </w:tc>
        <w:tc>
          <w:tcPr>
            <w:tcW w:w="0" w:type="auto"/>
            <w:tcBorders>
              <w:top w:val="nil"/>
              <w:left w:val="nil"/>
              <w:bottom w:val="single" w:sz="4" w:space="0" w:color="auto"/>
              <w:right w:val="single" w:sz="4" w:space="0" w:color="auto"/>
            </w:tcBorders>
            <w:shd w:val="clear" w:color="auto" w:fill="auto"/>
            <w:vAlign w:val="center"/>
            <w:hideMark/>
          </w:tcPr>
          <w:p w14:paraId="68157372" w14:textId="77777777" w:rsidR="00572995" w:rsidRPr="00483EBE" w:rsidRDefault="00572995" w:rsidP="00E8324D">
            <w:pPr>
              <w:pStyle w:val="Tablas"/>
              <w:rPr>
                <w:sz w:val="12"/>
                <w:szCs w:val="12"/>
              </w:rPr>
            </w:pPr>
            <w:r w:rsidRPr="00483EBE">
              <w:rPr>
                <w:sz w:val="12"/>
                <w:szCs w:val="12"/>
              </w:rPr>
              <w:t>$566</w:t>
            </w:r>
          </w:p>
        </w:tc>
        <w:tc>
          <w:tcPr>
            <w:tcW w:w="0" w:type="auto"/>
            <w:tcBorders>
              <w:top w:val="nil"/>
              <w:left w:val="nil"/>
              <w:bottom w:val="single" w:sz="4" w:space="0" w:color="auto"/>
              <w:right w:val="single" w:sz="4" w:space="0" w:color="auto"/>
            </w:tcBorders>
            <w:shd w:val="clear" w:color="auto" w:fill="auto"/>
            <w:vAlign w:val="center"/>
            <w:hideMark/>
          </w:tcPr>
          <w:p w14:paraId="19FAD3D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69E1A3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6005B9"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0C852F7" w14:textId="77777777" w:rsidR="00572995" w:rsidRPr="00483EBE" w:rsidRDefault="00572995" w:rsidP="00E8324D">
            <w:pPr>
              <w:pStyle w:val="Tablas"/>
              <w:rPr>
                <w:sz w:val="12"/>
                <w:szCs w:val="12"/>
              </w:rPr>
            </w:pPr>
            <w:r w:rsidRPr="00483EBE">
              <w:rPr>
                <w:sz w:val="12"/>
                <w:szCs w:val="12"/>
              </w:rPr>
              <w:t xml:space="preserve">3,277 </w:t>
            </w:r>
          </w:p>
        </w:tc>
        <w:tc>
          <w:tcPr>
            <w:tcW w:w="0" w:type="auto"/>
            <w:tcBorders>
              <w:top w:val="nil"/>
              <w:left w:val="nil"/>
              <w:bottom w:val="single" w:sz="4" w:space="0" w:color="auto"/>
              <w:right w:val="single" w:sz="4" w:space="0" w:color="auto"/>
            </w:tcBorders>
            <w:shd w:val="clear" w:color="auto" w:fill="auto"/>
            <w:vAlign w:val="center"/>
            <w:hideMark/>
          </w:tcPr>
          <w:p w14:paraId="70238F84" w14:textId="77777777" w:rsidR="00572995" w:rsidRPr="00483EBE" w:rsidRDefault="00572995" w:rsidP="00E8324D">
            <w:pPr>
              <w:pStyle w:val="Tablas"/>
              <w:rPr>
                <w:sz w:val="12"/>
                <w:szCs w:val="12"/>
              </w:rPr>
            </w:pPr>
            <w:r w:rsidRPr="00483EBE">
              <w:rPr>
                <w:sz w:val="12"/>
                <w:szCs w:val="12"/>
              </w:rPr>
              <w:t>$25,802,105</w:t>
            </w:r>
          </w:p>
        </w:tc>
        <w:tc>
          <w:tcPr>
            <w:tcW w:w="0" w:type="auto"/>
            <w:tcBorders>
              <w:top w:val="nil"/>
              <w:left w:val="nil"/>
              <w:bottom w:val="single" w:sz="4" w:space="0" w:color="auto"/>
              <w:right w:val="single" w:sz="4" w:space="0" w:color="auto"/>
            </w:tcBorders>
            <w:shd w:val="clear" w:color="auto" w:fill="auto"/>
            <w:vAlign w:val="center"/>
            <w:hideMark/>
          </w:tcPr>
          <w:p w14:paraId="1F45A73A" w14:textId="77777777" w:rsidR="00572995" w:rsidRPr="00483EBE" w:rsidRDefault="00572995" w:rsidP="00E8324D">
            <w:pPr>
              <w:pStyle w:val="Tablas"/>
              <w:rPr>
                <w:sz w:val="12"/>
                <w:szCs w:val="12"/>
              </w:rPr>
            </w:pPr>
            <w:r w:rsidRPr="00483EBE">
              <w:rPr>
                <w:sz w:val="12"/>
                <w:szCs w:val="12"/>
              </w:rPr>
              <w:t>$7,874</w:t>
            </w:r>
          </w:p>
        </w:tc>
        <w:tc>
          <w:tcPr>
            <w:tcW w:w="0" w:type="auto"/>
            <w:tcBorders>
              <w:top w:val="nil"/>
              <w:left w:val="nil"/>
              <w:bottom w:val="single" w:sz="4" w:space="0" w:color="auto"/>
              <w:right w:val="single" w:sz="4" w:space="0" w:color="auto"/>
            </w:tcBorders>
            <w:shd w:val="clear" w:color="auto" w:fill="auto"/>
            <w:vAlign w:val="center"/>
            <w:hideMark/>
          </w:tcPr>
          <w:p w14:paraId="4E2D21AE" w14:textId="77777777" w:rsidR="00572995" w:rsidRPr="00483EBE" w:rsidRDefault="00572995" w:rsidP="00E8324D">
            <w:pPr>
              <w:pStyle w:val="Tablas"/>
              <w:rPr>
                <w:sz w:val="12"/>
                <w:szCs w:val="12"/>
              </w:rPr>
            </w:pPr>
            <w:r w:rsidRPr="00483EBE">
              <w:rPr>
                <w:sz w:val="12"/>
                <w:szCs w:val="12"/>
              </w:rPr>
              <w:t>$656</w:t>
            </w:r>
          </w:p>
        </w:tc>
        <w:tc>
          <w:tcPr>
            <w:tcW w:w="0" w:type="auto"/>
            <w:tcBorders>
              <w:top w:val="nil"/>
              <w:left w:val="nil"/>
              <w:bottom w:val="single" w:sz="4" w:space="0" w:color="auto"/>
              <w:right w:val="single" w:sz="4" w:space="0" w:color="auto"/>
            </w:tcBorders>
            <w:shd w:val="clear" w:color="auto" w:fill="auto"/>
            <w:vAlign w:val="center"/>
            <w:hideMark/>
          </w:tcPr>
          <w:p w14:paraId="3471E03C"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FB43757" w14:textId="77777777" w:rsidR="00572995" w:rsidRPr="00483EBE" w:rsidRDefault="00572995" w:rsidP="00E8324D">
            <w:pPr>
              <w:pStyle w:val="Tablas"/>
              <w:rPr>
                <w:sz w:val="12"/>
                <w:szCs w:val="12"/>
              </w:rPr>
            </w:pPr>
            <w:r w:rsidRPr="00483EBE">
              <w:rPr>
                <w:sz w:val="12"/>
                <w:szCs w:val="12"/>
              </w:rPr>
              <w:t>SEBD</w:t>
            </w:r>
          </w:p>
        </w:tc>
      </w:tr>
      <w:tr w:rsidR="00572995" w:rsidRPr="00483EBE" w14:paraId="042A2C5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EAEB4B"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625168F9" w14:textId="77777777" w:rsidR="00572995" w:rsidRPr="00483EBE" w:rsidRDefault="00572995" w:rsidP="00E8324D">
            <w:pPr>
              <w:pStyle w:val="Tablas"/>
              <w:rPr>
                <w:sz w:val="12"/>
                <w:szCs w:val="12"/>
              </w:rPr>
            </w:pPr>
            <w:r w:rsidRPr="00483EBE">
              <w:rPr>
                <w:sz w:val="12"/>
                <w:szCs w:val="12"/>
              </w:rPr>
              <w:t xml:space="preserve">3,739 </w:t>
            </w:r>
          </w:p>
        </w:tc>
        <w:tc>
          <w:tcPr>
            <w:tcW w:w="0" w:type="auto"/>
            <w:tcBorders>
              <w:top w:val="nil"/>
              <w:left w:val="nil"/>
              <w:bottom w:val="single" w:sz="4" w:space="0" w:color="auto"/>
              <w:right w:val="single" w:sz="4" w:space="0" w:color="auto"/>
            </w:tcBorders>
            <w:shd w:val="clear" w:color="auto" w:fill="auto"/>
            <w:vAlign w:val="center"/>
            <w:hideMark/>
          </w:tcPr>
          <w:p w14:paraId="6834F24B" w14:textId="77777777" w:rsidR="00572995" w:rsidRPr="00483EBE" w:rsidRDefault="00572995" w:rsidP="00E8324D">
            <w:pPr>
              <w:pStyle w:val="Tablas"/>
              <w:rPr>
                <w:sz w:val="12"/>
                <w:szCs w:val="12"/>
              </w:rPr>
            </w:pPr>
            <w:r w:rsidRPr="00483EBE">
              <w:rPr>
                <w:sz w:val="12"/>
                <w:szCs w:val="12"/>
              </w:rPr>
              <w:t>$24,406,671</w:t>
            </w:r>
          </w:p>
        </w:tc>
        <w:tc>
          <w:tcPr>
            <w:tcW w:w="0" w:type="auto"/>
            <w:tcBorders>
              <w:top w:val="nil"/>
              <w:left w:val="nil"/>
              <w:bottom w:val="single" w:sz="4" w:space="0" w:color="auto"/>
              <w:right w:val="single" w:sz="4" w:space="0" w:color="auto"/>
            </w:tcBorders>
            <w:shd w:val="clear" w:color="auto" w:fill="auto"/>
            <w:vAlign w:val="center"/>
            <w:hideMark/>
          </w:tcPr>
          <w:p w14:paraId="52401F48" w14:textId="77777777" w:rsidR="00572995" w:rsidRPr="00483EBE" w:rsidRDefault="00572995" w:rsidP="00E8324D">
            <w:pPr>
              <w:pStyle w:val="Tablas"/>
              <w:rPr>
                <w:sz w:val="12"/>
                <w:szCs w:val="12"/>
              </w:rPr>
            </w:pPr>
            <w:r w:rsidRPr="00483EBE">
              <w:rPr>
                <w:sz w:val="12"/>
                <w:szCs w:val="12"/>
              </w:rPr>
              <w:t>$6,528</w:t>
            </w:r>
          </w:p>
        </w:tc>
        <w:tc>
          <w:tcPr>
            <w:tcW w:w="0" w:type="auto"/>
            <w:tcBorders>
              <w:top w:val="nil"/>
              <w:left w:val="nil"/>
              <w:bottom w:val="single" w:sz="4" w:space="0" w:color="auto"/>
              <w:right w:val="single" w:sz="4" w:space="0" w:color="auto"/>
            </w:tcBorders>
            <w:shd w:val="clear" w:color="auto" w:fill="auto"/>
            <w:vAlign w:val="center"/>
            <w:hideMark/>
          </w:tcPr>
          <w:p w14:paraId="00FCE68D" w14:textId="77777777" w:rsidR="00572995" w:rsidRPr="00483EBE" w:rsidRDefault="00572995" w:rsidP="00E8324D">
            <w:pPr>
              <w:pStyle w:val="Tablas"/>
              <w:rPr>
                <w:sz w:val="12"/>
                <w:szCs w:val="12"/>
              </w:rPr>
            </w:pPr>
            <w:r w:rsidRPr="00483EBE">
              <w:rPr>
                <w:sz w:val="12"/>
                <w:szCs w:val="12"/>
              </w:rPr>
              <w:t>$544</w:t>
            </w:r>
          </w:p>
        </w:tc>
        <w:tc>
          <w:tcPr>
            <w:tcW w:w="0" w:type="auto"/>
            <w:tcBorders>
              <w:top w:val="nil"/>
              <w:left w:val="nil"/>
              <w:bottom w:val="single" w:sz="4" w:space="0" w:color="auto"/>
              <w:right w:val="single" w:sz="4" w:space="0" w:color="auto"/>
            </w:tcBorders>
            <w:shd w:val="clear" w:color="auto" w:fill="auto"/>
            <w:vAlign w:val="center"/>
            <w:hideMark/>
          </w:tcPr>
          <w:p w14:paraId="0125571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108AB2C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3F820DD"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511196D0" w14:textId="77777777" w:rsidR="00572995" w:rsidRPr="00483EBE" w:rsidRDefault="00572995" w:rsidP="00E8324D">
            <w:pPr>
              <w:pStyle w:val="Tablas"/>
              <w:rPr>
                <w:sz w:val="12"/>
                <w:szCs w:val="12"/>
              </w:rPr>
            </w:pPr>
            <w:r w:rsidRPr="00483EBE">
              <w:rPr>
                <w:sz w:val="12"/>
                <w:szCs w:val="12"/>
              </w:rPr>
              <w:t xml:space="preserve">3,362 </w:t>
            </w:r>
          </w:p>
        </w:tc>
        <w:tc>
          <w:tcPr>
            <w:tcW w:w="0" w:type="auto"/>
            <w:tcBorders>
              <w:top w:val="nil"/>
              <w:left w:val="nil"/>
              <w:bottom w:val="single" w:sz="4" w:space="0" w:color="auto"/>
              <w:right w:val="single" w:sz="4" w:space="0" w:color="auto"/>
            </w:tcBorders>
            <w:shd w:val="clear" w:color="auto" w:fill="auto"/>
            <w:vAlign w:val="center"/>
            <w:hideMark/>
          </w:tcPr>
          <w:p w14:paraId="2AD38790" w14:textId="77777777" w:rsidR="00572995" w:rsidRPr="00483EBE" w:rsidRDefault="00572995" w:rsidP="00E8324D">
            <w:pPr>
              <w:pStyle w:val="Tablas"/>
              <w:rPr>
                <w:sz w:val="12"/>
                <w:szCs w:val="12"/>
              </w:rPr>
            </w:pPr>
            <w:r w:rsidRPr="00483EBE">
              <w:rPr>
                <w:sz w:val="12"/>
                <w:szCs w:val="12"/>
              </w:rPr>
              <w:t>$26,230,662</w:t>
            </w:r>
          </w:p>
        </w:tc>
        <w:tc>
          <w:tcPr>
            <w:tcW w:w="0" w:type="auto"/>
            <w:tcBorders>
              <w:top w:val="nil"/>
              <w:left w:val="nil"/>
              <w:bottom w:val="single" w:sz="4" w:space="0" w:color="auto"/>
              <w:right w:val="single" w:sz="4" w:space="0" w:color="auto"/>
            </w:tcBorders>
            <w:shd w:val="clear" w:color="auto" w:fill="auto"/>
            <w:vAlign w:val="center"/>
            <w:hideMark/>
          </w:tcPr>
          <w:p w14:paraId="100460F4" w14:textId="77777777" w:rsidR="00572995" w:rsidRPr="00483EBE" w:rsidRDefault="00572995" w:rsidP="00E8324D">
            <w:pPr>
              <w:pStyle w:val="Tablas"/>
              <w:rPr>
                <w:sz w:val="12"/>
                <w:szCs w:val="12"/>
              </w:rPr>
            </w:pPr>
            <w:r w:rsidRPr="00483EBE">
              <w:rPr>
                <w:sz w:val="12"/>
                <w:szCs w:val="12"/>
              </w:rPr>
              <w:t>$7,802</w:t>
            </w:r>
          </w:p>
        </w:tc>
        <w:tc>
          <w:tcPr>
            <w:tcW w:w="0" w:type="auto"/>
            <w:tcBorders>
              <w:top w:val="nil"/>
              <w:left w:val="nil"/>
              <w:bottom w:val="single" w:sz="4" w:space="0" w:color="auto"/>
              <w:right w:val="single" w:sz="4" w:space="0" w:color="auto"/>
            </w:tcBorders>
            <w:shd w:val="clear" w:color="auto" w:fill="auto"/>
            <w:vAlign w:val="center"/>
            <w:hideMark/>
          </w:tcPr>
          <w:p w14:paraId="1308289D" w14:textId="77777777" w:rsidR="00572995" w:rsidRPr="00483EBE" w:rsidRDefault="00572995" w:rsidP="00E8324D">
            <w:pPr>
              <w:pStyle w:val="Tablas"/>
              <w:rPr>
                <w:sz w:val="12"/>
                <w:szCs w:val="12"/>
              </w:rPr>
            </w:pPr>
            <w:r w:rsidRPr="00483EBE">
              <w:rPr>
                <w:sz w:val="12"/>
                <w:szCs w:val="12"/>
              </w:rPr>
              <w:t>$650</w:t>
            </w:r>
          </w:p>
        </w:tc>
        <w:tc>
          <w:tcPr>
            <w:tcW w:w="0" w:type="auto"/>
            <w:tcBorders>
              <w:top w:val="nil"/>
              <w:left w:val="nil"/>
              <w:bottom w:val="single" w:sz="4" w:space="0" w:color="auto"/>
              <w:right w:val="single" w:sz="4" w:space="0" w:color="auto"/>
            </w:tcBorders>
            <w:shd w:val="clear" w:color="auto" w:fill="auto"/>
            <w:vAlign w:val="center"/>
            <w:hideMark/>
          </w:tcPr>
          <w:p w14:paraId="3B0ADCD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AC5DFDF" w14:textId="77777777" w:rsidR="00572995" w:rsidRPr="00483EBE" w:rsidRDefault="00572995" w:rsidP="00E8324D">
            <w:pPr>
              <w:pStyle w:val="Tablas"/>
              <w:rPr>
                <w:sz w:val="12"/>
                <w:szCs w:val="12"/>
              </w:rPr>
            </w:pPr>
            <w:r w:rsidRPr="00483EBE">
              <w:rPr>
                <w:sz w:val="12"/>
                <w:szCs w:val="12"/>
              </w:rPr>
              <w:t>SEBD</w:t>
            </w:r>
          </w:p>
        </w:tc>
      </w:tr>
      <w:tr w:rsidR="00572995" w:rsidRPr="00483EBE" w14:paraId="6187A1B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0F45754"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8C71B2B" w14:textId="77777777" w:rsidR="00572995" w:rsidRPr="00483EBE" w:rsidRDefault="00572995" w:rsidP="00E8324D">
            <w:pPr>
              <w:pStyle w:val="Tablas"/>
              <w:rPr>
                <w:sz w:val="12"/>
                <w:szCs w:val="12"/>
              </w:rPr>
            </w:pPr>
            <w:r w:rsidRPr="00483EBE">
              <w:rPr>
                <w:sz w:val="12"/>
                <w:szCs w:val="12"/>
              </w:rPr>
              <w:t xml:space="preserve">3,507 </w:t>
            </w:r>
          </w:p>
        </w:tc>
        <w:tc>
          <w:tcPr>
            <w:tcW w:w="0" w:type="auto"/>
            <w:tcBorders>
              <w:top w:val="nil"/>
              <w:left w:val="nil"/>
              <w:bottom w:val="single" w:sz="4" w:space="0" w:color="auto"/>
              <w:right w:val="single" w:sz="4" w:space="0" w:color="auto"/>
            </w:tcBorders>
            <w:shd w:val="clear" w:color="auto" w:fill="auto"/>
            <w:vAlign w:val="center"/>
            <w:hideMark/>
          </w:tcPr>
          <w:p w14:paraId="2969F872" w14:textId="77777777" w:rsidR="00572995" w:rsidRPr="00483EBE" w:rsidRDefault="00572995" w:rsidP="00E8324D">
            <w:pPr>
              <w:pStyle w:val="Tablas"/>
              <w:rPr>
                <w:sz w:val="12"/>
                <w:szCs w:val="12"/>
              </w:rPr>
            </w:pPr>
            <w:r w:rsidRPr="00483EBE">
              <w:rPr>
                <w:sz w:val="12"/>
                <w:szCs w:val="12"/>
              </w:rPr>
              <w:t>$22,023,042</w:t>
            </w:r>
          </w:p>
        </w:tc>
        <w:tc>
          <w:tcPr>
            <w:tcW w:w="0" w:type="auto"/>
            <w:tcBorders>
              <w:top w:val="nil"/>
              <w:left w:val="nil"/>
              <w:bottom w:val="single" w:sz="4" w:space="0" w:color="auto"/>
              <w:right w:val="single" w:sz="4" w:space="0" w:color="auto"/>
            </w:tcBorders>
            <w:shd w:val="clear" w:color="auto" w:fill="auto"/>
            <w:vAlign w:val="center"/>
            <w:hideMark/>
          </w:tcPr>
          <w:p w14:paraId="616CED40" w14:textId="77777777" w:rsidR="00572995" w:rsidRPr="00483EBE" w:rsidRDefault="00572995" w:rsidP="00E8324D">
            <w:pPr>
              <w:pStyle w:val="Tablas"/>
              <w:rPr>
                <w:sz w:val="12"/>
                <w:szCs w:val="12"/>
              </w:rPr>
            </w:pPr>
            <w:r w:rsidRPr="00483EBE">
              <w:rPr>
                <w:sz w:val="12"/>
                <w:szCs w:val="12"/>
              </w:rPr>
              <w:t>$6,280</w:t>
            </w:r>
          </w:p>
        </w:tc>
        <w:tc>
          <w:tcPr>
            <w:tcW w:w="0" w:type="auto"/>
            <w:tcBorders>
              <w:top w:val="nil"/>
              <w:left w:val="nil"/>
              <w:bottom w:val="single" w:sz="4" w:space="0" w:color="auto"/>
              <w:right w:val="single" w:sz="4" w:space="0" w:color="auto"/>
            </w:tcBorders>
            <w:shd w:val="clear" w:color="auto" w:fill="auto"/>
            <w:vAlign w:val="center"/>
            <w:hideMark/>
          </w:tcPr>
          <w:p w14:paraId="2AD6A72A" w14:textId="77777777" w:rsidR="00572995" w:rsidRPr="00483EBE" w:rsidRDefault="00572995" w:rsidP="00E8324D">
            <w:pPr>
              <w:pStyle w:val="Tablas"/>
              <w:rPr>
                <w:sz w:val="12"/>
                <w:szCs w:val="12"/>
              </w:rPr>
            </w:pPr>
            <w:r w:rsidRPr="00483EBE">
              <w:rPr>
                <w:sz w:val="12"/>
                <w:szCs w:val="12"/>
              </w:rPr>
              <w:t>$523</w:t>
            </w:r>
          </w:p>
        </w:tc>
        <w:tc>
          <w:tcPr>
            <w:tcW w:w="0" w:type="auto"/>
            <w:tcBorders>
              <w:top w:val="nil"/>
              <w:left w:val="nil"/>
              <w:bottom w:val="single" w:sz="4" w:space="0" w:color="auto"/>
              <w:right w:val="single" w:sz="4" w:space="0" w:color="auto"/>
            </w:tcBorders>
            <w:shd w:val="clear" w:color="auto" w:fill="auto"/>
            <w:vAlign w:val="center"/>
            <w:hideMark/>
          </w:tcPr>
          <w:p w14:paraId="07D7B3D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91B718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DE74B9"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6D30B7A5" w14:textId="77777777" w:rsidR="00572995" w:rsidRPr="00483EBE" w:rsidRDefault="00572995" w:rsidP="00E8324D">
            <w:pPr>
              <w:pStyle w:val="Tablas"/>
              <w:rPr>
                <w:sz w:val="12"/>
                <w:szCs w:val="12"/>
              </w:rPr>
            </w:pPr>
            <w:r w:rsidRPr="00483EBE">
              <w:rPr>
                <w:sz w:val="12"/>
                <w:szCs w:val="12"/>
              </w:rPr>
              <w:t xml:space="preserve">3,208 </w:t>
            </w:r>
          </w:p>
        </w:tc>
        <w:tc>
          <w:tcPr>
            <w:tcW w:w="0" w:type="auto"/>
            <w:tcBorders>
              <w:top w:val="nil"/>
              <w:left w:val="nil"/>
              <w:bottom w:val="single" w:sz="4" w:space="0" w:color="auto"/>
              <w:right w:val="single" w:sz="4" w:space="0" w:color="auto"/>
            </w:tcBorders>
            <w:shd w:val="clear" w:color="auto" w:fill="auto"/>
            <w:vAlign w:val="center"/>
            <w:hideMark/>
          </w:tcPr>
          <w:p w14:paraId="01021800" w14:textId="77777777" w:rsidR="00572995" w:rsidRPr="00483EBE" w:rsidRDefault="00572995" w:rsidP="00E8324D">
            <w:pPr>
              <w:pStyle w:val="Tablas"/>
              <w:rPr>
                <w:sz w:val="12"/>
                <w:szCs w:val="12"/>
              </w:rPr>
            </w:pPr>
            <w:r w:rsidRPr="00483EBE">
              <w:rPr>
                <w:sz w:val="12"/>
                <w:szCs w:val="12"/>
              </w:rPr>
              <w:t>$23,960,695</w:t>
            </w:r>
          </w:p>
        </w:tc>
        <w:tc>
          <w:tcPr>
            <w:tcW w:w="0" w:type="auto"/>
            <w:tcBorders>
              <w:top w:val="nil"/>
              <w:left w:val="nil"/>
              <w:bottom w:val="single" w:sz="4" w:space="0" w:color="auto"/>
              <w:right w:val="single" w:sz="4" w:space="0" w:color="auto"/>
            </w:tcBorders>
            <w:shd w:val="clear" w:color="auto" w:fill="auto"/>
            <w:vAlign w:val="center"/>
            <w:hideMark/>
          </w:tcPr>
          <w:p w14:paraId="485F7092" w14:textId="77777777" w:rsidR="00572995" w:rsidRPr="00483EBE" w:rsidRDefault="00572995" w:rsidP="00E8324D">
            <w:pPr>
              <w:pStyle w:val="Tablas"/>
              <w:rPr>
                <w:sz w:val="12"/>
                <w:szCs w:val="12"/>
              </w:rPr>
            </w:pPr>
            <w:r w:rsidRPr="00483EBE">
              <w:rPr>
                <w:sz w:val="12"/>
                <w:szCs w:val="12"/>
              </w:rPr>
              <w:t>$7,469</w:t>
            </w:r>
          </w:p>
        </w:tc>
        <w:tc>
          <w:tcPr>
            <w:tcW w:w="0" w:type="auto"/>
            <w:tcBorders>
              <w:top w:val="nil"/>
              <w:left w:val="nil"/>
              <w:bottom w:val="single" w:sz="4" w:space="0" w:color="auto"/>
              <w:right w:val="single" w:sz="4" w:space="0" w:color="auto"/>
            </w:tcBorders>
            <w:shd w:val="clear" w:color="auto" w:fill="auto"/>
            <w:vAlign w:val="center"/>
            <w:hideMark/>
          </w:tcPr>
          <w:p w14:paraId="106E7034" w14:textId="77777777" w:rsidR="00572995" w:rsidRPr="00483EBE" w:rsidRDefault="00572995" w:rsidP="00E8324D">
            <w:pPr>
              <w:pStyle w:val="Tablas"/>
              <w:rPr>
                <w:sz w:val="12"/>
                <w:szCs w:val="12"/>
              </w:rPr>
            </w:pPr>
            <w:r w:rsidRPr="00483EBE">
              <w:rPr>
                <w:sz w:val="12"/>
                <w:szCs w:val="12"/>
              </w:rPr>
              <w:t>$622</w:t>
            </w:r>
          </w:p>
        </w:tc>
        <w:tc>
          <w:tcPr>
            <w:tcW w:w="0" w:type="auto"/>
            <w:tcBorders>
              <w:top w:val="nil"/>
              <w:left w:val="nil"/>
              <w:bottom w:val="single" w:sz="4" w:space="0" w:color="auto"/>
              <w:right w:val="single" w:sz="4" w:space="0" w:color="auto"/>
            </w:tcBorders>
            <w:shd w:val="clear" w:color="auto" w:fill="auto"/>
            <w:vAlign w:val="center"/>
            <w:hideMark/>
          </w:tcPr>
          <w:p w14:paraId="77D32DB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B8CBEFB" w14:textId="77777777" w:rsidR="00572995" w:rsidRPr="00483EBE" w:rsidRDefault="00572995" w:rsidP="00E8324D">
            <w:pPr>
              <w:pStyle w:val="Tablas"/>
              <w:rPr>
                <w:sz w:val="12"/>
                <w:szCs w:val="12"/>
              </w:rPr>
            </w:pPr>
            <w:r w:rsidRPr="00483EBE">
              <w:rPr>
                <w:sz w:val="12"/>
                <w:szCs w:val="12"/>
              </w:rPr>
              <w:t>SEBD</w:t>
            </w:r>
          </w:p>
        </w:tc>
      </w:tr>
      <w:tr w:rsidR="00572995" w:rsidRPr="00483EBE" w14:paraId="011C949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54A18F"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68C6B2E1" w14:textId="77777777" w:rsidR="00572995" w:rsidRPr="00483EBE" w:rsidRDefault="00572995" w:rsidP="00E8324D">
            <w:pPr>
              <w:pStyle w:val="Tablas"/>
              <w:rPr>
                <w:sz w:val="12"/>
                <w:szCs w:val="12"/>
              </w:rPr>
            </w:pPr>
            <w:r w:rsidRPr="00483EBE">
              <w:rPr>
                <w:sz w:val="12"/>
                <w:szCs w:val="12"/>
              </w:rPr>
              <w:t xml:space="preserve">3,262 </w:t>
            </w:r>
          </w:p>
        </w:tc>
        <w:tc>
          <w:tcPr>
            <w:tcW w:w="0" w:type="auto"/>
            <w:tcBorders>
              <w:top w:val="nil"/>
              <w:left w:val="nil"/>
              <w:bottom w:val="single" w:sz="4" w:space="0" w:color="auto"/>
              <w:right w:val="single" w:sz="4" w:space="0" w:color="auto"/>
            </w:tcBorders>
            <w:shd w:val="clear" w:color="auto" w:fill="auto"/>
            <w:vAlign w:val="center"/>
            <w:hideMark/>
          </w:tcPr>
          <w:p w14:paraId="29C949F7" w14:textId="77777777" w:rsidR="00572995" w:rsidRPr="00483EBE" w:rsidRDefault="00572995" w:rsidP="00E8324D">
            <w:pPr>
              <w:pStyle w:val="Tablas"/>
              <w:rPr>
                <w:sz w:val="12"/>
                <w:szCs w:val="12"/>
              </w:rPr>
            </w:pPr>
            <w:r w:rsidRPr="00483EBE">
              <w:rPr>
                <w:sz w:val="12"/>
                <w:szCs w:val="12"/>
              </w:rPr>
              <w:t>$20,468,722</w:t>
            </w:r>
          </w:p>
        </w:tc>
        <w:tc>
          <w:tcPr>
            <w:tcW w:w="0" w:type="auto"/>
            <w:tcBorders>
              <w:top w:val="nil"/>
              <w:left w:val="nil"/>
              <w:bottom w:val="single" w:sz="4" w:space="0" w:color="auto"/>
              <w:right w:val="single" w:sz="4" w:space="0" w:color="auto"/>
            </w:tcBorders>
            <w:shd w:val="clear" w:color="auto" w:fill="auto"/>
            <w:vAlign w:val="center"/>
            <w:hideMark/>
          </w:tcPr>
          <w:p w14:paraId="2A27559C" w14:textId="77777777" w:rsidR="00572995" w:rsidRPr="00483EBE" w:rsidRDefault="00572995" w:rsidP="00E8324D">
            <w:pPr>
              <w:pStyle w:val="Tablas"/>
              <w:rPr>
                <w:sz w:val="12"/>
                <w:szCs w:val="12"/>
              </w:rPr>
            </w:pPr>
            <w:r w:rsidRPr="00483EBE">
              <w:rPr>
                <w:sz w:val="12"/>
                <w:szCs w:val="12"/>
              </w:rPr>
              <w:t>$6,275</w:t>
            </w:r>
          </w:p>
        </w:tc>
        <w:tc>
          <w:tcPr>
            <w:tcW w:w="0" w:type="auto"/>
            <w:tcBorders>
              <w:top w:val="nil"/>
              <w:left w:val="nil"/>
              <w:bottom w:val="single" w:sz="4" w:space="0" w:color="auto"/>
              <w:right w:val="single" w:sz="4" w:space="0" w:color="auto"/>
            </w:tcBorders>
            <w:shd w:val="clear" w:color="auto" w:fill="auto"/>
            <w:vAlign w:val="center"/>
            <w:hideMark/>
          </w:tcPr>
          <w:p w14:paraId="420C0316" w14:textId="77777777" w:rsidR="00572995" w:rsidRPr="00483EBE" w:rsidRDefault="00572995" w:rsidP="00E8324D">
            <w:pPr>
              <w:pStyle w:val="Tablas"/>
              <w:rPr>
                <w:sz w:val="12"/>
                <w:szCs w:val="12"/>
              </w:rPr>
            </w:pPr>
            <w:r w:rsidRPr="00483EBE">
              <w:rPr>
                <w:sz w:val="12"/>
                <w:szCs w:val="12"/>
              </w:rPr>
              <w:t>$523</w:t>
            </w:r>
          </w:p>
        </w:tc>
        <w:tc>
          <w:tcPr>
            <w:tcW w:w="0" w:type="auto"/>
            <w:tcBorders>
              <w:top w:val="nil"/>
              <w:left w:val="nil"/>
              <w:bottom w:val="single" w:sz="4" w:space="0" w:color="auto"/>
              <w:right w:val="single" w:sz="4" w:space="0" w:color="auto"/>
            </w:tcBorders>
            <w:shd w:val="clear" w:color="auto" w:fill="auto"/>
            <w:vAlign w:val="center"/>
            <w:hideMark/>
          </w:tcPr>
          <w:p w14:paraId="61DF2C6C"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9B8055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3B2FB0F"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7456375A" w14:textId="77777777" w:rsidR="00572995" w:rsidRPr="00483EBE" w:rsidRDefault="00572995" w:rsidP="00E8324D">
            <w:pPr>
              <w:pStyle w:val="Tablas"/>
              <w:rPr>
                <w:sz w:val="12"/>
                <w:szCs w:val="12"/>
              </w:rPr>
            </w:pPr>
            <w:r w:rsidRPr="00483EBE">
              <w:rPr>
                <w:sz w:val="12"/>
                <w:szCs w:val="12"/>
              </w:rPr>
              <w:t xml:space="preserve">3,123 </w:t>
            </w:r>
          </w:p>
        </w:tc>
        <w:tc>
          <w:tcPr>
            <w:tcW w:w="0" w:type="auto"/>
            <w:tcBorders>
              <w:top w:val="nil"/>
              <w:left w:val="nil"/>
              <w:bottom w:val="single" w:sz="4" w:space="0" w:color="auto"/>
              <w:right w:val="single" w:sz="4" w:space="0" w:color="auto"/>
            </w:tcBorders>
            <w:shd w:val="clear" w:color="auto" w:fill="auto"/>
            <w:vAlign w:val="center"/>
            <w:hideMark/>
          </w:tcPr>
          <w:p w14:paraId="2A966DC9" w14:textId="77777777" w:rsidR="00572995" w:rsidRPr="00483EBE" w:rsidRDefault="00572995" w:rsidP="00E8324D">
            <w:pPr>
              <w:pStyle w:val="Tablas"/>
              <w:rPr>
                <w:sz w:val="12"/>
                <w:szCs w:val="12"/>
              </w:rPr>
            </w:pPr>
            <w:r w:rsidRPr="00483EBE">
              <w:rPr>
                <w:sz w:val="12"/>
                <w:szCs w:val="12"/>
              </w:rPr>
              <w:t>$22,269,203</w:t>
            </w:r>
          </w:p>
        </w:tc>
        <w:tc>
          <w:tcPr>
            <w:tcW w:w="0" w:type="auto"/>
            <w:tcBorders>
              <w:top w:val="nil"/>
              <w:left w:val="nil"/>
              <w:bottom w:val="single" w:sz="4" w:space="0" w:color="auto"/>
              <w:right w:val="single" w:sz="4" w:space="0" w:color="auto"/>
            </w:tcBorders>
            <w:shd w:val="clear" w:color="auto" w:fill="auto"/>
            <w:vAlign w:val="center"/>
            <w:hideMark/>
          </w:tcPr>
          <w:p w14:paraId="67FE75AF" w14:textId="77777777" w:rsidR="00572995" w:rsidRPr="00483EBE" w:rsidRDefault="00572995" w:rsidP="00E8324D">
            <w:pPr>
              <w:pStyle w:val="Tablas"/>
              <w:rPr>
                <w:sz w:val="12"/>
                <w:szCs w:val="12"/>
              </w:rPr>
            </w:pPr>
            <w:r w:rsidRPr="00483EBE">
              <w:rPr>
                <w:sz w:val="12"/>
                <w:szCs w:val="12"/>
              </w:rPr>
              <w:t>$7,131</w:t>
            </w:r>
          </w:p>
        </w:tc>
        <w:tc>
          <w:tcPr>
            <w:tcW w:w="0" w:type="auto"/>
            <w:tcBorders>
              <w:top w:val="nil"/>
              <w:left w:val="nil"/>
              <w:bottom w:val="single" w:sz="4" w:space="0" w:color="auto"/>
              <w:right w:val="single" w:sz="4" w:space="0" w:color="auto"/>
            </w:tcBorders>
            <w:shd w:val="clear" w:color="auto" w:fill="auto"/>
            <w:vAlign w:val="center"/>
            <w:hideMark/>
          </w:tcPr>
          <w:p w14:paraId="27F5A739" w14:textId="77777777" w:rsidR="00572995" w:rsidRPr="00483EBE" w:rsidRDefault="00572995" w:rsidP="00E8324D">
            <w:pPr>
              <w:pStyle w:val="Tablas"/>
              <w:rPr>
                <w:sz w:val="12"/>
                <w:szCs w:val="12"/>
              </w:rPr>
            </w:pPr>
            <w:r w:rsidRPr="00483EBE">
              <w:rPr>
                <w:sz w:val="12"/>
                <w:szCs w:val="12"/>
              </w:rPr>
              <w:t>$594</w:t>
            </w:r>
          </w:p>
        </w:tc>
        <w:tc>
          <w:tcPr>
            <w:tcW w:w="0" w:type="auto"/>
            <w:tcBorders>
              <w:top w:val="nil"/>
              <w:left w:val="nil"/>
              <w:bottom w:val="single" w:sz="4" w:space="0" w:color="auto"/>
              <w:right w:val="single" w:sz="4" w:space="0" w:color="auto"/>
            </w:tcBorders>
            <w:shd w:val="clear" w:color="auto" w:fill="auto"/>
            <w:vAlign w:val="center"/>
            <w:hideMark/>
          </w:tcPr>
          <w:p w14:paraId="161CF7B9"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05828A7" w14:textId="77777777" w:rsidR="00572995" w:rsidRPr="00483EBE" w:rsidRDefault="00572995" w:rsidP="00E8324D">
            <w:pPr>
              <w:pStyle w:val="Tablas"/>
              <w:rPr>
                <w:sz w:val="12"/>
                <w:szCs w:val="12"/>
              </w:rPr>
            </w:pPr>
            <w:r w:rsidRPr="00483EBE">
              <w:rPr>
                <w:sz w:val="12"/>
                <w:szCs w:val="12"/>
              </w:rPr>
              <w:t>SEBD</w:t>
            </w:r>
          </w:p>
        </w:tc>
      </w:tr>
      <w:tr w:rsidR="00572995" w:rsidRPr="00483EBE" w14:paraId="67EBC5E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7C48EE"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7B06AC86" w14:textId="77777777" w:rsidR="00572995" w:rsidRPr="00483EBE" w:rsidRDefault="00572995" w:rsidP="00E8324D">
            <w:pPr>
              <w:pStyle w:val="Tablas"/>
              <w:rPr>
                <w:sz w:val="12"/>
                <w:szCs w:val="12"/>
              </w:rPr>
            </w:pPr>
            <w:r w:rsidRPr="00483EBE">
              <w:rPr>
                <w:sz w:val="12"/>
                <w:szCs w:val="12"/>
              </w:rPr>
              <w:t xml:space="preserve">3,093 </w:t>
            </w:r>
          </w:p>
        </w:tc>
        <w:tc>
          <w:tcPr>
            <w:tcW w:w="0" w:type="auto"/>
            <w:tcBorders>
              <w:top w:val="nil"/>
              <w:left w:val="nil"/>
              <w:bottom w:val="single" w:sz="4" w:space="0" w:color="auto"/>
              <w:right w:val="single" w:sz="4" w:space="0" w:color="auto"/>
            </w:tcBorders>
            <w:shd w:val="clear" w:color="auto" w:fill="auto"/>
            <w:vAlign w:val="center"/>
            <w:hideMark/>
          </w:tcPr>
          <w:p w14:paraId="4A1582B8" w14:textId="77777777" w:rsidR="00572995" w:rsidRPr="00483EBE" w:rsidRDefault="00572995" w:rsidP="00E8324D">
            <w:pPr>
              <w:pStyle w:val="Tablas"/>
              <w:rPr>
                <w:sz w:val="12"/>
                <w:szCs w:val="12"/>
              </w:rPr>
            </w:pPr>
            <w:r w:rsidRPr="00483EBE">
              <w:rPr>
                <w:sz w:val="12"/>
                <w:szCs w:val="12"/>
              </w:rPr>
              <w:t>$18,621,133</w:t>
            </w:r>
          </w:p>
        </w:tc>
        <w:tc>
          <w:tcPr>
            <w:tcW w:w="0" w:type="auto"/>
            <w:tcBorders>
              <w:top w:val="nil"/>
              <w:left w:val="nil"/>
              <w:bottom w:val="single" w:sz="4" w:space="0" w:color="auto"/>
              <w:right w:val="single" w:sz="4" w:space="0" w:color="auto"/>
            </w:tcBorders>
            <w:shd w:val="clear" w:color="auto" w:fill="auto"/>
            <w:vAlign w:val="center"/>
            <w:hideMark/>
          </w:tcPr>
          <w:p w14:paraId="3644B85E" w14:textId="77777777" w:rsidR="00572995" w:rsidRPr="00483EBE" w:rsidRDefault="00572995" w:rsidP="00E8324D">
            <w:pPr>
              <w:pStyle w:val="Tablas"/>
              <w:rPr>
                <w:sz w:val="12"/>
                <w:szCs w:val="12"/>
              </w:rPr>
            </w:pPr>
            <w:r w:rsidRPr="00483EBE">
              <w:rPr>
                <w:sz w:val="12"/>
                <w:szCs w:val="12"/>
              </w:rPr>
              <w:t>$6,020</w:t>
            </w:r>
          </w:p>
        </w:tc>
        <w:tc>
          <w:tcPr>
            <w:tcW w:w="0" w:type="auto"/>
            <w:tcBorders>
              <w:top w:val="nil"/>
              <w:left w:val="nil"/>
              <w:bottom w:val="single" w:sz="4" w:space="0" w:color="auto"/>
              <w:right w:val="single" w:sz="4" w:space="0" w:color="auto"/>
            </w:tcBorders>
            <w:shd w:val="clear" w:color="auto" w:fill="auto"/>
            <w:vAlign w:val="center"/>
            <w:hideMark/>
          </w:tcPr>
          <w:p w14:paraId="0561BABB" w14:textId="77777777" w:rsidR="00572995" w:rsidRPr="00483EBE" w:rsidRDefault="00572995" w:rsidP="00E8324D">
            <w:pPr>
              <w:pStyle w:val="Tablas"/>
              <w:rPr>
                <w:sz w:val="12"/>
                <w:szCs w:val="12"/>
              </w:rPr>
            </w:pPr>
            <w:r w:rsidRPr="00483EBE">
              <w:rPr>
                <w:sz w:val="12"/>
                <w:szCs w:val="12"/>
              </w:rPr>
              <w:t>$502</w:t>
            </w:r>
          </w:p>
        </w:tc>
        <w:tc>
          <w:tcPr>
            <w:tcW w:w="0" w:type="auto"/>
            <w:tcBorders>
              <w:top w:val="nil"/>
              <w:left w:val="nil"/>
              <w:bottom w:val="single" w:sz="4" w:space="0" w:color="auto"/>
              <w:right w:val="single" w:sz="4" w:space="0" w:color="auto"/>
            </w:tcBorders>
            <w:shd w:val="clear" w:color="auto" w:fill="auto"/>
            <w:vAlign w:val="center"/>
            <w:hideMark/>
          </w:tcPr>
          <w:p w14:paraId="11453D7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85424D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F1757A7"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D8A76EF" w14:textId="77777777" w:rsidR="00572995" w:rsidRPr="00483EBE" w:rsidRDefault="00572995" w:rsidP="00E8324D">
            <w:pPr>
              <w:pStyle w:val="Tablas"/>
              <w:rPr>
                <w:sz w:val="12"/>
                <w:szCs w:val="12"/>
              </w:rPr>
            </w:pPr>
            <w:r w:rsidRPr="00483EBE">
              <w:rPr>
                <w:sz w:val="12"/>
                <w:szCs w:val="12"/>
              </w:rPr>
              <w:t xml:space="preserve">2,446 </w:t>
            </w:r>
          </w:p>
        </w:tc>
        <w:tc>
          <w:tcPr>
            <w:tcW w:w="0" w:type="auto"/>
            <w:tcBorders>
              <w:top w:val="nil"/>
              <w:left w:val="nil"/>
              <w:bottom w:val="single" w:sz="4" w:space="0" w:color="auto"/>
              <w:right w:val="single" w:sz="4" w:space="0" w:color="auto"/>
            </w:tcBorders>
            <w:shd w:val="clear" w:color="auto" w:fill="auto"/>
            <w:vAlign w:val="center"/>
            <w:hideMark/>
          </w:tcPr>
          <w:p w14:paraId="4401A3CA" w14:textId="77777777" w:rsidR="00572995" w:rsidRPr="00483EBE" w:rsidRDefault="00572995" w:rsidP="00E8324D">
            <w:pPr>
              <w:pStyle w:val="Tablas"/>
              <w:rPr>
                <w:sz w:val="12"/>
                <w:szCs w:val="12"/>
              </w:rPr>
            </w:pPr>
            <w:r w:rsidRPr="00483EBE">
              <w:rPr>
                <w:sz w:val="12"/>
                <w:szCs w:val="12"/>
              </w:rPr>
              <w:t>$17,153,515</w:t>
            </w:r>
          </w:p>
        </w:tc>
        <w:tc>
          <w:tcPr>
            <w:tcW w:w="0" w:type="auto"/>
            <w:tcBorders>
              <w:top w:val="nil"/>
              <w:left w:val="nil"/>
              <w:bottom w:val="single" w:sz="4" w:space="0" w:color="auto"/>
              <w:right w:val="single" w:sz="4" w:space="0" w:color="auto"/>
            </w:tcBorders>
            <w:shd w:val="clear" w:color="auto" w:fill="auto"/>
            <w:vAlign w:val="center"/>
            <w:hideMark/>
          </w:tcPr>
          <w:p w14:paraId="0DF544B1" w14:textId="77777777" w:rsidR="00572995" w:rsidRPr="00483EBE" w:rsidRDefault="00572995" w:rsidP="00E8324D">
            <w:pPr>
              <w:pStyle w:val="Tablas"/>
              <w:rPr>
                <w:sz w:val="12"/>
                <w:szCs w:val="12"/>
              </w:rPr>
            </w:pPr>
            <w:r w:rsidRPr="00483EBE">
              <w:rPr>
                <w:sz w:val="12"/>
                <w:szCs w:val="12"/>
              </w:rPr>
              <w:t>$7,013</w:t>
            </w:r>
          </w:p>
        </w:tc>
        <w:tc>
          <w:tcPr>
            <w:tcW w:w="0" w:type="auto"/>
            <w:tcBorders>
              <w:top w:val="nil"/>
              <w:left w:val="nil"/>
              <w:bottom w:val="single" w:sz="4" w:space="0" w:color="auto"/>
              <w:right w:val="single" w:sz="4" w:space="0" w:color="auto"/>
            </w:tcBorders>
            <w:shd w:val="clear" w:color="auto" w:fill="auto"/>
            <w:vAlign w:val="center"/>
            <w:hideMark/>
          </w:tcPr>
          <w:p w14:paraId="1558F8A5" w14:textId="77777777" w:rsidR="00572995" w:rsidRPr="00483EBE" w:rsidRDefault="00572995" w:rsidP="00E8324D">
            <w:pPr>
              <w:pStyle w:val="Tablas"/>
              <w:rPr>
                <w:sz w:val="12"/>
                <w:szCs w:val="12"/>
              </w:rPr>
            </w:pPr>
            <w:r w:rsidRPr="00483EBE">
              <w:rPr>
                <w:sz w:val="12"/>
                <w:szCs w:val="12"/>
              </w:rPr>
              <w:t>$584</w:t>
            </w:r>
          </w:p>
        </w:tc>
        <w:tc>
          <w:tcPr>
            <w:tcW w:w="0" w:type="auto"/>
            <w:tcBorders>
              <w:top w:val="nil"/>
              <w:left w:val="nil"/>
              <w:bottom w:val="single" w:sz="4" w:space="0" w:color="auto"/>
              <w:right w:val="single" w:sz="4" w:space="0" w:color="auto"/>
            </w:tcBorders>
            <w:shd w:val="clear" w:color="auto" w:fill="auto"/>
            <w:vAlign w:val="center"/>
            <w:hideMark/>
          </w:tcPr>
          <w:p w14:paraId="11478A37"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08E2345" w14:textId="77777777" w:rsidR="00572995" w:rsidRPr="00483EBE" w:rsidRDefault="00572995" w:rsidP="00E8324D">
            <w:pPr>
              <w:pStyle w:val="Tablas"/>
              <w:rPr>
                <w:sz w:val="12"/>
                <w:szCs w:val="12"/>
              </w:rPr>
            </w:pPr>
            <w:r w:rsidRPr="00483EBE">
              <w:rPr>
                <w:sz w:val="12"/>
                <w:szCs w:val="12"/>
              </w:rPr>
              <w:t>SEBD</w:t>
            </w:r>
          </w:p>
        </w:tc>
      </w:tr>
      <w:tr w:rsidR="00572995" w:rsidRPr="00483EBE" w14:paraId="34FE96F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B137BAB"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57C2B23" w14:textId="77777777" w:rsidR="00572995" w:rsidRPr="00483EBE" w:rsidRDefault="00572995" w:rsidP="00E8324D">
            <w:pPr>
              <w:pStyle w:val="Tablas"/>
              <w:rPr>
                <w:sz w:val="12"/>
                <w:szCs w:val="12"/>
              </w:rPr>
            </w:pPr>
            <w:r w:rsidRPr="00483EBE">
              <w:rPr>
                <w:sz w:val="12"/>
                <w:szCs w:val="12"/>
              </w:rPr>
              <w:t xml:space="preserve">2,849 </w:t>
            </w:r>
          </w:p>
        </w:tc>
        <w:tc>
          <w:tcPr>
            <w:tcW w:w="0" w:type="auto"/>
            <w:tcBorders>
              <w:top w:val="nil"/>
              <w:left w:val="nil"/>
              <w:bottom w:val="single" w:sz="4" w:space="0" w:color="auto"/>
              <w:right w:val="single" w:sz="4" w:space="0" w:color="auto"/>
            </w:tcBorders>
            <w:shd w:val="clear" w:color="auto" w:fill="auto"/>
            <w:vAlign w:val="center"/>
            <w:hideMark/>
          </w:tcPr>
          <w:p w14:paraId="578F934A" w14:textId="77777777" w:rsidR="00572995" w:rsidRPr="00483EBE" w:rsidRDefault="00572995" w:rsidP="00E8324D">
            <w:pPr>
              <w:pStyle w:val="Tablas"/>
              <w:rPr>
                <w:sz w:val="12"/>
                <w:szCs w:val="12"/>
              </w:rPr>
            </w:pPr>
            <w:r w:rsidRPr="00483EBE">
              <w:rPr>
                <w:sz w:val="12"/>
                <w:szCs w:val="12"/>
              </w:rPr>
              <w:t>$17,449,401</w:t>
            </w:r>
          </w:p>
        </w:tc>
        <w:tc>
          <w:tcPr>
            <w:tcW w:w="0" w:type="auto"/>
            <w:tcBorders>
              <w:top w:val="nil"/>
              <w:left w:val="nil"/>
              <w:bottom w:val="single" w:sz="4" w:space="0" w:color="auto"/>
              <w:right w:val="single" w:sz="4" w:space="0" w:color="auto"/>
            </w:tcBorders>
            <w:shd w:val="clear" w:color="auto" w:fill="auto"/>
            <w:vAlign w:val="center"/>
            <w:hideMark/>
          </w:tcPr>
          <w:p w14:paraId="3A1252DA" w14:textId="77777777" w:rsidR="00572995" w:rsidRPr="00483EBE" w:rsidRDefault="00572995" w:rsidP="00E8324D">
            <w:pPr>
              <w:pStyle w:val="Tablas"/>
              <w:rPr>
                <w:sz w:val="12"/>
                <w:szCs w:val="12"/>
              </w:rPr>
            </w:pPr>
            <w:r w:rsidRPr="00483EBE">
              <w:rPr>
                <w:sz w:val="12"/>
                <w:szCs w:val="12"/>
              </w:rPr>
              <w:t>$6,125</w:t>
            </w:r>
          </w:p>
        </w:tc>
        <w:tc>
          <w:tcPr>
            <w:tcW w:w="0" w:type="auto"/>
            <w:tcBorders>
              <w:top w:val="nil"/>
              <w:left w:val="nil"/>
              <w:bottom w:val="single" w:sz="4" w:space="0" w:color="auto"/>
              <w:right w:val="single" w:sz="4" w:space="0" w:color="auto"/>
            </w:tcBorders>
            <w:shd w:val="clear" w:color="auto" w:fill="auto"/>
            <w:vAlign w:val="center"/>
            <w:hideMark/>
          </w:tcPr>
          <w:p w14:paraId="6C014E48" w14:textId="77777777" w:rsidR="00572995" w:rsidRPr="00483EBE" w:rsidRDefault="00572995" w:rsidP="00E8324D">
            <w:pPr>
              <w:pStyle w:val="Tablas"/>
              <w:rPr>
                <w:sz w:val="12"/>
                <w:szCs w:val="12"/>
              </w:rPr>
            </w:pPr>
            <w:r w:rsidRPr="00483EBE">
              <w:rPr>
                <w:sz w:val="12"/>
                <w:szCs w:val="12"/>
              </w:rPr>
              <w:t>$510</w:t>
            </w:r>
          </w:p>
        </w:tc>
        <w:tc>
          <w:tcPr>
            <w:tcW w:w="0" w:type="auto"/>
            <w:tcBorders>
              <w:top w:val="nil"/>
              <w:left w:val="nil"/>
              <w:bottom w:val="single" w:sz="4" w:space="0" w:color="auto"/>
              <w:right w:val="single" w:sz="4" w:space="0" w:color="auto"/>
            </w:tcBorders>
            <w:shd w:val="clear" w:color="auto" w:fill="auto"/>
            <w:vAlign w:val="center"/>
            <w:hideMark/>
          </w:tcPr>
          <w:p w14:paraId="09251F3D"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02C1D0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62ACBF"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4F8A0A81" w14:textId="77777777" w:rsidR="00572995" w:rsidRPr="00483EBE" w:rsidRDefault="00572995" w:rsidP="00E8324D">
            <w:pPr>
              <w:pStyle w:val="Tablas"/>
              <w:rPr>
                <w:sz w:val="12"/>
                <w:szCs w:val="12"/>
              </w:rPr>
            </w:pPr>
            <w:r w:rsidRPr="00483EBE">
              <w:rPr>
                <w:sz w:val="12"/>
                <w:szCs w:val="12"/>
              </w:rPr>
              <w:t xml:space="preserve">2,115 </w:t>
            </w:r>
          </w:p>
        </w:tc>
        <w:tc>
          <w:tcPr>
            <w:tcW w:w="0" w:type="auto"/>
            <w:tcBorders>
              <w:top w:val="nil"/>
              <w:left w:val="nil"/>
              <w:bottom w:val="single" w:sz="4" w:space="0" w:color="auto"/>
              <w:right w:val="single" w:sz="4" w:space="0" w:color="auto"/>
            </w:tcBorders>
            <w:shd w:val="clear" w:color="auto" w:fill="auto"/>
            <w:vAlign w:val="center"/>
            <w:hideMark/>
          </w:tcPr>
          <w:p w14:paraId="7DC1DF03" w14:textId="77777777" w:rsidR="00572995" w:rsidRPr="00483EBE" w:rsidRDefault="00572995" w:rsidP="00E8324D">
            <w:pPr>
              <w:pStyle w:val="Tablas"/>
              <w:rPr>
                <w:sz w:val="12"/>
                <w:szCs w:val="12"/>
              </w:rPr>
            </w:pPr>
            <w:r w:rsidRPr="00483EBE">
              <w:rPr>
                <w:sz w:val="12"/>
                <w:szCs w:val="12"/>
              </w:rPr>
              <w:t>$14,486,328</w:t>
            </w:r>
          </w:p>
        </w:tc>
        <w:tc>
          <w:tcPr>
            <w:tcW w:w="0" w:type="auto"/>
            <w:tcBorders>
              <w:top w:val="nil"/>
              <w:left w:val="nil"/>
              <w:bottom w:val="single" w:sz="4" w:space="0" w:color="auto"/>
              <w:right w:val="single" w:sz="4" w:space="0" w:color="auto"/>
            </w:tcBorders>
            <w:shd w:val="clear" w:color="auto" w:fill="auto"/>
            <w:vAlign w:val="center"/>
            <w:hideMark/>
          </w:tcPr>
          <w:p w14:paraId="1195625D" w14:textId="77777777" w:rsidR="00572995" w:rsidRPr="00483EBE" w:rsidRDefault="00572995" w:rsidP="00E8324D">
            <w:pPr>
              <w:pStyle w:val="Tablas"/>
              <w:rPr>
                <w:sz w:val="12"/>
                <w:szCs w:val="12"/>
              </w:rPr>
            </w:pPr>
            <w:r w:rsidRPr="00483EBE">
              <w:rPr>
                <w:sz w:val="12"/>
                <w:szCs w:val="12"/>
              </w:rPr>
              <w:t>$6,849</w:t>
            </w:r>
          </w:p>
        </w:tc>
        <w:tc>
          <w:tcPr>
            <w:tcW w:w="0" w:type="auto"/>
            <w:tcBorders>
              <w:top w:val="nil"/>
              <w:left w:val="nil"/>
              <w:bottom w:val="single" w:sz="4" w:space="0" w:color="auto"/>
              <w:right w:val="single" w:sz="4" w:space="0" w:color="auto"/>
            </w:tcBorders>
            <w:shd w:val="clear" w:color="auto" w:fill="auto"/>
            <w:vAlign w:val="center"/>
            <w:hideMark/>
          </w:tcPr>
          <w:p w14:paraId="2AEB4F65" w14:textId="77777777" w:rsidR="00572995" w:rsidRPr="00483EBE" w:rsidRDefault="00572995" w:rsidP="00E8324D">
            <w:pPr>
              <w:pStyle w:val="Tablas"/>
              <w:rPr>
                <w:sz w:val="12"/>
                <w:szCs w:val="12"/>
              </w:rPr>
            </w:pPr>
            <w:r w:rsidRPr="00483EBE">
              <w:rPr>
                <w:sz w:val="12"/>
                <w:szCs w:val="12"/>
              </w:rPr>
              <w:t>$571</w:t>
            </w:r>
          </w:p>
        </w:tc>
        <w:tc>
          <w:tcPr>
            <w:tcW w:w="0" w:type="auto"/>
            <w:tcBorders>
              <w:top w:val="nil"/>
              <w:left w:val="nil"/>
              <w:bottom w:val="single" w:sz="4" w:space="0" w:color="auto"/>
              <w:right w:val="single" w:sz="4" w:space="0" w:color="auto"/>
            </w:tcBorders>
            <w:shd w:val="clear" w:color="auto" w:fill="auto"/>
            <w:vAlign w:val="center"/>
            <w:hideMark/>
          </w:tcPr>
          <w:p w14:paraId="2051A5B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74F3704" w14:textId="77777777" w:rsidR="00572995" w:rsidRPr="00483EBE" w:rsidRDefault="00572995" w:rsidP="00E8324D">
            <w:pPr>
              <w:pStyle w:val="Tablas"/>
              <w:rPr>
                <w:sz w:val="12"/>
                <w:szCs w:val="12"/>
              </w:rPr>
            </w:pPr>
            <w:r w:rsidRPr="00483EBE">
              <w:rPr>
                <w:sz w:val="12"/>
                <w:szCs w:val="12"/>
              </w:rPr>
              <w:t>SEBD</w:t>
            </w:r>
          </w:p>
        </w:tc>
      </w:tr>
      <w:tr w:rsidR="00572995" w:rsidRPr="00483EBE" w14:paraId="2FE869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5F2DED9"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15BDF21" w14:textId="77777777" w:rsidR="00572995" w:rsidRPr="00483EBE" w:rsidRDefault="00572995" w:rsidP="00E8324D">
            <w:pPr>
              <w:pStyle w:val="Tablas"/>
              <w:rPr>
                <w:sz w:val="12"/>
                <w:szCs w:val="12"/>
              </w:rPr>
            </w:pPr>
            <w:r w:rsidRPr="00483EBE">
              <w:rPr>
                <w:sz w:val="12"/>
                <w:szCs w:val="12"/>
              </w:rPr>
              <w:t xml:space="preserve">2,633 </w:t>
            </w:r>
          </w:p>
        </w:tc>
        <w:tc>
          <w:tcPr>
            <w:tcW w:w="0" w:type="auto"/>
            <w:tcBorders>
              <w:top w:val="nil"/>
              <w:left w:val="nil"/>
              <w:bottom w:val="single" w:sz="4" w:space="0" w:color="auto"/>
              <w:right w:val="single" w:sz="4" w:space="0" w:color="auto"/>
            </w:tcBorders>
            <w:shd w:val="clear" w:color="auto" w:fill="auto"/>
            <w:vAlign w:val="center"/>
            <w:hideMark/>
          </w:tcPr>
          <w:p w14:paraId="6C8BECF2" w14:textId="77777777" w:rsidR="00572995" w:rsidRPr="00483EBE" w:rsidRDefault="00572995" w:rsidP="00E8324D">
            <w:pPr>
              <w:pStyle w:val="Tablas"/>
              <w:rPr>
                <w:sz w:val="12"/>
                <w:szCs w:val="12"/>
              </w:rPr>
            </w:pPr>
            <w:r w:rsidRPr="00483EBE">
              <w:rPr>
                <w:sz w:val="12"/>
                <w:szCs w:val="12"/>
              </w:rPr>
              <w:t>$15,690,655</w:t>
            </w:r>
          </w:p>
        </w:tc>
        <w:tc>
          <w:tcPr>
            <w:tcW w:w="0" w:type="auto"/>
            <w:tcBorders>
              <w:top w:val="nil"/>
              <w:left w:val="nil"/>
              <w:bottom w:val="single" w:sz="4" w:space="0" w:color="auto"/>
              <w:right w:val="single" w:sz="4" w:space="0" w:color="auto"/>
            </w:tcBorders>
            <w:shd w:val="clear" w:color="auto" w:fill="auto"/>
            <w:vAlign w:val="center"/>
            <w:hideMark/>
          </w:tcPr>
          <w:p w14:paraId="4F0DF8C6" w14:textId="77777777" w:rsidR="00572995" w:rsidRPr="00483EBE" w:rsidRDefault="00572995" w:rsidP="00E8324D">
            <w:pPr>
              <w:pStyle w:val="Tablas"/>
              <w:rPr>
                <w:sz w:val="12"/>
                <w:szCs w:val="12"/>
              </w:rPr>
            </w:pPr>
            <w:r w:rsidRPr="00483EBE">
              <w:rPr>
                <w:sz w:val="12"/>
                <w:szCs w:val="12"/>
              </w:rPr>
              <w:t>$5,959</w:t>
            </w:r>
          </w:p>
        </w:tc>
        <w:tc>
          <w:tcPr>
            <w:tcW w:w="0" w:type="auto"/>
            <w:tcBorders>
              <w:top w:val="nil"/>
              <w:left w:val="nil"/>
              <w:bottom w:val="single" w:sz="4" w:space="0" w:color="auto"/>
              <w:right w:val="single" w:sz="4" w:space="0" w:color="auto"/>
            </w:tcBorders>
            <w:shd w:val="clear" w:color="auto" w:fill="auto"/>
            <w:vAlign w:val="center"/>
            <w:hideMark/>
          </w:tcPr>
          <w:p w14:paraId="660D9D51" w14:textId="77777777" w:rsidR="00572995" w:rsidRPr="00483EBE" w:rsidRDefault="00572995" w:rsidP="00E8324D">
            <w:pPr>
              <w:pStyle w:val="Tablas"/>
              <w:rPr>
                <w:sz w:val="12"/>
                <w:szCs w:val="12"/>
              </w:rPr>
            </w:pPr>
            <w:r w:rsidRPr="00483EBE">
              <w:rPr>
                <w:sz w:val="12"/>
                <w:szCs w:val="12"/>
              </w:rPr>
              <w:t>$497</w:t>
            </w:r>
          </w:p>
        </w:tc>
        <w:tc>
          <w:tcPr>
            <w:tcW w:w="0" w:type="auto"/>
            <w:tcBorders>
              <w:top w:val="nil"/>
              <w:left w:val="nil"/>
              <w:bottom w:val="single" w:sz="4" w:space="0" w:color="auto"/>
              <w:right w:val="single" w:sz="4" w:space="0" w:color="auto"/>
            </w:tcBorders>
            <w:shd w:val="clear" w:color="auto" w:fill="auto"/>
            <w:vAlign w:val="center"/>
            <w:hideMark/>
          </w:tcPr>
          <w:p w14:paraId="3359210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D54623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48573C"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57475377" w14:textId="77777777" w:rsidR="00572995" w:rsidRPr="00483EBE" w:rsidRDefault="00572995" w:rsidP="00E8324D">
            <w:pPr>
              <w:pStyle w:val="Tablas"/>
              <w:rPr>
                <w:sz w:val="12"/>
                <w:szCs w:val="12"/>
              </w:rPr>
            </w:pPr>
            <w:r w:rsidRPr="00483EBE">
              <w:rPr>
                <w:sz w:val="12"/>
                <w:szCs w:val="12"/>
              </w:rPr>
              <w:t xml:space="preserve">1,948 </w:t>
            </w:r>
          </w:p>
        </w:tc>
        <w:tc>
          <w:tcPr>
            <w:tcW w:w="0" w:type="auto"/>
            <w:tcBorders>
              <w:top w:val="nil"/>
              <w:left w:val="nil"/>
              <w:bottom w:val="single" w:sz="4" w:space="0" w:color="auto"/>
              <w:right w:val="single" w:sz="4" w:space="0" w:color="auto"/>
            </w:tcBorders>
            <w:shd w:val="clear" w:color="auto" w:fill="auto"/>
            <w:vAlign w:val="center"/>
            <w:hideMark/>
          </w:tcPr>
          <w:p w14:paraId="6659DEAF" w14:textId="77777777" w:rsidR="00572995" w:rsidRPr="00483EBE" w:rsidRDefault="00572995" w:rsidP="00E8324D">
            <w:pPr>
              <w:pStyle w:val="Tablas"/>
              <w:rPr>
                <w:sz w:val="12"/>
                <w:szCs w:val="12"/>
              </w:rPr>
            </w:pPr>
            <w:r w:rsidRPr="00483EBE">
              <w:rPr>
                <w:sz w:val="12"/>
                <w:szCs w:val="12"/>
              </w:rPr>
              <w:t>$13,420,059</w:t>
            </w:r>
          </w:p>
        </w:tc>
        <w:tc>
          <w:tcPr>
            <w:tcW w:w="0" w:type="auto"/>
            <w:tcBorders>
              <w:top w:val="nil"/>
              <w:left w:val="nil"/>
              <w:bottom w:val="single" w:sz="4" w:space="0" w:color="auto"/>
              <w:right w:val="single" w:sz="4" w:space="0" w:color="auto"/>
            </w:tcBorders>
            <w:shd w:val="clear" w:color="auto" w:fill="auto"/>
            <w:vAlign w:val="center"/>
            <w:hideMark/>
          </w:tcPr>
          <w:p w14:paraId="20C0D357" w14:textId="77777777" w:rsidR="00572995" w:rsidRPr="00483EBE" w:rsidRDefault="00572995" w:rsidP="00E8324D">
            <w:pPr>
              <w:pStyle w:val="Tablas"/>
              <w:rPr>
                <w:sz w:val="12"/>
                <w:szCs w:val="12"/>
              </w:rPr>
            </w:pPr>
            <w:r w:rsidRPr="00483EBE">
              <w:rPr>
                <w:sz w:val="12"/>
                <w:szCs w:val="12"/>
              </w:rPr>
              <w:t>$6,889</w:t>
            </w:r>
          </w:p>
        </w:tc>
        <w:tc>
          <w:tcPr>
            <w:tcW w:w="0" w:type="auto"/>
            <w:tcBorders>
              <w:top w:val="nil"/>
              <w:left w:val="nil"/>
              <w:bottom w:val="single" w:sz="4" w:space="0" w:color="auto"/>
              <w:right w:val="single" w:sz="4" w:space="0" w:color="auto"/>
            </w:tcBorders>
            <w:shd w:val="clear" w:color="auto" w:fill="auto"/>
            <w:vAlign w:val="center"/>
            <w:hideMark/>
          </w:tcPr>
          <w:p w14:paraId="20787C6F" w14:textId="77777777" w:rsidR="00572995" w:rsidRPr="00483EBE" w:rsidRDefault="00572995" w:rsidP="00E8324D">
            <w:pPr>
              <w:pStyle w:val="Tablas"/>
              <w:rPr>
                <w:sz w:val="12"/>
                <w:szCs w:val="12"/>
              </w:rPr>
            </w:pPr>
            <w:r w:rsidRPr="00483EBE">
              <w:rPr>
                <w:sz w:val="12"/>
                <w:szCs w:val="12"/>
              </w:rPr>
              <w:t>$574</w:t>
            </w:r>
          </w:p>
        </w:tc>
        <w:tc>
          <w:tcPr>
            <w:tcW w:w="0" w:type="auto"/>
            <w:tcBorders>
              <w:top w:val="nil"/>
              <w:left w:val="nil"/>
              <w:bottom w:val="single" w:sz="4" w:space="0" w:color="auto"/>
              <w:right w:val="single" w:sz="4" w:space="0" w:color="auto"/>
            </w:tcBorders>
            <w:shd w:val="clear" w:color="auto" w:fill="auto"/>
            <w:vAlign w:val="center"/>
            <w:hideMark/>
          </w:tcPr>
          <w:p w14:paraId="494A814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4A4E10D4" w14:textId="77777777" w:rsidR="00572995" w:rsidRPr="00483EBE" w:rsidRDefault="00572995" w:rsidP="00E8324D">
            <w:pPr>
              <w:pStyle w:val="Tablas"/>
              <w:rPr>
                <w:sz w:val="12"/>
                <w:szCs w:val="12"/>
              </w:rPr>
            </w:pPr>
            <w:r w:rsidRPr="00483EBE">
              <w:rPr>
                <w:sz w:val="12"/>
                <w:szCs w:val="12"/>
              </w:rPr>
              <w:t>SEBD</w:t>
            </w:r>
          </w:p>
        </w:tc>
      </w:tr>
      <w:tr w:rsidR="00572995" w:rsidRPr="00483EBE" w14:paraId="67B8CB3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33E1C5"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1B68F90B" w14:textId="77777777" w:rsidR="00572995" w:rsidRPr="00483EBE" w:rsidRDefault="00572995" w:rsidP="00E8324D">
            <w:pPr>
              <w:pStyle w:val="Tablas"/>
              <w:rPr>
                <w:sz w:val="12"/>
                <w:szCs w:val="12"/>
              </w:rPr>
            </w:pPr>
            <w:r w:rsidRPr="00483EBE">
              <w:rPr>
                <w:sz w:val="12"/>
                <w:szCs w:val="12"/>
              </w:rPr>
              <w:t xml:space="preserve">2,468 </w:t>
            </w:r>
          </w:p>
        </w:tc>
        <w:tc>
          <w:tcPr>
            <w:tcW w:w="0" w:type="auto"/>
            <w:tcBorders>
              <w:top w:val="nil"/>
              <w:left w:val="nil"/>
              <w:bottom w:val="single" w:sz="4" w:space="0" w:color="auto"/>
              <w:right w:val="single" w:sz="4" w:space="0" w:color="auto"/>
            </w:tcBorders>
            <w:shd w:val="clear" w:color="auto" w:fill="auto"/>
            <w:vAlign w:val="center"/>
            <w:hideMark/>
          </w:tcPr>
          <w:p w14:paraId="2526D080" w14:textId="77777777" w:rsidR="00572995" w:rsidRPr="00483EBE" w:rsidRDefault="00572995" w:rsidP="00E8324D">
            <w:pPr>
              <w:pStyle w:val="Tablas"/>
              <w:rPr>
                <w:sz w:val="12"/>
                <w:szCs w:val="12"/>
              </w:rPr>
            </w:pPr>
            <w:r w:rsidRPr="00483EBE">
              <w:rPr>
                <w:sz w:val="12"/>
                <w:szCs w:val="12"/>
              </w:rPr>
              <w:t>$14,854,670</w:t>
            </w:r>
          </w:p>
        </w:tc>
        <w:tc>
          <w:tcPr>
            <w:tcW w:w="0" w:type="auto"/>
            <w:tcBorders>
              <w:top w:val="nil"/>
              <w:left w:val="nil"/>
              <w:bottom w:val="single" w:sz="4" w:space="0" w:color="auto"/>
              <w:right w:val="single" w:sz="4" w:space="0" w:color="auto"/>
            </w:tcBorders>
            <w:shd w:val="clear" w:color="auto" w:fill="auto"/>
            <w:vAlign w:val="center"/>
            <w:hideMark/>
          </w:tcPr>
          <w:p w14:paraId="5D197D23" w14:textId="77777777" w:rsidR="00572995" w:rsidRPr="00483EBE" w:rsidRDefault="00572995" w:rsidP="00E8324D">
            <w:pPr>
              <w:pStyle w:val="Tablas"/>
              <w:rPr>
                <w:sz w:val="12"/>
                <w:szCs w:val="12"/>
              </w:rPr>
            </w:pPr>
            <w:r w:rsidRPr="00483EBE">
              <w:rPr>
                <w:sz w:val="12"/>
                <w:szCs w:val="12"/>
              </w:rPr>
              <w:t>$6,019</w:t>
            </w:r>
          </w:p>
        </w:tc>
        <w:tc>
          <w:tcPr>
            <w:tcW w:w="0" w:type="auto"/>
            <w:tcBorders>
              <w:top w:val="nil"/>
              <w:left w:val="nil"/>
              <w:bottom w:val="single" w:sz="4" w:space="0" w:color="auto"/>
              <w:right w:val="single" w:sz="4" w:space="0" w:color="auto"/>
            </w:tcBorders>
            <w:shd w:val="clear" w:color="auto" w:fill="auto"/>
            <w:vAlign w:val="center"/>
            <w:hideMark/>
          </w:tcPr>
          <w:p w14:paraId="35E2A239" w14:textId="77777777" w:rsidR="00572995" w:rsidRPr="00483EBE" w:rsidRDefault="00572995" w:rsidP="00E8324D">
            <w:pPr>
              <w:pStyle w:val="Tablas"/>
              <w:rPr>
                <w:sz w:val="12"/>
                <w:szCs w:val="12"/>
              </w:rPr>
            </w:pPr>
            <w:r w:rsidRPr="00483EBE">
              <w:rPr>
                <w:sz w:val="12"/>
                <w:szCs w:val="12"/>
              </w:rPr>
              <w:t>$502</w:t>
            </w:r>
          </w:p>
        </w:tc>
        <w:tc>
          <w:tcPr>
            <w:tcW w:w="0" w:type="auto"/>
            <w:tcBorders>
              <w:top w:val="nil"/>
              <w:left w:val="nil"/>
              <w:bottom w:val="single" w:sz="4" w:space="0" w:color="auto"/>
              <w:right w:val="single" w:sz="4" w:space="0" w:color="auto"/>
            </w:tcBorders>
            <w:shd w:val="clear" w:color="auto" w:fill="auto"/>
            <w:vAlign w:val="center"/>
            <w:hideMark/>
          </w:tcPr>
          <w:p w14:paraId="52763DDF"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1D3073B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D34BC7"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530F0282" w14:textId="77777777" w:rsidR="00572995" w:rsidRPr="00483EBE" w:rsidRDefault="00572995" w:rsidP="00E8324D">
            <w:pPr>
              <w:pStyle w:val="Tablas"/>
              <w:rPr>
                <w:sz w:val="12"/>
                <w:szCs w:val="12"/>
              </w:rPr>
            </w:pPr>
            <w:r w:rsidRPr="00483EBE">
              <w:rPr>
                <w:sz w:val="12"/>
                <w:szCs w:val="12"/>
              </w:rPr>
              <w:t xml:space="preserve">1,612 </w:t>
            </w:r>
          </w:p>
        </w:tc>
        <w:tc>
          <w:tcPr>
            <w:tcW w:w="0" w:type="auto"/>
            <w:tcBorders>
              <w:top w:val="nil"/>
              <w:left w:val="nil"/>
              <w:bottom w:val="single" w:sz="4" w:space="0" w:color="auto"/>
              <w:right w:val="single" w:sz="4" w:space="0" w:color="auto"/>
            </w:tcBorders>
            <w:shd w:val="clear" w:color="auto" w:fill="auto"/>
            <w:vAlign w:val="center"/>
            <w:hideMark/>
          </w:tcPr>
          <w:p w14:paraId="01E020AE" w14:textId="77777777" w:rsidR="00572995" w:rsidRPr="00483EBE" w:rsidRDefault="00572995" w:rsidP="00E8324D">
            <w:pPr>
              <w:pStyle w:val="Tablas"/>
              <w:rPr>
                <w:sz w:val="12"/>
                <w:szCs w:val="12"/>
              </w:rPr>
            </w:pPr>
            <w:r w:rsidRPr="00483EBE">
              <w:rPr>
                <w:sz w:val="12"/>
                <w:szCs w:val="12"/>
              </w:rPr>
              <w:t>$11,373,401</w:t>
            </w:r>
          </w:p>
        </w:tc>
        <w:tc>
          <w:tcPr>
            <w:tcW w:w="0" w:type="auto"/>
            <w:tcBorders>
              <w:top w:val="nil"/>
              <w:left w:val="nil"/>
              <w:bottom w:val="single" w:sz="4" w:space="0" w:color="auto"/>
              <w:right w:val="single" w:sz="4" w:space="0" w:color="auto"/>
            </w:tcBorders>
            <w:shd w:val="clear" w:color="auto" w:fill="auto"/>
            <w:vAlign w:val="center"/>
            <w:hideMark/>
          </w:tcPr>
          <w:p w14:paraId="0E525276" w14:textId="77777777" w:rsidR="00572995" w:rsidRPr="00483EBE" w:rsidRDefault="00572995" w:rsidP="00E8324D">
            <w:pPr>
              <w:pStyle w:val="Tablas"/>
              <w:rPr>
                <w:sz w:val="12"/>
                <w:szCs w:val="12"/>
              </w:rPr>
            </w:pPr>
            <w:r w:rsidRPr="00483EBE">
              <w:rPr>
                <w:sz w:val="12"/>
                <w:szCs w:val="12"/>
              </w:rPr>
              <w:t>$7,055</w:t>
            </w:r>
          </w:p>
        </w:tc>
        <w:tc>
          <w:tcPr>
            <w:tcW w:w="0" w:type="auto"/>
            <w:tcBorders>
              <w:top w:val="nil"/>
              <w:left w:val="nil"/>
              <w:bottom w:val="single" w:sz="4" w:space="0" w:color="auto"/>
              <w:right w:val="single" w:sz="4" w:space="0" w:color="auto"/>
            </w:tcBorders>
            <w:shd w:val="clear" w:color="auto" w:fill="auto"/>
            <w:vAlign w:val="center"/>
            <w:hideMark/>
          </w:tcPr>
          <w:p w14:paraId="07322289" w14:textId="77777777" w:rsidR="00572995" w:rsidRPr="00483EBE" w:rsidRDefault="00572995" w:rsidP="00E8324D">
            <w:pPr>
              <w:pStyle w:val="Tablas"/>
              <w:rPr>
                <w:sz w:val="12"/>
                <w:szCs w:val="12"/>
              </w:rPr>
            </w:pPr>
            <w:r w:rsidRPr="00483EBE">
              <w:rPr>
                <w:sz w:val="12"/>
                <w:szCs w:val="12"/>
              </w:rPr>
              <w:t>$588</w:t>
            </w:r>
          </w:p>
        </w:tc>
        <w:tc>
          <w:tcPr>
            <w:tcW w:w="0" w:type="auto"/>
            <w:tcBorders>
              <w:top w:val="nil"/>
              <w:left w:val="nil"/>
              <w:bottom w:val="single" w:sz="4" w:space="0" w:color="auto"/>
              <w:right w:val="single" w:sz="4" w:space="0" w:color="auto"/>
            </w:tcBorders>
            <w:shd w:val="clear" w:color="auto" w:fill="auto"/>
            <w:vAlign w:val="center"/>
            <w:hideMark/>
          </w:tcPr>
          <w:p w14:paraId="29638596"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A089E96" w14:textId="77777777" w:rsidR="00572995" w:rsidRPr="00483EBE" w:rsidRDefault="00572995" w:rsidP="00E8324D">
            <w:pPr>
              <w:pStyle w:val="Tablas"/>
              <w:rPr>
                <w:sz w:val="12"/>
                <w:szCs w:val="12"/>
              </w:rPr>
            </w:pPr>
            <w:r w:rsidRPr="00483EBE">
              <w:rPr>
                <w:sz w:val="12"/>
                <w:szCs w:val="12"/>
              </w:rPr>
              <w:t>SEBD</w:t>
            </w:r>
          </w:p>
        </w:tc>
      </w:tr>
      <w:tr w:rsidR="00572995" w:rsidRPr="00483EBE" w14:paraId="716CC7F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757E374"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41BDAC03" w14:textId="77777777" w:rsidR="00572995" w:rsidRPr="00483EBE" w:rsidRDefault="00572995" w:rsidP="00E8324D">
            <w:pPr>
              <w:pStyle w:val="Tablas"/>
              <w:rPr>
                <w:sz w:val="12"/>
                <w:szCs w:val="12"/>
              </w:rPr>
            </w:pPr>
            <w:r w:rsidRPr="00483EBE">
              <w:rPr>
                <w:sz w:val="12"/>
                <w:szCs w:val="12"/>
              </w:rPr>
              <w:t xml:space="preserve">2,332 </w:t>
            </w:r>
          </w:p>
        </w:tc>
        <w:tc>
          <w:tcPr>
            <w:tcW w:w="0" w:type="auto"/>
            <w:tcBorders>
              <w:top w:val="nil"/>
              <w:left w:val="nil"/>
              <w:bottom w:val="single" w:sz="4" w:space="0" w:color="auto"/>
              <w:right w:val="single" w:sz="4" w:space="0" w:color="auto"/>
            </w:tcBorders>
            <w:shd w:val="clear" w:color="auto" w:fill="auto"/>
            <w:vAlign w:val="center"/>
            <w:hideMark/>
          </w:tcPr>
          <w:p w14:paraId="247CC4E2" w14:textId="77777777" w:rsidR="00572995" w:rsidRPr="00483EBE" w:rsidRDefault="00572995" w:rsidP="00E8324D">
            <w:pPr>
              <w:pStyle w:val="Tablas"/>
              <w:rPr>
                <w:sz w:val="12"/>
                <w:szCs w:val="12"/>
              </w:rPr>
            </w:pPr>
            <w:r w:rsidRPr="00483EBE">
              <w:rPr>
                <w:sz w:val="12"/>
                <w:szCs w:val="12"/>
              </w:rPr>
              <w:t>$13,739,536</w:t>
            </w:r>
          </w:p>
        </w:tc>
        <w:tc>
          <w:tcPr>
            <w:tcW w:w="0" w:type="auto"/>
            <w:tcBorders>
              <w:top w:val="nil"/>
              <w:left w:val="nil"/>
              <w:bottom w:val="single" w:sz="4" w:space="0" w:color="auto"/>
              <w:right w:val="single" w:sz="4" w:space="0" w:color="auto"/>
            </w:tcBorders>
            <w:shd w:val="clear" w:color="auto" w:fill="auto"/>
            <w:vAlign w:val="center"/>
            <w:hideMark/>
          </w:tcPr>
          <w:p w14:paraId="6199EB1D" w14:textId="77777777" w:rsidR="00572995" w:rsidRPr="00483EBE" w:rsidRDefault="00572995" w:rsidP="00E8324D">
            <w:pPr>
              <w:pStyle w:val="Tablas"/>
              <w:rPr>
                <w:sz w:val="12"/>
                <w:szCs w:val="12"/>
              </w:rPr>
            </w:pPr>
            <w:r w:rsidRPr="00483EBE">
              <w:rPr>
                <w:sz w:val="12"/>
                <w:szCs w:val="12"/>
              </w:rPr>
              <w:t>$5,892</w:t>
            </w:r>
          </w:p>
        </w:tc>
        <w:tc>
          <w:tcPr>
            <w:tcW w:w="0" w:type="auto"/>
            <w:tcBorders>
              <w:top w:val="nil"/>
              <w:left w:val="nil"/>
              <w:bottom w:val="single" w:sz="4" w:space="0" w:color="auto"/>
              <w:right w:val="single" w:sz="4" w:space="0" w:color="auto"/>
            </w:tcBorders>
            <w:shd w:val="clear" w:color="auto" w:fill="auto"/>
            <w:vAlign w:val="center"/>
            <w:hideMark/>
          </w:tcPr>
          <w:p w14:paraId="68DDAFA5" w14:textId="77777777" w:rsidR="00572995" w:rsidRPr="00483EBE" w:rsidRDefault="00572995" w:rsidP="00E8324D">
            <w:pPr>
              <w:pStyle w:val="Tablas"/>
              <w:rPr>
                <w:sz w:val="12"/>
                <w:szCs w:val="12"/>
              </w:rPr>
            </w:pPr>
            <w:r w:rsidRPr="00483EBE">
              <w:rPr>
                <w:sz w:val="12"/>
                <w:szCs w:val="12"/>
              </w:rPr>
              <w:t>$491</w:t>
            </w:r>
          </w:p>
        </w:tc>
        <w:tc>
          <w:tcPr>
            <w:tcW w:w="0" w:type="auto"/>
            <w:tcBorders>
              <w:top w:val="nil"/>
              <w:left w:val="nil"/>
              <w:bottom w:val="single" w:sz="4" w:space="0" w:color="auto"/>
              <w:right w:val="single" w:sz="4" w:space="0" w:color="auto"/>
            </w:tcBorders>
            <w:shd w:val="clear" w:color="auto" w:fill="auto"/>
            <w:vAlign w:val="center"/>
            <w:hideMark/>
          </w:tcPr>
          <w:p w14:paraId="1BA82D4D"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1DDEAD1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2A2A466"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34897F26" w14:textId="77777777" w:rsidR="00572995" w:rsidRPr="00483EBE" w:rsidRDefault="00572995" w:rsidP="00E8324D">
            <w:pPr>
              <w:pStyle w:val="Tablas"/>
              <w:rPr>
                <w:sz w:val="12"/>
                <w:szCs w:val="12"/>
              </w:rPr>
            </w:pPr>
            <w:r w:rsidRPr="00483EBE">
              <w:rPr>
                <w:sz w:val="12"/>
                <w:szCs w:val="12"/>
              </w:rPr>
              <w:t xml:space="preserve">1,731 </w:t>
            </w:r>
          </w:p>
        </w:tc>
        <w:tc>
          <w:tcPr>
            <w:tcW w:w="0" w:type="auto"/>
            <w:tcBorders>
              <w:top w:val="nil"/>
              <w:left w:val="nil"/>
              <w:bottom w:val="single" w:sz="4" w:space="0" w:color="auto"/>
              <w:right w:val="single" w:sz="4" w:space="0" w:color="auto"/>
            </w:tcBorders>
            <w:shd w:val="clear" w:color="auto" w:fill="auto"/>
            <w:vAlign w:val="center"/>
            <w:hideMark/>
          </w:tcPr>
          <w:p w14:paraId="19DFA116" w14:textId="77777777" w:rsidR="00572995" w:rsidRPr="00483EBE" w:rsidRDefault="00572995" w:rsidP="00E8324D">
            <w:pPr>
              <w:pStyle w:val="Tablas"/>
              <w:rPr>
                <w:sz w:val="12"/>
                <w:szCs w:val="12"/>
              </w:rPr>
            </w:pPr>
            <w:r w:rsidRPr="00483EBE">
              <w:rPr>
                <w:sz w:val="12"/>
                <w:szCs w:val="12"/>
              </w:rPr>
              <w:t>$11,378,870</w:t>
            </w:r>
          </w:p>
        </w:tc>
        <w:tc>
          <w:tcPr>
            <w:tcW w:w="0" w:type="auto"/>
            <w:tcBorders>
              <w:top w:val="nil"/>
              <w:left w:val="nil"/>
              <w:bottom w:val="single" w:sz="4" w:space="0" w:color="auto"/>
              <w:right w:val="single" w:sz="4" w:space="0" w:color="auto"/>
            </w:tcBorders>
            <w:shd w:val="clear" w:color="auto" w:fill="auto"/>
            <w:vAlign w:val="center"/>
            <w:hideMark/>
          </w:tcPr>
          <w:p w14:paraId="33339006" w14:textId="77777777" w:rsidR="00572995" w:rsidRPr="00483EBE" w:rsidRDefault="00572995" w:rsidP="00E8324D">
            <w:pPr>
              <w:pStyle w:val="Tablas"/>
              <w:rPr>
                <w:sz w:val="12"/>
                <w:szCs w:val="12"/>
              </w:rPr>
            </w:pPr>
            <w:r w:rsidRPr="00483EBE">
              <w:rPr>
                <w:sz w:val="12"/>
                <w:szCs w:val="12"/>
              </w:rPr>
              <w:t>$6,574</w:t>
            </w:r>
          </w:p>
        </w:tc>
        <w:tc>
          <w:tcPr>
            <w:tcW w:w="0" w:type="auto"/>
            <w:tcBorders>
              <w:top w:val="nil"/>
              <w:left w:val="nil"/>
              <w:bottom w:val="single" w:sz="4" w:space="0" w:color="auto"/>
              <w:right w:val="single" w:sz="4" w:space="0" w:color="auto"/>
            </w:tcBorders>
            <w:shd w:val="clear" w:color="auto" w:fill="auto"/>
            <w:vAlign w:val="center"/>
            <w:hideMark/>
          </w:tcPr>
          <w:p w14:paraId="5C291783" w14:textId="77777777" w:rsidR="00572995" w:rsidRPr="00483EBE" w:rsidRDefault="00572995" w:rsidP="00E8324D">
            <w:pPr>
              <w:pStyle w:val="Tablas"/>
              <w:rPr>
                <w:sz w:val="12"/>
                <w:szCs w:val="12"/>
              </w:rPr>
            </w:pPr>
            <w:r w:rsidRPr="00483EBE">
              <w:rPr>
                <w:sz w:val="12"/>
                <w:szCs w:val="12"/>
              </w:rPr>
              <w:t>$548</w:t>
            </w:r>
          </w:p>
        </w:tc>
        <w:tc>
          <w:tcPr>
            <w:tcW w:w="0" w:type="auto"/>
            <w:tcBorders>
              <w:top w:val="nil"/>
              <w:left w:val="nil"/>
              <w:bottom w:val="single" w:sz="4" w:space="0" w:color="auto"/>
              <w:right w:val="single" w:sz="4" w:space="0" w:color="auto"/>
            </w:tcBorders>
            <w:shd w:val="clear" w:color="auto" w:fill="auto"/>
            <w:vAlign w:val="center"/>
            <w:hideMark/>
          </w:tcPr>
          <w:p w14:paraId="2F77D48F"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3222EDE" w14:textId="77777777" w:rsidR="00572995" w:rsidRPr="00483EBE" w:rsidRDefault="00572995" w:rsidP="00E8324D">
            <w:pPr>
              <w:pStyle w:val="Tablas"/>
              <w:rPr>
                <w:sz w:val="12"/>
                <w:szCs w:val="12"/>
              </w:rPr>
            </w:pPr>
            <w:r w:rsidRPr="00483EBE">
              <w:rPr>
                <w:sz w:val="12"/>
                <w:szCs w:val="12"/>
              </w:rPr>
              <w:t>SEBD</w:t>
            </w:r>
          </w:p>
        </w:tc>
      </w:tr>
      <w:tr w:rsidR="00572995" w:rsidRPr="00483EBE" w14:paraId="444239E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4086AD"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477B985A" w14:textId="77777777" w:rsidR="00572995" w:rsidRPr="00483EBE" w:rsidRDefault="00572995" w:rsidP="00E8324D">
            <w:pPr>
              <w:pStyle w:val="Tablas"/>
              <w:rPr>
                <w:sz w:val="12"/>
                <w:szCs w:val="12"/>
              </w:rPr>
            </w:pPr>
            <w:r w:rsidRPr="00483EBE">
              <w:rPr>
                <w:sz w:val="12"/>
                <w:szCs w:val="12"/>
              </w:rPr>
              <w:t xml:space="preserve">1,594 </w:t>
            </w:r>
          </w:p>
        </w:tc>
        <w:tc>
          <w:tcPr>
            <w:tcW w:w="0" w:type="auto"/>
            <w:tcBorders>
              <w:top w:val="nil"/>
              <w:left w:val="nil"/>
              <w:bottom w:val="single" w:sz="4" w:space="0" w:color="auto"/>
              <w:right w:val="single" w:sz="4" w:space="0" w:color="auto"/>
            </w:tcBorders>
            <w:shd w:val="clear" w:color="auto" w:fill="auto"/>
            <w:vAlign w:val="center"/>
            <w:hideMark/>
          </w:tcPr>
          <w:p w14:paraId="6B90981F" w14:textId="77777777" w:rsidR="00572995" w:rsidRPr="00483EBE" w:rsidRDefault="00572995" w:rsidP="00E8324D">
            <w:pPr>
              <w:pStyle w:val="Tablas"/>
              <w:rPr>
                <w:sz w:val="12"/>
                <w:szCs w:val="12"/>
              </w:rPr>
            </w:pPr>
            <w:r w:rsidRPr="00483EBE">
              <w:rPr>
                <w:sz w:val="12"/>
                <w:szCs w:val="12"/>
              </w:rPr>
              <w:t>$8,185,655</w:t>
            </w:r>
          </w:p>
        </w:tc>
        <w:tc>
          <w:tcPr>
            <w:tcW w:w="0" w:type="auto"/>
            <w:tcBorders>
              <w:top w:val="nil"/>
              <w:left w:val="nil"/>
              <w:bottom w:val="single" w:sz="4" w:space="0" w:color="auto"/>
              <w:right w:val="single" w:sz="4" w:space="0" w:color="auto"/>
            </w:tcBorders>
            <w:shd w:val="clear" w:color="auto" w:fill="auto"/>
            <w:vAlign w:val="center"/>
            <w:hideMark/>
          </w:tcPr>
          <w:p w14:paraId="2528DEE4" w14:textId="77777777" w:rsidR="00572995" w:rsidRPr="00483EBE" w:rsidRDefault="00572995" w:rsidP="00E8324D">
            <w:pPr>
              <w:pStyle w:val="Tablas"/>
              <w:rPr>
                <w:sz w:val="12"/>
                <w:szCs w:val="12"/>
              </w:rPr>
            </w:pPr>
            <w:r w:rsidRPr="00483EBE">
              <w:rPr>
                <w:sz w:val="12"/>
                <w:szCs w:val="12"/>
              </w:rPr>
              <w:t>$5,135</w:t>
            </w:r>
          </w:p>
        </w:tc>
        <w:tc>
          <w:tcPr>
            <w:tcW w:w="0" w:type="auto"/>
            <w:tcBorders>
              <w:top w:val="nil"/>
              <w:left w:val="nil"/>
              <w:bottom w:val="single" w:sz="4" w:space="0" w:color="auto"/>
              <w:right w:val="single" w:sz="4" w:space="0" w:color="auto"/>
            </w:tcBorders>
            <w:shd w:val="clear" w:color="auto" w:fill="auto"/>
            <w:vAlign w:val="center"/>
            <w:hideMark/>
          </w:tcPr>
          <w:p w14:paraId="2BFB8D99" w14:textId="77777777" w:rsidR="00572995" w:rsidRPr="00483EBE" w:rsidRDefault="00572995" w:rsidP="00E8324D">
            <w:pPr>
              <w:pStyle w:val="Tablas"/>
              <w:rPr>
                <w:sz w:val="12"/>
                <w:szCs w:val="12"/>
              </w:rPr>
            </w:pPr>
            <w:r w:rsidRPr="00483EBE">
              <w:rPr>
                <w:sz w:val="12"/>
                <w:szCs w:val="12"/>
              </w:rPr>
              <w:t>$428</w:t>
            </w:r>
          </w:p>
        </w:tc>
        <w:tc>
          <w:tcPr>
            <w:tcW w:w="0" w:type="auto"/>
            <w:tcBorders>
              <w:top w:val="nil"/>
              <w:left w:val="nil"/>
              <w:bottom w:val="single" w:sz="4" w:space="0" w:color="auto"/>
              <w:right w:val="single" w:sz="4" w:space="0" w:color="auto"/>
            </w:tcBorders>
            <w:shd w:val="clear" w:color="auto" w:fill="auto"/>
            <w:vAlign w:val="center"/>
            <w:hideMark/>
          </w:tcPr>
          <w:p w14:paraId="6C73E5F8"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54A4E8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EB49A57"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7191E600" w14:textId="77777777" w:rsidR="00572995" w:rsidRPr="00483EBE" w:rsidRDefault="00572995" w:rsidP="00E8324D">
            <w:pPr>
              <w:pStyle w:val="Tablas"/>
              <w:rPr>
                <w:sz w:val="12"/>
                <w:szCs w:val="12"/>
              </w:rPr>
            </w:pPr>
            <w:r w:rsidRPr="00483EBE">
              <w:rPr>
                <w:sz w:val="12"/>
                <w:szCs w:val="12"/>
              </w:rPr>
              <w:t xml:space="preserve">867 </w:t>
            </w:r>
          </w:p>
        </w:tc>
        <w:tc>
          <w:tcPr>
            <w:tcW w:w="0" w:type="auto"/>
            <w:tcBorders>
              <w:top w:val="nil"/>
              <w:left w:val="nil"/>
              <w:bottom w:val="single" w:sz="4" w:space="0" w:color="auto"/>
              <w:right w:val="single" w:sz="4" w:space="0" w:color="auto"/>
            </w:tcBorders>
            <w:shd w:val="clear" w:color="auto" w:fill="auto"/>
            <w:vAlign w:val="center"/>
            <w:hideMark/>
          </w:tcPr>
          <w:p w14:paraId="05318B82" w14:textId="77777777" w:rsidR="00572995" w:rsidRPr="00483EBE" w:rsidRDefault="00572995" w:rsidP="00E8324D">
            <w:pPr>
              <w:pStyle w:val="Tablas"/>
              <w:rPr>
                <w:sz w:val="12"/>
                <w:szCs w:val="12"/>
              </w:rPr>
            </w:pPr>
            <w:r w:rsidRPr="00483EBE">
              <w:rPr>
                <w:sz w:val="12"/>
                <w:szCs w:val="12"/>
              </w:rPr>
              <w:t>$5,099,976</w:t>
            </w:r>
          </w:p>
        </w:tc>
        <w:tc>
          <w:tcPr>
            <w:tcW w:w="0" w:type="auto"/>
            <w:tcBorders>
              <w:top w:val="nil"/>
              <w:left w:val="nil"/>
              <w:bottom w:val="single" w:sz="4" w:space="0" w:color="auto"/>
              <w:right w:val="single" w:sz="4" w:space="0" w:color="auto"/>
            </w:tcBorders>
            <w:shd w:val="clear" w:color="auto" w:fill="auto"/>
            <w:vAlign w:val="center"/>
            <w:hideMark/>
          </w:tcPr>
          <w:p w14:paraId="58C1B74B" w14:textId="77777777" w:rsidR="00572995" w:rsidRPr="00483EBE" w:rsidRDefault="00572995" w:rsidP="00E8324D">
            <w:pPr>
              <w:pStyle w:val="Tablas"/>
              <w:rPr>
                <w:sz w:val="12"/>
                <w:szCs w:val="12"/>
              </w:rPr>
            </w:pPr>
            <w:r w:rsidRPr="00483EBE">
              <w:rPr>
                <w:sz w:val="12"/>
                <w:szCs w:val="12"/>
              </w:rPr>
              <w:t>$5,882</w:t>
            </w:r>
          </w:p>
        </w:tc>
        <w:tc>
          <w:tcPr>
            <w:tcW w:w="0" w:type="auto"/>
            <w:tcBorders>
              <w:top w:val="nil"/>
              <w:left w:val="nil"/>
              <w:bottom w:val="single" w:sz="4" w:space="0" w:color="auto"/>
              <w:right w:val="single" w:sz="4" w:space="0" w:color="auto"/>
            </w:tcBorders>
            <w:shd w:val="clear" w:color="auto" w:fill="auto"/>
            <w:vAlign w:val="center"/>
            <w:hideMark/>
          </w:tcPr>
          <w:p w14:paraId="1AA19383" w14:textId="77777777" w:rsidR="00572995" w:rsidRPr="00483EBE" w:rsidRDefault="00572995" w:rsidP="00E8324D">
            <w:pPr>
              <w:pStyle w:val="Tablas"/>
              <w:rPr>
                <w:sz w:val="12"/>
                <w:szCs w:val="12"/>
              </w:rPr>
            </w:pPr>
            <w:r w:rsidRPr="00483EBE">
              <w:rPr>
                <w:sz w:val="12"/>
                <w:szCs w:val="12"/>
              </w:rPr>
              <w:t>$490</w:t>
            </w:r>
          </w:p>
        </w:tc>
        <w:tc>
          <w:tcPr>
            <w:tcW w:w="0" w:type="auto"/>
            <w:tcBorders>
              <w:top w:val="nil"/>
              <w:left w:val="nil"/>
              <w:bottom w:val="single" w:sz="4" w:space="0" w:color="auto"/>
              <w:right w:val="single" w:sz="4" w:space="0" w:color="auto"/>
            </w:tcBorders>
            <w:shd w:val="clear" w:color="auto" w:fill="auto"/>
            <w:vAlign w:val="center"/>
            <w:hideMark/>
          </w:tcPr>
          <w:p w14:paraId="43A4C53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32E5A12" w14:textId="77777777" w:rsidR="00572995" w:rsidRPr="00483EBE" w:rsidRDefault="00572995" w:rsidP="00E8324D">
            <w:pPr>
              <w:pStyle w:val="Tablas"/>
              <w:rPr>
                <w:sz w:val="12"/>
                <w:szCs w:val="12"/>
              </w:rPr>
            </w:pPr>
            <w:r w:rsidRPr="00483EBE">
              <w:rPr>
                <w:sz w:val="12"/>
                <w:szCs w:val="12"/>
              </w:rPr>
              <w:t>SEBD</w:t>
            </w:r>
          </w:p>
        </w:tc>
      </w:tr>
      <w:tr w:rsidR="00572995" w:rsidRPr="00483EBE" w14:paraId="573CACB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BB368AC"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6CC35297" w14:textId="77777777" w:rsidR="00572995" w:rsidRPr="00483EBE" w:rsidRDefault="00572995" w:rsidP="00E8324D">
            <w:pPr>
              <w:pStyle w:val="Tablas"/>
              <w:rPr>
                <w:sz w:val="12"/>
                <w:szCs w:val="12"/>
              </w:rPr>
            </w:pPr>
            <w:r w:rsidRPr="00483EBE">
              <w:rPr>
                <w:sz w:val="12"/>
                <w:szCs w:val="12"/>
              </w:rPr>
              <w:t xml:space="preserve">1,260 </w:t>
            </w:r>
          </w:p>
        </w:tc>
        <w:tc>
          <w:tcPr>
            <w:tcW w:w="0" w:type="auto"/>
            <w:tcBorders>
              <w:top w:val="nil"/>
              <w:left w:val="nil"/>
              <w:bottom w:val="single" w:sz="4" w:space="0" w:color="auto"/>
              <w:right w:val="single" w:sz="4" w:space="0" w:color="auto"/>
            </w:tcBorders>
            <w:shd w:val="clear" w:color="auto" w:fill="auto"/>
            <w:vAlign w:val="center"/>
            <w:hideMark/>
          </w:tcPr>
          <w:p w14:paraId="1C446F55" w14:textId="77777777" w:rsidR="00572995" w:rsidRPr="00483EBE" w:rsidRDefault="00572995" w:rsidP="00E8324D">
            <w:pPr>
              <w:pStyle w:val="Tablas"/>
              <w:rPr>
                <w:sz w:val="12"/>
                <w:szCs w:val="12"/>
              </w:rPr>
            </w:pPr>
            <w:r w:rsidRPr="00483EBE">
              <w:rPr>
                <w:sz w:val="12"/>
                <w:szCs w:val="12"/>
              </w:rPr>
              <w:t>$6,412,928</w:t>
            </w:r>
          </w:p>
        </w:tc>
        <w:tc>
          <w:tcPr>
            <w:tcW w:w="0" w:type="auto"/>
            <w:tcBorders>
              <w:top w:val="nil"/>
              <w:left w:val="nil"/>
              <w:bottom w:val="single" w:sz="4" w:space="0" w:color="auto"/>
              <w:right w:val="single" w:sz="4" w:space="0" w:color="auto"/>
            </w:tcBorders>
            <w:shd w:val="clear" w:color="auto" w:fill="auto"/>
            <w:vAlign w:val="center"/>
            <w:hideMark/>
          </w:tcPr>
          <w:p w14:paraId="086FC8C1" w14:textId="77777777" w:rsidR="00572995" w:rsidRPr="00483EBE" w:rsidRDefault="00572995" w:rsidP="00E8324D">
            <w:pPr>
              <w:pStyle w:val="Tablas"/>
              <w:rPr>
                <w:sz w:val="12"/>
                <w:szCs w:val="12"/>
              </w:rPr>
            </w:pPr>
            <w:r w:rsidRPr="00483EBE">
              <w:rPr>
                <w:sz w:val="12"/>
                <w:szCs w:val="12"/>
              </w:rPr>
              <w:t>$5,090</w:t>
            </w:r>
          </w:p>
        </w:tc>
        <w:tc>
          <w:tcPr>
            <w:tcW w:w="0" w:type="auto"/>
            <w:tcBorders>
              <w:top w:val="nil"/>
              <w:left w:val="nil"/>
              <w:bottom w:val="single" w:sz="4" w:space="0" w:color="auto"/>
              <w:right w:val="single" w:sz="4" w:space="0" w:color="auto"/>
            </w:tcBorders>
            <w:shd w:val="clear" w:color="auto" w:fill="auto"/>
            <w:vAlign w:val="center"/>
            <w:hideMark/>
          </w:tcPr>
          <w:p w14:paraId="4375426B" w14:textId="77777777" w:rsidR="00572995" w:rsidRPr="00483EBE" w:rsidRDefault="00572995" w:rsidP="00E8324D">
            <w:pPr>
              <w:pStyle w:val="Tablas"/>
              <w:rPr>
                <w:sz w:val="12"/>
                <w:szCs w:val="12"/>
              </w:rPr>
            </w:pPr>
            <w:r w:rsidRPr="00483EBE">
              <w:rPr>
                <w:sz w:val="12"/>
                <w:szCs w:val="12"/>
              </w:rPr>
              <w:t>$424</w:t>
            </w:r>
          </w:p>
        </w:tc>
        <w:tc>
          <w:tcPr>
            <w:tcW w:w="0" w:type="auto"/>
            <w:tcBorders>
              <w:top w:val="nil"/>
              <w:left w:val="nil"/>
              <w:bottom w:val="single" w:sz="4" w:space="0" w:color="auto"/>
              <w:right w:val="single" w:sz="4" w:space="0" w:color="auto"/>
            </w:tcBorders>
            <w:shd w:val="clear" w:color="auto" w:fill="auto"/>
            <w:vAlign w:val="center"/>
            <w:hideMark/>
          </w:tcPr>
          <w:p w14:paraId="0481E67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0672B2F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48FB8E"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FE77583" w14:textId="77777777" w:rsidR="00572995" w:rsidRPr="00483EBE" w:rsidRDefault="00572995" w:rsidP="00E8324D">
            <w:pPr>
              <w:pStyle w:val="Tablas"/>
              <w:rPr>
                <w:sz w:val="12"/>
                <w:szCs w:val="12"/>
              </w:rPr>
            </w:pPr>
            <w:r w:rsidRPr="00483EBE">
              <w:rPr>
                <w:sz w:val="12"/>
                <w:szCs w:val="12"/>
              </w:rPr>
              <w:t xml:space="preserve">666 </w:t>
            </w:r>
          </w:p>
        </w:tc>
        <w:tc>
          <w:tcPr>
            <w:tcW w:w="0" w:type="auto"/>
            <w:tcBorders>
              <w:top w:val="nil"/>
              <w:left w:val="nil"/>
              <w:bottom w:val="single" w:sz="4" w:space="0" w:color="auto"/>
              <w:right w:val="single" w:sz="4" w:space="0" w:color="auto"/>
            </w:tcBorders>
            <w:shd w:val="clear" w:color="auto" w:fill="auto"/>
            <w:vAlign w:val="center"/>
            <w:hideMark/>
          </w:tcPr>
          <w:p w14:paraId="6D941767" w14:textId="77777777" w:rsidR="00572995" w:rsidRPr="00483EBE" w:rsidRDefault="00572995" w:rsidP="00E8324D">
            <w:pPr>
              <w:pStyle w:val="Tablas"/>
              <w:rPr>
                <w:sz w:val="12"/>
                <w:szCs w:val="12"/>
              </w:rPr>
            </w:pPr>
            <w:r w:rsidRPr="00483EBE">
              <w:rPr>
                <w:sz w:val="12"/>
                <w:szCs w:val="12"/>
              </w:rPr>
              <w:t>$3,818,457</w:t>
            </w:r>
          </w:p>
        </w:tc>
        <w:tc>
          <w:tcPr>
            <w:tcW w:w="0" w:type="auto"/>
            <w:tcBorders>
              <w:top w:val="nil"/>
              <w:left w:val="nil"/>
              <w:bottom w:val="single" w:sz="4" w:space="0" w:color="auto"/>
              <w:right w:val="single" w:sz="4" w:space="0" w:color="auto"/>
            </w:tcBorders>
            <w:shd w:val="clear" w:color="auto" w:fill="auto"/>
            <w:vAlign w:val="center"/>
            <w:hideMark/>
          </w:tcPr>
          <w:p w14:paraId="6552AB26" w14:textId="77777777" w:rsidR="00572995" w:rsidRPr="00483EBE" w:rsidRDefault="00572995" w:rsidP="00E8324D">
            <w:pPr>
              <w:pStyle w:val="Tablas"/>
              <w:rPr>
                <w:sz w:val="12"/>
                <w:szCs w:val="12"/>
              </w:rPr>
            </w:pPr>
            <w:r w:rsidRPr="00483EBE">
              <w:rPr>
                <w:sz w:val="12"/>
                <w:szCs w:val="12"/>
              </w:rPr>
              <w:t>$5,733</w:t>
            </w:r>
          </w:p>
        </w:tc>
        <w:tc>
          <w:tcPr>
            <w:tcW w:w="0" w:type="auto"/>
            <w:tcBorders>
              <w:top w:val="nil"/>
              <w:left w:val="nil"/>
              <w:bottom w:val="single" w:sz="4" w:space="0" w:color="auto"/>
              <w:right w:val="single" w:sz="4" w:space="0" w:color="auto"/>
            </w:tcBorders>
            <w:shd w:val="clear" w:color="auto" w:fill="auto"/>
            <w:vAlign w:val="center"/>
            <w:hideMark/>
          </w:tcPr>
          <w:p w14:paraId="2F7CBDD4" w14:textId="77777777" w:rsidR="00572995" w:rsidRPr="00483EBE" w:rsidRDefault="00572995" w:rsidP="00E8324D">
            <w:pPr>
              <w:pStyle w:val="Tablas"/>
              <w:rPr>
                <w:sz w:val="12"/>
                <w:szCs w:val="12"/>
              </w:rPr>
            </w:pPr>
            <w:r w:rsidRPr="00483EBE">
              <w:rPr>
                <w:sz w:val="12"/>
                <w:szCs w:val="12"/>
              </w:rPr>
              <w:t>$478</w:t>
            </w:r>
          </w:p>
        </w:tc>
        <w:tc>
          <w:tcPr>
            <w:tcW w:w="0" w:type="auto"/>
            <w:tcBorders>
              <w:top w:val="nil"/>
              <w:left w:val="nil"/>
              <w:bottom w:val="single" w:sz="4" w:space="0" w:color="auto"/>
              <w:right w:val="single" w:sz="4" w:space="0" w:color="auto"/>
            </w:tcBorders>
            <w:shd w:val="clear" w:color="auto" w:fill="auto"/>
            <w:vAlign w:val="center"/>
            <w:hideMark/>
          </w:tcPr>
          <w:p w14:paraId="5F8B2C81"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9373D6E" w14:textId="77777777" w:rsidR="00572995" w:rsidRPr="00483EBE" w:rsidRDefault="00572995" w:rsidP="00E8324D">
            <w:pPr>
              <w:pStyle w:val="Tablas"/>
              <w:rPr>
                <w:sz w:val="12"/>
                <w:szCs w:val="12"/>
              </w:rPr>
            </w:pPr>
            <w:r w:rsidRPr="00483EBE">
              <w:rPr>
                <w:sz w:val="12"/>
                <w:szCs w:val="12"/>
              </w:rPr>
              <w:t>SEBD</w:t>
            </w:r>
          </w:p>
        </w:tc>
      </w:tr>
      <w:tr w:rsidR="00572995" w:rsidRPr="00483EBE" w14:paraId="2EB4A2A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BB60DE"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288003CF" w14:textId="77777777" w:rsidR="00572995" w:rsidRPr="00483EBE" w:rsidRDefault="00572995" w:rsidP="00E8324D">
            <w:pPr>
              <w:pStyle w:val="Tablas"/>
              <w:rPr>
                <w:sz w:val="12"/>
                <w:szCs w:val="12"/>
              </w:rPr>
            </w:pPr>
            <w:r w:rsidRPr="00483EBE">
              <w:rPr>
                <w:sz w:val="12"/>
                <w:szCs w:val="12"/>
              </w:rPr>
              <w:t xml:space="preserve">1,160 </w:t>
            </w:r>
          </w:p>
        </w:tc>
        <w:tc>
          <w:tcPr>
            <w:tcW w:w="0" w:type="auto"/>
            <w:tcBorders>
              <w:top w:val="nil"/>
              <w:left w:val="nil"/>
              <w:bottom w:val="single" w:sz="4" w:space="0" w:color="auto"/>
              <w:right w:val="single" w:sz="4" w:space="0" w:color="auto"/>
            </w:tcBorders>
            <w:shd w:val="clear" w:color="auto" w:fill="auto"/>
            <w:vAlign w:val="center"/>
            <w:hideMark/>
          </w:tcPr>
          <w:p w14:paraId="521EE9E6" w14:textId="77777777" w:rsidR="00572995" w:rsidRPr="00483EBE" w:rsidRDefault="00572995" w:rsidP="00E8324D">
            <w:pPr>
              <w:pStyle w:val="Tablas"/>
              <w:rPr>
                <w:sz w:val="12"/>
                <w:szCs w:val="12"/>
              </w:rPr>
            </w:pPr>
            <w:r w:rsidRPr="00483EBE">
              <w:rPr>
                <w:sz w:val="12"/>
                <w:szCs w:val="12"/>
              </w:rPr>
              <w:t>$5,692,833</w:t>
            </w:r>
          </w:p>
        </w:tc>
        <w:tc>
          <w:tcPr>
            <w:tcW w:w="0" w:type="auto"/>
            <w:tcBorders>
              <w:top w:val="nil"/>
              <w:left w:val="nil"/>
              <w:bottom w:val="single" w:sz="4" w:space="0" w:color="auto"/>
              <w:right w:val="single" w:sz="4" w:space="0" w:color="auto"/>
            </w:tcBorders>
            <w:shd w:val="clear" w:color="auto" w:fill="auto"/>
            <w:vAlign w:val="center"/>
            <w:hideMark/>
          </w:tcPr>
          <w:p w14:paraId="07000442" w14:textId="77777777" w:rsidR="00572995" w:rsidRPr="00483EBE" w:rsidRDefault="00572995" w:rsidP="00E8324D">
            <w:pPr>
              <w:pStyle w:val="Tablas"/>
              <w:rPr>
                <w:sz w:val="12"/>
                <w:szCs w:val="12"/>
              </w:rPr>
            </w:pPr>
            <w:r w:rsidRPr="00483EBE">
              <w:rPr>
                <w:sz w:val="12"/>
                <w:szCs w:val="12"/>
              </w:rPr>
              <w:t>$4,908</w:t>
            </w:r>
          </w:p>
        </w:tc>
        <w:tc>
          <w:tcPr>
            <w:tcW w:w="0" w:type="auto"/>
            <w:tcBorders>
              <w:top w:val="nil"/>
              <w:left w:val="nil"/>
              <w:bottom w:val="single" w:sz="4" w:space="0" w:color="auto"/>
              <w:right w:val="single" w:sz="4" w:space="0" w:color="auto"/>
            </w:tcBorders>
            <w:shd w:val="clear" w:color="auto" w:fill="auto"/>
            <w:vAlign w:val="center"/>
            <w:hideMark/>
          </w:tcPr>
          <w:p w14:paraId="26B01A71" w14:textId="77777777" w:rsidR="00572995" w:rsidRPr="00483EBE" w:rsidRDefault="00572995" w:rsidP="00E8324D">
            <w:pPr>
              <w:pStyle w:val="Tablas"/>
              <w:rPr>
                <w:sz w:val="12"/>
                <w:szCs w:val="12"/>
              </w:rPr>
            </w:pPr>
            <w:r w:rsidRPr="00483EBE">
              <w:rPr>
                <w:sz w:val="12"/>
                <w:szCs w:val="12"/>
              </w:rPr>
              <w:t>$409</w:t>
            </w:r>
          </w:p>
        </w:tc>
        <w:tc>
          <w:tcPr>
            <w:tcW w:w="0" w:type="auto"/>
            <w:tcBorders>
              <w:top w:val="nil"/>
              <w:left w:val="nil"/>
              <w:bottom w:val="single" w:sz="4" w:space="0" w:color="auto"/>
              <w:right w:val="single" w:sz="4" w:space="0" w:color="auto"/>
            </w:tcBorders>
            <w:shd w:val="clear" w:color="auto" w:fill="auto"/>
            <w:vAlign w:val="center"/>
            <w:hideMark/>
          </w:tcPr>
          <w:p w14:paraId="4CF318F2"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510E91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CABD6C"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40D19633" w14:textId="77777777" w:rsidR="00572995" w:rsidRPr="00483EBE" w:rsidRDefault="00572995" w:rsidP="00E8324D">
            <w:pPr>
              <w:pStyle w:val="Tablas"/>
              <w:rPr>
                <w:sz w:val="12"/>
                <w:szCs w:val="12"/>
              </w:rPr>
            </w:pPr>
            <w:r w:rsidRPr="00483EBE">
              <w:rPr>
                <w:sz w:val="12"/>
                <w:szCs w:val="12"/>
              </w:rPr>
              <w:t xml:space="preserve">548 </w:t>
            </w:r>
          </w:p>
        </w:tc>
        <w:tc>
          <w:tcPr>
            <w:tcW w:w="0" w:type="auto"/>
            <w:tcBorders>
              <w:top w:val="nil"/>
              <w:left w:val="nil"/>
              <w:bottom w:val="single" w:sz="4" w:space="0" w:color="auto"/>
              <w:right w:val="single" w:sz="4" w:space="0" w:color="auto"/>
            </w:tcBorders>
            <w:shd w:val="clear" w:color="auto" w:fill="auto"/>
            <w:vAlign w:val="center"/>
            <w:hideMark/>
          </w:tcPr>
          <w:p w14:paraId="437C04AF" w14:textId="77777777" w:rsidR="00572995" w:rsidRPr="00483EBE" w:rsidRDefault="00572995" w:rsidP="00E8324D">
            <w:pPr>
              <w:pStyle w:val="Tablas"/>
              <w:rPr>
                <w:sz w:val="12"/>
                <w:szCs w:val="12"/>
              </w:rPr>
            </w:pPr>
            <w:r w:rsidRPr="00483EBE">
              <w:rPr>
                <w:sz w:val="12"/>
                <w:szCs w:val="12"/>
              </w:rPr>
              <w:t>$2,999,432</w:t>
            </w:r>
          </w:p>
        </w:tc>
        <w:tc>
          <w:tcPr>
            <w:tcW w:w="0" w:type="auto"/>
            <w:tcBorders>
              <w:top w:val="nil"/>
              <w:left w:val="nil"/>
              <w:bottom w:val="single" w:sz="4" w:space="0" w:color="auto"/>
              <w:right w:val="single" w:sz="4" w:space="0" w:color="auto"/>
            </w:tcBorders>
            <w:shd w:val="clear" w:color="auto" w:fill="auto"/>
            <w:vAlign w:val="center"/>
            <w:hideMark/>
          </w:tcPr>
          <w:p w14:paraId="07CC8578" w14:textId="77777777" w:rsidR="00572995" w:rsidRPr="00483EBE" w:rsidRDefault="00572995" w:rsidP="00E8324D">
            <w:pPr>
              <w:pStyle w:val="Tablas"/>
              <w:rPr>
                <w:sz w:val="12"/>
                <w:szCs w:val="12"/>
              </w:rPr>
            </w:pPr>
            <w:r w:rsidRPr="00483EBE">
              <w:rPr>
                <w:sz w:val="12"/>
                <w:szCs w:val="12"/>
              </w:rPr>
              <w:t>$5,473</w:t>
            </w:r>
          </w:p>
        </w:tc>
        <w:tc>
          <w:tcPr>
            <w:tcW w:w="0" w:type="auto"/>
            <w:tcBorders>
              <w:top w:val="nil"/>
              <w:left w:val="nil"/>
              <w:bottom w:val="single" w:sz="4" w:space="0" w:color="auto"/>
              <w:right w:val="single" w:sz="4" w:space="0" w:color="auto"/>
            </w:tcBorders>
            <w:shd w:val="clear" w:color="auto" w:fill="auto"/>
            <w:vAlign w:val="center"/>
            <w:hideMark/>
          </w:tcPr>
          <w:p w14:paraId="4C29028B" w14:textId="77777777" w:rsidR="00572995" w:rsidRPr="00483EBE" w:rsidRDefault="00572995" w:rsidP="00E8324D">
            <w:pPr>
              <w:pStyle w:val="Tablas"/>
              <w:rPr>
                <w:sz w:val="12"/>
                <w:szCs w:val="12"/>
              </w:rPr>
            </w:pPr>
            <w:r w:rsidRPr="00483EBE">
              <w:rPr>
                <w:sz w:val="12"/>
                <w:szCs w:val="12"/>
              </w:rPr>
              <w:t>$456</w:t>
            </w:r>
          </w:p>
        </w:tc>
        <w:tc>
          <w:tcPr>
            <w:tcW w:w="0" w:type="auto"/>
            <w:tcBorders>
              <w:top w:val="nil"/>
              <w:left w:val="nil"/>
              <w:bottom w:val="single" w:sz="4" w:space="0" w:color="auto"/>
              <w:right w:val="single" w:sz="4" w:space="0" w:color="auto"/>
            </w:tcBorders>
            <w:shd w:val="clear" w:color="auto" w:fill="auto"/>
            <w:vAlign w:val="center"/>
            <w:hideMark/>
          </w:tcPr>
          <w:p w14:paraId="5C535FF1"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5948B67" w14:textId="77777777" w:rsidR="00572995" w:rsidRPr="00483EBE" w:rsidRDefault="00572995" w:rsidP="00E8324D">
            <w:pPr>
              <w:pStyle w:val="Tablas"/>
              <w:rPr>
                <w:sz w:val="12"/>
                <w:szCs w:val="12"/>
              </w:rPr>
            </w:pPr>
            <w:r w:rsidRPr="00483EBE">
              <w:rPr>
                <w:sz w:val="12"/>
                <w:szCs w:val="12"/>
              </w:rPr>
              <w:t>SEBD</w:t>
            </w:r>
          </w:p>
        </w:tc>
      </w:tr>
      <w:tr w:rsidR="00572995" w:rsidRPr="00483EBE" w14:paraId="21AA91E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2D05E91"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EC8DD94" w14:textId="77777777" w:rsidR="00572995" w:rsidRPr="00483EBE" w:rsidRDefault="00572995" w:rsidP="00E8324D">
            <w:pPr>
              <w:pStyle w:val="Tablas"/>
              <w:rPr>
                <w:sz w:val="12"/>
                <w:szCs w:val="12"/>
              </w:rPr>
            </w:pPr>
            <w:r w:rsidRPr="00483EBE">
              <w:rPr>
                <w:sz w:val="12"/>
                <w:szCs w:val="12"/>
              </w:rPr>
              <w:t xml:space="preserve">980 </w:t>
            </w:r>
          </w:p>
        </w:tc>
        <w:tc>
          <w:tcPr>
            <w:tcW w:w="0" w:type="auto"/>
            <w:tcBorders>
              <w:top w:val="nil"/>
              <w:left w:val="nil"/>
              <w:bottom w:val="single" w:sz="4" w:space="0" w:color="auto"/>
              <w:right w:val="single" w:sz="4" w:space="0" w:color="auto"/>
            </w:tcBorders>
            <w:shd w:val="clear" w:color="auto" w:fill="auto"/>
            <w:vAlign w:val="center"/>
            <w:hideMark/>
          </w:tcPr>
          <w:p w14:paraId="2AE96F1A" w14:textId="77777777" w:rsidR="00572995" w:rsidRPr="00483EBE" w:rsidRDefault="00572995" w:rsidP="00E8324D">
            <w:pPr>
              <w:pStyle w:val="Tablas"/>
              <w:rPr>
                <w:sz w:val="12"/>
                <w:szCs w:val="12"/>
              </w:rPr>
            </w:pPr>
            <w:r w:rsidRPr="00483EBE">
              <w:rPr>
                <w:sz w:val="12"/>
                <w:szCs w:val="12"/>
              </w:rPr>
              <w:t>$4,746,261</w:t>
            </w:r>
          </w:p>
        </w:tc>
        <w:tc>
          <w:tcPr>
            <w:tcW w:w="0" w:type="auto"/>
            <w:tcBorders>
              <w:top w:val="nil"/>
              <w:left w:val="nil"/>
              <w:bottom w:val="single" w:sz="4" w:space="0" w:color="auto"/>
              <w:right w:val="single" w:sz="4" w:space="0" w:color="auto"/>
            </w:tcBorders>
            <w:shd w:val="clear" w:color="auto" w:fill="auto"/>
            <w:vAlign w:val="center"/>
            <w:hideMark/>
          </w:tcPr>
          <w:p w14:paraId="5858077E" w14:textId="77777777" w:rsidR="00572995" w:rsidRPr="00483EBE" w:rsidRDefault="00572995" w:rsidP="00E8324D">
            <w:pPr>
              <w:pStyle w:val="Tablas"/>
              <w:rPr>
                <w:sz w:val="12"/>
                <w:szCs w:val="12"/>
              </w:rPr>
            </w:pPr>
            <w:r w:rsidRPr="00483EBE">
              <w:rPr>
                <w:sz w:val="12"/>
                <w:szCs w:val="12"/>
              </w:rPr>
              <w:t>$4,843</w:t>
            </w:r>
          </w:p>
        </w:tc>
        <w:tc>
          <w:tcPr>
            <w:tcW w:w="0" w:type="auto"/>
            <w:tcBorders>
              <w:top w:val="nil"/>
              <w:left w:val="nil"/>
              <w:bottom w:val="single" w:sz="4" w:space="0" w:color="auto"/>
              <w:right w:val="single" w:sz="4" w:space="0" w:color="auto"/>
            </w:tcBorders>
            <w:shd w:val="clear" w:color="auto" w:fill="auto"/>
            <w:vAlign w:val="center"/>
            <w:hideMark/>
          </w:tcPr>
          <w:p w14:paraId="44245ED0" w14:textId="77777777" w:rsidR="00572995" w:rsidRPr="00483EBE" w:rsidRDefault="00572995" w:rsidP="00E8324D">
            <w:pPr>
              <w:pStyle w:val="Tablas"/>
              <w:rPr>
                <w:sz w:val="12"/>
                <w:szCs w:val="12"/>
              </w:rPr>
            </w:pPr>
            <w:r w:rsidRPr="00483EBE">
              <w:rPr>
                <w:sz w:val="12"/>
                <w:szCs w:val="12"/>
              </w:rPr>
              <w:t>$404</w:t>
            </w:r>
          </w:p>
        </w:tc>
        <w:tc>
          <w:tcPr>
            <w:tcW w:w="0" w:type="auto"/>
            <w:tcBorders>
              <w:top w:val="nil"/>
              <w:left w:val="nil"/>
              <w:bottom w:val="single" w:sz="4" w:space="0" w:color="auto"/>
              <w:right w:val="single" w:sz="4" w:space="0" w:color="auto"/>
            </w:tcBorders>
            <w:shd w:val="clear" w:color="auto" w:fill="auto"/>
            <w:vAlign w:val="center"/>
            <w:hideMark/>
          </w:tcPr>
          <w:p w14:paraId="42563CEF"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016C81D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BD7629"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116ADC10" w14:textId="77777777" w:rsidR="00572995" w:rsidRPr="00483EBE" w:rsidRDefault="00572995" w:rsidP="00E8324D">
            <w:pPr>
              <w:pStyle w:val="Tablas"/>
              <w:rPr>
                <w:sz w:val="12"/>
                <w:szCs w:val="12"/>
              </w:rPr>
            </w:pPr>
            <w:r w:rsidRPr="00483EBE">
              <w:rPr>
                <w:sz w:val="12"/>
                <w:szCs w:val="12"/>
              </w:rPr>
              <w:t xml:space="preserve">449 </w:t>
            </w:r>
          </w:p>
        </w:tc>
        <w:tc>
          <w:tcPr>
            <w:tcW w:w="0" w:type="auto"/>
            <w:tcBorders>
              <w:top w:val="nil"/>
              <w:left w:val="nil"/>
              <w:bottom w:val="single" w:sz="4" w:space="0" w:color="auto"/>
              <w:right w:val="single" w:sz="4" w:space="0" w:color="auto"/>
            </w:tcBorders>
            <w:shd w:val="clear" w:color="auto" w:fill="auto"/>
            <w:vAlign w:val="center"/>
            <w:hideMark/>
          </w:tcPr>
          <w:p w14:paraId="4B891699" w14:textId="77777777" w:rsidR="00572995" w:rsidRPr="00483EBE" w:rsidRDefault="00572995" w:rsidP="00E8324D">
            <w:pPr>
              <w:pStyle w:val="Tablas"/>
              <w:rPr>
                <w:sz w:val="12"/>
                <w:szCs w:val="12"/>
              </w:rPr>
            </w:pPr>
            <w:r w:rsidRPr="00483EBE">
              <w:rPr>
                <w:sz w:val="12"/>
                <w:szCs w:val="12"/>
              </w:rPr>
              <w:t>$2,486,190</w:t>
            </w:r>
          </w:p>
        </w:tc>
        <w:tc>
          <w:tcPr>
            <w:tcW w:w="0" w:type="auto"/>
            <w:tcBorders>
              <w:top w:val="nil"/>
              <w:left w:val="nil"/>
              <w:bottom w:val="single" w:sz="4" w:space="0" w:color="auto"/>
              <w:right w:val="single" w:sz="4" w:space="0" w:color="auto"/>
            </w:tcBorders>
            <w:shd w:val="clear" w:color="auto" w:fill="auto"/>
            <w:vAlign w:val="center"/>
            <w:hideMark/>
          </w:tcPr>
          <w:p w14:paraId="6534BBAE" w14:textId="77777777" w:rsidR="00572995" w:rsidRPr="00483EBE" w:rsidRDefault="00572995" w:rsidP="00E8324D">
            <w:pPr>
              <w:pStyle w:val="Tablas"/>
              <w:rPr>
                <w:sz w:val="12"/>
                <w:szCs w:val="12"/>
              </w:rPr>
            </w:pPr>
            <w:r w:rsidRPr="00483EBE">
              <w:rPr>
                <w:sz w:val="12"/>
                <w:szCs w:val="12"/>
              </w:rPr>
              <w:t>$5,537</w:t>
            </w:r>
          </w:p>
        </w:tc>
        <w:tc>
          <w:tcPr>
            <w:tcW w:w="0" w:type="auto"/>
            <w:tcBorders>
              <w:top w:val="nil"/>
              <w:left w:val="nil"/>
              <w:bottom w:val="single" w:sz="4" w:space="0" w:color="auto"/>
              <w:right w:val="single" w:sz="4" w:space="0" w:color="auto"/>
            </w:tcBorders>
            <w:shd w:val="clear" w:color="auto" w:fill="auto"/>
            <w:vAlign w:val="center"/>
            <w:hideMark/>
          </w:tcPr>
          <w:p w14:paraId="3310E2B8" w14:textId="77777777" w:rsidR="00572995" w:rsidRPr="00483EBE" w:rsidRDefault="00572995" w:rsidP="00E8324D">
            <w:pPr>
              <w:pStyle w:val="Tablas"/>
              <w:rPr>
                <w:sz w:val="12"/>
                <w:szCs w:val="12"/>
              </w:rPr>
            </w:pPr>
            <w:r w:rsidRPr="00483EBE">
              <w:rPr>
                <w:sz w:val="12"/>
                <w:szCs w:val="12"/>
              </w:rPr>
              <w:t>$461</w:t>
            </w:r>
          </w:p>
        </w:tc>
        <w:tc>
          <w:tcPr>
            <w:tcW w:w="0" w:type="auto"/>
            <w:tcBorders>
              <w:top w:val="nil"/>
              <w:left w:val="nil"/>
              <w:bottom w:val="single" w:sz="4" w:space="0" w:color="auto"/>
              <w:right w:val="single" w:sz="4" w:space="0" w:color="auto"/>
            </w:tcBorders>
            <w:shd w:val="clear" w:color="auto" w:fill="auto"/>
            <w:vAlign w:val="center"/>
            <w:hideMark/>
          </w:tcPr>
          <w:p w14:paraId="29D684E3"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5B4BC5A" w14:textId="77777777" w:rsidR="00572995" w:rsidRPr="00483EBE" w:rsidRDefault="00572995" w:rsidP="00E8324D">
            <w:pPr>
              <w:pStyle w:val="Tablas"/>
              <w:rPr>
                <w:sz w:val="12"/>
                <w:szCs w:val="12"/>
              </w:rPr>
            </w:pPr>
            <w:r w:rsidRPr="00483EBE">
              <w:rPr>
                <w:sz w:val="12"/>
                <w:szCs w:val="12"/>
              </w:rPr>
              <w:t>SEBD</w:t>
            </w:r>
          </w:p>
        </w:tc>
      </w:tr>
      <w:tr w:rsidR="00572995" w:rsidRPr="00483EBE" w14:paraId="73ADB6A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AC1027"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0EF47BB7" w14:textId="77777777" w:rsidR="00572995" w:rsidRPr="00483EBE" w:rsidRDefault="00572995" w:rsidP="00E8324D">
            <w:pPr>
              <w:pStyle w:val="Tablas"/>
              <w:rPr>
                <w:sz w:val="12"/>
                <w:szCs w:val="12"/>
              </w:rPr>
            </w:pPr>
            <w:r w:rsidRPr="00483EBE">
              <w:rPr>
                <w:sz w:val="12"/>
                <w:szCs w:val="12"/>
              </w:rPr>
              <w:t xml:space="preserve">913 </w:t>
            </w:r>
          </w:p>
        </w:tc>
        <w:tc>
          <w:tcPr>
            <w:tcW w:w="0" w:type="auto"/>
            <w:tcBorders>
              <w:top w:val="nil"/>
              <w:left w:val="nil"/>
              <w:bottom w:val="single" w:sz="4" w:space="0" w:color="auto"/>
              <w:right w:val="single" w:sz="4" w:space="0" w:color="auto"/>
            </w:tcBorders>
            <w:shd w:val="clear" w:color="auto" w:fill="auto"/>
            <w:vAlign w:val="center"/>
            <w:hideMark/>
          </w:tcPr>
          <w:p w14:paraId="543AE343" w14:textId="77777777" w:rsidR="00572995" w:rsidRPr="00483EBE" w:rsidRDefault="00572995" w:rsidP="00E8324D">
            <w:pPr>
              <w:pStyle w:val="Tablas"/>
              <w:rPr>
                <w:sz w:val="12"/>
                <w:szCs w:val="12"/>
              </w:rPr>
            </w:pPr>
            <w:r w:rsidRPr="00483EBE">
              <w:rPr>
                <w:sz w:val="12"/>
                <w:szCs w:val="12"/>
              </w:rPr>
              <w:t>$4,291,344</w:t>
            </w:r>
          </w:p>
        </w:tc>
        <w:tc>
          <w:tcPr>
            <w:tcW w:w="0" w:type="auto"/>
            <w:tcBorders>
              <w:top w:val="nil"/>
              <w:left w:val="nil"/>
              <w:bottom w:val="single" w:sz="4" w:space="0" w:color="auto"/>
              <w:right w:val="single" w:sz="4" w:space="0" w:color="auto"/>
            </w:tcBorders>
            <w:shd w:val="clear" w:color="auto" w:fill="auto"/>
            <w:vAlign w:val="center"/>
            <w:hideMark/>
          </w:tcPr>
          <w:p w14:paraId="722D5BA0" w14:textId="77777777" w:rsidR="00572995" w:rsidRPr="00483EBE" w:rsidRDefault="00572995" w:rsidP="00E8324D">
            <w:pPr>
              <w:pStyle w:val="Tablas"/>
              <w:rPr>
                <w:sz w:val="12"/>
                <w:szCs w:val="12"/>
              </w:rPr>
            </w:pPr>
            <w:r w:rsidRPr="00483EBE">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5121049B" w14:textId="77777777" w:rsidR="00572995" w:rsidRPr="00483EBE" w:rsidRDefault="00572995" w:rsidP="00E8324D">
            <w:pPr>
              <w:pStyle w:val="Tablas"/>
              <w:rPr>
                <w:sz w:val="12"/>
                <w:szCs w:val="12"/>
              </w:rPr>
            </w:pPr>
            <w:r w:rsidRPr="00483EBE">
              <w:rPr>
                <w:sz w:val="12"/>
                <w:szCs w:val="12"/>
              </w:rPr>
              <w:t>$392</w:t>
            </w:r>
          </w:p>
        </w:tc>
        <w:tc>
          <w:tcPr>
            <w:tcW w:w="0" w:type="auto"/>
            <w:tcBorders>
              <w:top w:val="nil"/>
              <w:left w:val="nil"/>
              <w:bottom w:val="single" w:sz="4" w:space="0" w:color="auto"/>
              <w:right w:val="single" w:sz="4" w:space="0" w:color="auto"/>
            </w:tcBorders>
            <w:shd w:val="clear" w:color="auto" w:fill="auto"/>
            <w:vAlign w:val="center"/>
            <w:hideMark/>
          </w:tcPr>
          <w:p w14:paraId="7ABA9555"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62FFD4B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B904D9F"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39FE77C5" w14:textId="77777777" w:rsidR="00572995" w:rsidRPr="00483EBE" w:rsidRDefault="00572995" w:rsidP="00E8324D">
            <w:pPr>
              <w:pStyle w:val="Tablas"/>
              <w:rPr>
                <w:sz w:val="12"/>
                <w:szCs w:val="12"/>
              </w:rPr>
            </w:pPr>
            <w:r w:rsidRPr="00483EBE">
              <w:rPr>
                <w:sz w:val="12"/>
                <w:szCs w:val="12"/>
              </w:rPr>
              <w:t xml:space="preserve">378 </w:t>
            </w:r>
          </w:p>
        </w:tc>
        <w:tc>
          <w:tcPr>
            <w:tcW w:w="0" w:type="auto"/>
            <w:tcBorders>
              <w:top w:val="nil"/>
              <w:left w:val="nil"/>
              <w:bottom w:val="single" w:sz="4" w:space="0" w:color="auto"/>
              <w:right w:val="single" w:sz="4" w:space="0" w:color="auto"/>
            </w:tcBorders>
            <w:shd w:val="clear" w:color="auto" w:fill="auto"/>
            <w:vAlign w:val="center"/>
            <w:hideMark/>
          </w:tcPr>
          <w:p w14:paraId="7245A471" w14:textId="77777777" w:rsidR="00572995" w:rsidRPr="00483EBE" w:rsidRDefault="00572995" w:rsidP="00E8324D">
            <w:pPr>
              <w:pStyle w:val="Tablas"/>
              <w:rPr>
                <w:sz w:val="12"/>
                <w:szCs w:val="12"/>
              </w:rPr>
            </w:pPr>
            <w:r w:rsidRPr="00483EBE">
              <w:rPr>
                <w:sz w:val="12"/>
                <w:szCs w:val="12"/>
              </w:rPr>
              <w:t>$2,076,450</w:t>
            </w:r>
          </w:p>
        </w:tc>
        <w:tc>
          <w:tcPr>
            <w:tcW w:w="0" w:type="auto"/>
            <w:tcBorders>
              <w:top w:val="nil"/>
              <w:left w:val="nil"/>
              <w:bottom w:val="single" w:sz="4" w:space="0" w:color="auto"/>
              <w:right w:val="single" w:sz="4" w:space="0" w:color="auto"/>
            </w:tcBorders>
            <w:shd w:val="clear" w:color="auto" w:fill="auto"/>
            <w:vAlign w:val="center"/>
            <w:hideMark/>
          </w:tcPr>
          <w:p w14:paraId="74C2881F" w14:textId="77777777" w:rsidR="00572995" w:rsidRPr="00483EBE" w:rsidRDefault="00572995" w:rsidP="00E8324D">
            <w:pPr>
              <w:pStyle w:val="Tablas"/>
              <w:rPr>
                <w:sz w:val="12"/>
                <w:szCs w:val="12"/>
              </w:rPr>
            </w:pPr>
            <w:r w:rsidRPr="00483EBE">
              <w:rPr>
                <w:sz w:val="12"/>
                <w:szCs w:val="12"/>
              </w:rPr>
              <w:t>$5,493</w:t>
            </w:r>
          </w:p>
        </w:tc>
        <w:tc>
          <w:tcPr>
            <w:tcW w:w="0" w:type="auto"/>
            <w:tcBorders>
              <w:top w:val="nil"/>
              <w:left w:val="nil"/>
              <w:bottom w:val="single" w:sz="4" w:space="0" w:color="auto"/>
              <w:right w:val="single" w:sz="4" w:space="0" w:color="auto"/>
            </w:tcBorders>
            <w:shd w:val="clear" w:color="auto" w:fill="auto"/>
            <w:vAlign w:val="center"/>
            <w:hideMark/>
          </w:tcPr>
          <w:p w14:paraId="65ECFDE1" w14:textId="77777777" w:rsidR="00572995" w:rsidRPr="00483EBE" w:rsidRDefault="00572995" w:rsidP="00E8324D">
            <w:pPr>
              <w:pStyle w:val="Tablas"/>
              <w:rPr>
                <w:sz w:val="12"/>
                <w:szCs w:val="12"/>
              </w:rPr>
            </w:pPr>
            <w:r w:rsidRPr="00483EBE">
              <w:rPr>
                <w:sz w:val="12"/>
                <w:szCs w:val="12"/>
              </w:rPr>
              <w:t>$458</w:t>
            </w:r>
          </w:p>
        </w:tc>
        <w:tc>
          <w:tcPr>
            <w:tcW w:w="0" w:type="auto"/>
            <w:tcBorders>
              <w:top w:val="nil"/>
              <w:left w:val="nil"/>
              <w:bottom w:val="single" w:sz="4" w:space="0" w:color="auto"/>
              <w:right w:val="single" w:sz="4" w:space="0" w:color="auto"/>
            </w:tcBorders>
            <w:shd w:val="clear" w:color="auto" w:fill="auto"/>
            <w:vAlign w:val="center"/>
            <w:hideMark/>
          </w:tcPr>
          <w:p w14:paraId="4FD47AE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57AD0EC" w14:textId="77777777" w:rsidR="00572995" w:rsidRPr="00483EBE" w:rsidRDefault="00572995" w:rsidP="00E8324D">
            <w:pPr>
              <w:pStyle w:val="Tablas"/>
              <w:rPr>
                <w:sz w:val="12"/>
                <w:szCs w:val="12"/>
              </w:rPr>
            </w:pPr>
            <w:r w:rsidRPr="00483EBE">
              <w:rPr>
                <w:sz w:val="12"/>
                <w:szCs w:val="12"/>
              </w:rPr>
              <w:t>SEBD</w:t>
            </w:r>
          </w:p>
        </w:tc>
      </w:tr>
      <w:tr w:rsidR="00572995" w:rsidRPr="00483EBE" w14:paraId="113CA1C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44814D"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61214B00" w14:textId="77777777" w:rsidR="00572995" w:rsidRPr="00483EBE" w:rsidRDefault="00572995" w:rsidP="00E8324D">
            <w:pPr>
              <w:pStyle w:val="Tablas"/>
              <w:rPr>
                <w:sz w:val="12"/>
                <w:szCs w:val="12"/>
              </w:rPr>
            </w:pPr>
            <w:r w:rsidRPr="00483EBE">
              <w:rPr>
                <w:sz w:val="12"/>
                <w:szCs w:val="12"/>
              </w:rPr>
              <w:t xml:space="preserve">867 </w:t>
            </w:r>
          </w:p>
        </w:tc>
        <w:tc>
          <w:tcPr>
            <w:tcW w:w="0" w:type="auto"/>
            <w:tcBorders>
              <w:top w:val="nil"/>
              <w:left w:val="nil"/>
              <w:bottom w:val="single" w:sz="4" w:space="0" w:color="auto"/>
              <w:right w:val="single" w:sz="4" w:space="0" w:color="auto"/>
            </w:tcBorders>
            <w:shd w:val="clear" w:color="auto" w:fill="auto"/>
            <w:vAlign w:val="center"/>
            <w:hideMark/>
          </w:tcPr>
          <w:p w14:paraId="55472BA5" w14:textId="77777777" w:rsidR="00572995" w:rsidRPr="00483EBE" w:rsidRDefault="00572995" w:rsidP="00E8324D">
            <w:pPr>
              <w:pStyle w:val="Tablas"/>
              <w:rPr>
                <w:sz w:val="12"/>
                <w:szCs w:val="12"/>
              </w:rPr>
            </w:pPr>
            <w:r w:rsidRPr="00483EBE">
              <w:rPr>
                <w:sz w:val="12"/>
                <w:szCs w:val="12"/>
              </w:rPr>
              <w:t>$3,861,096</w:t>
            </w:r>
          </w:p>
        </w:tc>
        <w:tc>
          <w:tcPr>
            <w:tcW w:w="0" w:type="auto"/>
            <w:tcBorders>
              <w:top w:val="nil"/>
              <w:left w:val="nil"/>
              <w:bottom w:val="single" w:sz="4" w:space="0" w:color="auto"/>
              <w:right w:val="single" w:sz="4" w:space="0" w:color="auto"/>
            </w:tcBorders>
            <w:shd w:val="clear" w:color="auto" w:fill="auto"/>
            <w:vAlign w:val="center"/>
            <w:hideMark/>
          </w:tcPr>
          <w:p w14:paraId="26624152" w14:textId="77777777" w:rsidR="00572995" w:rsidRPr="00483EBE" w:rsidRDefault="00572995" w:rsidP="00E8324D">
            <w:pPr>
              <w:pStyle w:val="Tablas"/>
              <w:rPr>
                <w:sz w:val="12"/>
                <w:szCs w:val="12"/>
              </w:rPr>
            </w:pPr>
            <w:r w:rsidRPr="00483EBE">
              <w:rPr>
                <w:sz w:val="12"/>
                <w:szCs w:val="12"/>
              </w:rPr>
              <w:t>$4,453</w:t>
            </w:r>
          </w:p>
        </w:tc>
        <w:tc>
          <w:tcPr>
            <w:tcW w:w="0" w:type="auto"/>
            <w:tcBorders>
              <w:top w:val="nil"/>
              <w:left w:val="nil"/>
              <w:bottom w:val="single" w:sz="4" w:space="0" w:color="auto"/>
              <w:right w:val="single" w:sz="4" w:space="0" w:color="auto"/>
            </w:tcBorders>
            <w:shd w:val="clear" w:color="auto" w:fill="auto"/>
            <w:vAlign w:val="center"/>
            <w:hideMark/>
          </w:tcPr>
          <w:p w14:paraId="22709B3E" w14:textId="77777777" w:rsidR="00572995" w:rsidRPr="00483EBE" w:rsidRDefault="00572995" w:rsidP="00E8324D">
            <w:pPr>
              <w:pStyle w:val="Tablas"/>
              <w:rPr>
                <w:sz w:val="12"/>
                <w:szCs w:val="12"/>
              </w:rPr>
            </w:pPr>
            <w:r w:rsidRPr="00483EBE">
              <w:rPr>
                <w:sz w:val="12"/>
                <w:szCs w:val="12"/>
              </w:rPr>
              <w:t>$371</w:t>
            </w:r>
          </w:p>
        </w:tc>
        <w:tc>
          <w:tcPr>
            <w:tcW w:w="0" w:type="auto"/>
            <w:tcBorders>
              <w:top w:val="nil"/>
              <w:left w:val="nil"/>
              <w:bottom w:val="single" w:sz="4" w:space="0" w:color="auto"/>
              <w:right w:val="single" w:sz="4" w:space="0" w:color="auto"/>
            </w:tcBorders>
            <w:shd w:val="clear" w:color="auto" w:fill="auto"/>
            <w:vAlign w:val="center"/>
            <w:hideMark/>
          </w:tcPr>
          <w:p w14:paraId="550052B1"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087140D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D17190"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2CFE8C03" w14:textId="77777777" w:rsidR="00572995" w:rsidRPr="00483EBE" w:rsidRDefault="00572995" w:rsidP="00E8324D">
            <w:pPr>
              <w:pStyle w:val="Tablas"/>
              <w:rPr>
                <w:sz w:val="12"/>
                <w:szCs w:val="12"/>
              </w:rPr>
            </w:pPr>
            <w:r w:rsidRPr="00483EBE">
              <w:rPr>
                <w:sz w:val="12"/>
                <w:szCs w:val="12"/>
              </w:rPr>
              <w:t xml:space="preserve">299 </w:t>
            </w:r>
          </w:p>
        </w:tc>
        <w:tc>
          <w:tcPr>
            <w:tcW w:w="0" w:type="auto"/>
            <w:tcBorders>
              <w:top w:val="nil"/>
              <w:left w:val="nil"/>
              <w:bottom w:val="single" w:sz="4" w:space="0" w:color="auto"/>
              <w:right w:val="single" w:sz="4" w:space="0" w:color="auto"/>
            </w:tcBorders>
            <w:shd w:val="clear" w:color="auto" w:fill="auto"/>
            <w:vAlign w:val="center"/>
            <w:hideMark/>
          </w:tcPr>
          <w:p w14:paraId="3C4E1BBE" w14:textId="77777777" w:rsidR="00572995" w:rsidRPr="00483EBE" w:rsidRDefault="00572995" w:rsidP="00E8324D">
            <w:pPr>
              <w:pStyle w:val="Tablas"/>
              <w:rPr>
                <w:sz w:val="12"/>
                <w:szCs w:val="12"/>
              </w:rPr>
            </w:pPr>
            <w:r w:rsidRPr="00483EBE">
              <w:rPr>
                <w:sz w:val="12"/>
                <w:szCs w:val="12"/>
              </w:rPr>
              <w:t>$1,701,120</w:t>
            </w:r>
          </w:p>
        </w:tc>
        <w:tc>
          <w:tcPr>
            <w:tcW w:w="0" w:type="auto"/>
            <w:tcBorders>
              <w:top w:val="nil"/>
              <w:left w:val="nil"/>
              <w:bottom w:val="single" w:sz="4" w:space="0" w:color="auto"/>
              <w:right w:val="single" w:sz="4" w:space="0" w:color="auto"/>
            </w:tcBorders>
            <w:shd w:val="clear" w:color="auto" w:fill="auto"/>
            <w:vAlign w:val="center"/>
            <w:hideMark/>
          </w:tcPr>
          <w:p w14:paraId="1B8B1AE6" w14:textId="77777777" w:rsidR="00572995" w:rsidRPr="00483EBE" w:rsidRDefault="00572995" w:rsidP="00E8324D">
            <w:pPr>
              <w:pStyle w:val="Tablas"/>
              <w:rPr>
                <w:sz w:val="12"/>
                <w:szCs w:val="12"/>
              </w:rPr>
            </w:pPr>
            <w:r w:rsidRPr="00483EBE">
              <w:rPr>
                <w:sz w:val="12"/>
                <w:szCs w:val="12"/>
              </w:rPr>
              <w:t>$5,689</w:t>
            </w:r>
          </w:p>
        </w:tc>
        <w:tc>
          <w:tcPr>
            <w:tcW w:w="0" w:type="auto"/>
            <w:tcBorders>
              <w:top w:val="nil"/>
              <w:left w:val="nil"/>
              <w:bottom w:val="single" w:sz="4" w:space="0" w:color="auto"/>
              <w:right w:val="single" w:sz="4" w:space="0" w:color="auto"/>
            </w:tcBorders>
            <w:shd w:val="clear" w:color="auto" w:fill="auto"/>
            <w:vAlign w:val="center"/>
            <w:hideMark/>
          </w:tcPr>
          <w:p w14:paraId="429398FC" w14:textId="77777777" w:rsidR="00572995" w:rsidRPr="00483EBE" w:rsidRDefault="00572995" w:rsidP="00E8324D">
            <w:pPr>
              <w:pStyle w:val="Tablas"/>
              <w:rPr>
                <w:sz w:val="12"/>
                <w:szCs w:val="12"/>
              </w:rPr>
            </w:pPr>
            <w:r w:rsidRPr="00483EBE">
              <w:rPr>
                <w:sz w:val="12"/>
                <w:szCs w:val="12"/>
              </w:rPr>
              <w:t>$474</w:t>
            </w:r>
          </w:p>
        </w:tc>
        <w:tc>
          <w:tcPr>
            <w:tcW w:w="0" w:type="auto"/>
            <w:tcBorders>
              <w:top w:val="nil"/>
              <w:left w:val="nil"/>
              <w:bottom w:val="single" w:sz="4" w:space="0" w:color="auto"/>
              <w:right w:val="single" w:sz="4" w:space="0" w:color="auto"/>
            </w:tcBorders>
            <w:shd w:val="clear" w:color="auto" w:fill="auto"/>
            <w:vAlign w:val="center"/>
            <w:hideMark/>
          </w:tcPr>
          <w:p w14:paraId="3360D490"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24C76A10" w14:textId="77777777" w:rsidR="00572995" w:rsidRPr="00483EBE" w:rsidRDefault="00572995" w:rsidP="00E8324D">
            <w:pPr>
              <w:pStyle w:val="Tablas"/>
              <w:rPr>
                <w:sz w:val="12"/>
                <w:szCs w:val="12"/>
              </w:rPr>
            </w:pPr>
            <w:r w:rsidRPr="00483EBE">
              <w:rPr>
                <w:sz w:val="12"/>
                <w:szCs w:val="12"/>
              </w:rPr>
              <w:t>SEBD</w:t>
            </w:r>
          </w:p>
        </w:tc>
      </w:tr>
      <w:tr w:rsidR="00572995" w:rsidRPr="00483EBE" w14:paraId="7A0DC8F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E184C4D"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65341876" w14:textId="77777777" w:rsidR="00572995" w:rsidRPr="00483EBE" w:rsidRDefault="00572995" w:rsidP="00E8324D">
            <w:pPr>
              <w:pStyle w:val="Tablas"/>
              <w:rPr>
                <w:sz w:val="12"/>
                <w:szCs w:val="12"/>
              </w:rPr>
            </w:pPr>
            <w:r w:rsidRPr="00483EBE">
              <w:rPr>
                <w:sz w:val="12"/>
                <w:szCs w:val="12"/>
              </w:rPr>
              <w:t xml:space="preserve">807 </w:t>
            </w:r>
          </w:p>
        </w:tc>
        <w:tc>
          <w:tcPr>
            <w:tcW w:w="0" w:type="auto"/>
            <w:tcBorders>
              <w:top w:val="nil"/>
              <w:left w:val="nil"/>
              <w:bottom w:val="single" w:sz="4" w:space="0" w:color="auto"/>
              <w:right w:val="single" w:sz="4" w:space="0" w:color="auto"/>
            </w:tcBorders>
            <w:shd w:val="clear" w:color="auto" w:fill="auto"/>
            <w:vAlign w:val="center"/>
            <w:hideMark/>
          </w:tcPr>
          <w:p w14:paraId="1A9B55B0" w14:textId="77777777" w:rsidR="00572995" w:rsidRPr="00483EBE" w:rsidRDefault="00572995" w:rsidP="00E8324D">
            <w:pPr>
              <w:pStyle w:val="Tablas"/>
              <w:rPr>
                <w:sz w:val="12"/>
                <w:szCs w:val="12"/>
              </w:rPr>
            </w:pPr>
            <w:r w:rsidRPr="00483EBE">
              <w:rPr>
                <w:sz w:val="12"/>
                <w:szCs w:val="12"/>
              </w:rPr>
              <w:t>$3,864,852</w:t>
            </w:r>
          </w:p>
        </w:tc>
        <w:tc>
          <w:tcPr>
            <w:tcW w:w="0" w:type="auto"/>
            <w:tcBorders>
              <w:top w:val="nil"/>
              <w:left w:val="nil"/>
              <w:bottom w:val="single" w:sz="4" w:space="0" w:color="auto"/>
              <w:right w:val="single" w:sz="4" w:space="0" w:color="auto"/>
            </w:tcBorders>
            <w:shd w:val="clear" w:color="auto" w:fill="auto"/>
            <w:vAlign w:val="center"/>
            <w:hideMark/>
          </w:tcPr>
          <w:p w14:paraId="54330D37" w14:textId="77777777" w:rsidR="00572995" w:rsidRPr="00483EBE" w:rsidRDefault="00572995" w:rsidP="00E8324D">
            <w:pPr>
              <w:pStyle w:val="Tablas"/>
              <w:rPr>
                <w:sz w:val="12"/>
                <w:szCs w:val="12"/>
              </w:rPr>
            </w:pPr>
            <w:r w:rsidRPr="00483EBE">
              <w:rPr>
                <w:sz w:val="12"/>
                <w:szCs w:val="12"/>
              </w:rPr>
              <w:t>$4,789</w:t>
            </w:r>
          </w:p>
        </w:tc>
        <w:tc>
          <w:tcPr>
            <w:tcW w:w="0" w:type="auto"/>
            <w:tcBorders>
              <w:top w:val="nil"/>
              <w:left w:val="nil"/>
              <w:bottom w:val="single" w:sz="4" w:space="0" w:color="auto"/>
              <w:right w:val="single" w:sz="4" w:space="0" w:color="auto"/>
            </w:tcBorders>
            <w:shd w:val="clear" w:color="auto" w:fill="auto"/>
            <w:vAlign w:val="center"/>
            <w:hideMark/>
          </w:tcPr>
          <w:p w14:paraId="458ECD5F" w14:textId="77777777" w:rsidR="00572995" w:rsidRPr="00483EBE" w:rsidRDefault="00572995" w:rsidP="00E8324D">
            <w:pPr>
              <w:pStyle w:val="Tablas"/>
              <w:rPr>
                <w:sz w:val="12"/>
                <w:szCs w:val="12"/>
              </w:rPr>
            </w:pPr>
            <w:r w:rsidRPr="00483EBE">
              <w:rPr>
                <w:sz w:val="12"/>
                <w:szCs w:val="12"/>
              </w:rPr>
              <w:t>$399</w:t>
            </w:r>
          </w:p>
        </w:tc>
        <w:tc>
          <w:tcPr>
            <w:tcW w:w="0" w:type="auto"/>
            <w:tcBorders>
              <w:top w:val="nil"/>
              <w:left w:val="nil"/>
              <w:bottom w:val="single" w:sz="4" w:space="0" w:color="auto"/>
              <w:right w:val="single" w:sz="4" w:space="0" w:color="auto"/>
            </w:tcBorders>
            <w:shd w:val="clear" w:color="auto" w:fill="auto"/>
            <w:vAlign w:val="center"/>
            <w:hideMark/>
          </w:tcPr>
          <w:p w14:paraId="12699FE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92884C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7AF660"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24A9551" w14:textId="77777777" w:rsidR="00572995" w:rsidRPr="00483EBE" w:rsidRDefault="00572995" w:rsidP="00E8324D">
            <w:pPr>
              <w:pStyle w:val="Tablas"/>
              <w:rPr>
                <w:sz w:val="12"/>
                <w:szCs w:val="12"/>
              </w:rPr>
            </w:pPr>
            <w:r w:rsidRPr="00483EBE">
              <w:rPr>
                <w:sz w:val="12"/>
                <w:szCs w:val="12"/>
              </w:rPr>
              <w:t xml:space="preserve">294 </w:t>
            </w:r>
          </w:p>
        </w:tc>
        <w:tc>
          <w:tcPr>
            <w:tcW w:w="0" w:type="auto"/>
            <w:tcBorders>
              <w:top w:val="nil"/>
              <w:left w:val="nil"/>
              <w:bottom w:val="single" w:sz="4" w:space="0" w:color="auto"/>
              <w:right w:val="single" w:sz="4" w:space="0" w:color="auto"/>
            </w:tcBorders>
            <w:shd w:val="clear" w:color="auto" w:fill="auto"/>
            <w:vAlign w:val="center"/>
            <w:hideMark/>
          </w:tcPr>
          <w:p w14:paraId="624F3976" w14:textId="77777777" w:rsidR="00572995" w:rsidRPr="00483EBE" w:rsidRDefault="00572995" w:rsidP="00E8324D">
            <w:pPr>
              <w:pStyle w:val="Tablas"/>
              <w:rPr>
                <w:sz w:val="12"/>
                <w:szCs w:val="12"/>
              </w:rPr>
            </w:pPr>
            <w:r w:rsidRPr="00483EBE">
              <w:rPr>
                <w:sz w:val="12"/>
                <w:szCs w:val="12"/>
              </w:rPr>
              <w:t>$1,573,478</w:t>
            </w:r>
          </w:p>
        </w:tc>
        <w:tc>
          <w:tcPr>
            <w:tcW w:w="0" w:type="auto"/>
            <w:tcBorders>
              <w:top w:val="nil"/>
              <w:left w:val="nil"/>
              <w:bottom w:val="single" w:sz="4" w:space="0" w:color="auto"/>
              <w:right w:val="single" w:sz="4" w:space="0" w:color="auto"/>
            </w:tcBorders>
            <w:shd w:val="clear" w:color="auto" w:fill="auto"/>
            <w:vAlign w:val="center"/>
            <w:hideMark/>
          </w:tcPr>
          <w:p w14:paraId="145C596F" w14:textId="77777777" w:rsidR="00572995" w:rsidRPr="00483EBE" w:rsidRDefault="00572995" w:rsidP="00E8324D">
            <w:pPr>
              <w:pStyle w:val="Tablas"/>
              <w:rPr>
                <w:sz w:val="12"/>
                <w:szCs w:val="12"/>
              </w:rPr>
            </w:pPr>
            <w:r w:rsidRPr="00483EBE">
              <w:rPr>
                <w:sz w:val="12"/>
                <w:szCs w:val="12"/>
              </w:rPr>
              <w:t>$5,352</w:t>
            </w:r>
          </w:p>
        </w:tc>
        <w:tc>
          <w:tcPr>
            <w:tcW w:w="0" w:type="auto"/>
            <w:tcBorders>
              <w:top w:val="nil"/>
              <w:left w:val="nil"/>
              <w:bottom w:val="single" w:sz="4" w:space="0" w:color="auto"/>
              <w:right w:val="single" w:sz="4" w:space="0" w:color="auto"/>
            </w:tcBorders>
            <w:shd w:val="clear" w:color="auto" w:fill="auto"/>
            <w:vAlign w:val="center"/>
            <w:hideMark/>
          </w:tcPr>
          <w:p w14:paraId="35DFAA93" w14:textId="77777777" w:rsidR="00572995" w:rsidRPr="00483EBE" w:rsidRDefault="00572995" w:rsidP="00E8324D">
            <w:pPr>
              <w:pStyle w:val="Tablas"/>
              <w:rPr>
                <w:sz w:val="12"/>
                <w:szCs w:val="12"/>
              </w:rPr>
            </w:pPr>
            <w:r w:rsidRPr="00483EBE">
              <w:rPr>
                <w:sz w:val="12"/>
                <w:szCs w:val="12"/>
              </w:rPr>
              <w:t>$446</w:t>
            </w:r>
          </w:p>
        </w:tc>
        <w:tc>
          <w:tcPr>
            <w:tcW w:w="0" w:type="auto"/>
            <w:tcBorders>
              <w:top w:val="nil"/>
              <w:left w:val="nil"/>
              <w:bottom w:val="single" w:sz="4" w:space="0" w:color="auto"/>
              <w:right w:val="single" w:sz="4" w:space="0" w:color="auto"/>
            </w:tcBorders>
            <w:shd w:val="clear" w:color="auto" w:fill="auto"/>
            <w:vAlign w:val="center"/>
            <w:hideMark/>
          </w:tcPr>
          <w:p w14:paraId="609FAC8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8AAC328" w14:textId="77777777" w:rsidR="00572995" w:rsidRPr="00483EBE" w:rsidRDefault="00572995" w:rsidP="00E8324D">
            <w:pPr>
              <w:pStyle w:val="Tablas"/>
              <w:rPr>
                <w:sz w:val="12"/>
                <w:szCs w:val="12"/>
              </w:rPr>
            </w:pPr>
            <w:r w:rsidRPr="00483EBE">
              <w:rPr>
                <w:sz w:val="12"/>
                <w:szCs w:val="12"/>
              </w:rPr>
              <w:t>SEBD</w:t>
            </w:r>
          </w:p>
        </w:tc>
      </w:tr>
      <w:tr w:rsidR="00572995" w:rsidRPr="00483EBE" w14:paraId="5DDA308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E4B4F3"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49FED812" w14:textId="77777777" w:rsidR="00572995" w:rsidRPr="00483EBE" w:rsidRDefault="00572995" w:rsidP="00E8324D">
            <w:pPr>
              <w:pStyle w:val="Tablas"/>
              <w:rPr>
                <w:sz w:val="12"/>
                <w:szCs w:val="12"/>
              </w:rPr>
            </w:pPr>
            <w:r w:rsidRPr="00483EBE">
              <w:rPr>
                <w:sz w:val="12"/>
                <w:szCs w:val="12"/>
              </w:rPr>
              <w:t xml:space="preserve">638 </w:t>
            </w:r>
          </w:p>
        </w:tc>
        <w:tc>
          <w:tcPr>
            <w:tcW w:w="0" w:type="auto"/>
            <w:tcBorders>
              <w:top w:val="nil"/>
              <w:left w:val="nil"/>
              <w:bottom w:val="single" w:sz="4" w:space="0" w:color="auto"/>
              <w:right w:val="single" w:sz="4" w:space="0" w:color="auto"/>
            </w:tcBorders>
            <w:shd w:val="clear" w:color="auto" w:fill="auto"/>
            <w:vAlign w:val="center"/>
            <w:hideMark/>
          </w:tcPr>
          <w:p w14:paraId="50B405E0" w14:textId="77777777" w:rsidR="00572995" w:rsidRPr="00483EBE" w:rsidRDefault="00572995" w:rsidP="00E8324D">
            <w:pPr>
              <w:pStyle w:val="Tablas"/>
              <w:rPr>
                <w:sz w:val="12"/>
                <w:szCs w:val="12"/>
              </w:rPr>
            </w:pPr>
            <w:r w:rsidRPr="00483EBE">
              <w:rPr>
                <w:sz w:val="12"/>
                <w:szCs w:val="12"/>
              </w:rPr>
              <w:t>$3,147,793</w:t>
            </w:r>
          </w:p>
        </w:tc>
        <w:tc>
          <w:tcPr>
            <w:tcW w:w="0" w:type="auto"/>
            <w:tcBorders>
              <w:top w:val="nil"/>
              <w:left w:val="nil"/>
              <w:bottom w:val="single" w:sz="4" w:space="0" w:color="auto"/>
              <w:right w:val="single" w:sz="4" w:space="0" w:color="auto"/>
            </w:tcBorders>
            <w:shd w:val="clear" w:color="auto" w:fill="auto"/>
            <w:vAlign w:val="center"/>
            <w:hideMark/>
          </w:tcPr>
          <w:p w14:paraId="25524C53" w14:textId="77777777" w:rsidR="00572995" w:rsidRPr="00483EBE" w:rsidRDefault="00572995" w:rsidP="00E8324D">
            <w:pPr>
              <w:pStyle w:val="Tablas"/>
              <w:rPr>
                <w:sz w:val="12"/>
                <w:szCs w:val="12"/>
              </w:rPr>
            </w:pPr>
            <w:r w:rsidRPr="00483EBE">
              <w:rPr>
                <w:sz w:val="12"/>
                <w:szCs w:val="12"/>
              </w:rPr>
              <w:t>$4,934</w:t>
            </w:r>
          </w:p>
        </w:tc>
        <w:tc>
          <w:tcPr>
            <w:tcW w:w="0" w:type="auto"/>
            <w:tcBorders>
              <w:top w:val="nil"/>
              <w:left w:val="nil"/>
              <w:bottom w:val="single" w:sz="4" w:space="0" w:color="auto"/>
              <w:right w:val="single" w:sz="4" w:space="0" w:color="auto"/>
            </w:tcBorders>
            <w:shd w:val="clear" w:color="auto" w:fill="auto"/>
            <w:vAlign w:val="center"/>
            <w:hideMark/>
          </w:tcPr>
          <w:p w14:paraId="6146DFD8" w14:textId="77777777" w:rsidR="00572995" w:rsidRPr="00483EBE" w:rsidRDefault="00572995" w:rsidP="00E8324D">
            <w:pPr>
              <w:pStyle w:val="Tablas"/>
              <w:rPr>
                <w:sz w:val="12"/>
                <w:szCs w:val="12"/>
              </w:rPr>
            </w:pPr>
            <w:r w:rsidRPr="00483EBE">
              <w:rPr>
                <w:sz w:val="12"/>
                <w:szCs w:val="12"/>
              </w:rPr>
              <w:t>$411</w:t>
            </w:r>
          </w:p>
        </w:tc>
        <w:tc>
          <w:tcPr>
            <w:tcW w:w="0" w:type="auto"/>
            <w:tcBorders>
              <w:top w:val="nil"/>
              <w:left w:val="nil"/>
              <w:bottom w:val="single" w:sz="4" w:space="0" w:color="auto"/>
              <w:right w:val="single" w:sz="4" w:space="0" w:color="auto"/>
            </w:tcBorders>
            <w:shd w:val="clear" w:color="auto" w:fill="auto"/>
            <w:vAlign w:val="center"/>
            <w:hideMark/>
          </w:tcPr>
          <w:p w14:paraId="77065D8C"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A3FBC4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267903"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00FD28AF" w14:textId="77777777" w:rsidR="00572995" w:rsidRPr="00483EBE" w:rsidRDefault="00572995" w:rsidP="00E8324D">
            <w:pPr>
              <w:pStyle w:val="Tablas"/>
              <w:rPr>
                <w:sz w:val="12"/>
                <w:szCs w:val="12"/>
              </w:rPr>
            </w:pPr>
            <w:r w:rsidRPr="00483EBE">
              <w:rPr>
                <w:sz w:val="12"/>
                <w:szCs w:val="12"/>
              </w:rPr>
              <w:t xml:space="preserve">232 </w:t>
            </w:r>
          </w:p>
        </w:tc>
        <w:tc>
          <w:tcPr>
            <w:tcW w:w="0" w:type="auto"/>
            <w:tcBorders>
              <w:top w:val="nil"/>
              <w:left w:val="nil"/>
              <w:bottom w:val="single" w:sz="4" w:space="0" w:color="auto"/>
              <w:right w:val="single" w:sz="4" w:space="0" w:color="auto"/>
            </w:tcBorders>
            <w:shd w:val="clear" w:color="auto" w:fill="auto"/>
            <w:vAlign w:val="center"/>
            <w:hideMark/>
          </w:tcPr>
          <w:p w14:paraId="0B0E64B8" w14:textId="77777777" w:rsidR="00572995" w:rsidRPr="00483EBE" w:rsidRDefault="00572995" w:rsidP="00E8324D">
            <w:pPr>
              <w:pStyle w:val="Tablas"/>
              <w:rPr>
                <w:sz w:val="12"/>
                <w:szCs w:val="12"/>
              </w:rPr>
            </w:pPr>
            <w:r w:rsidRPr="00483EBE">
              <w:rPr>
                <w:sz w:val="12"/>
                <w:szCs w:val="12"/>
              </w:rPr>
              <w:t>$1,180,422</w:t>
            </w:r>
          </w:p>
        </w:tc>
        <w:tc>
          <w:tcPr>
            <w:tcW w:w="0" w:type="auto"/>
            <w:tcBorders>
              <w:top w:val="nil"/>
              <w:left w:val="nil"/>
              <w:bottom w:val="single" w:sz="4" w:space="0" w:color="auto"/>
              <w:right w:val="single" w:sz="4" w:space="0" w:color="auto"/>
            </w:tcBorders>
            <w:shd w:val="clear" w:color="auto" w:fill="auto"/>
            <w:vAlign w:val="center"/>
            <w:hideMark/>
          </w:tcPr>
          <w:p w14:paraId="423AA197" w14:textId="77777777" w:rsidR="00572995" w:rsidRPr="00483EBE" w:rsidRDefault="00572995" w:rsidP="00E8324D">
            <w:pPr>
              <w:pStyle w:val="Tablas"/>
              <w:rPr>
                <w:sz w:val="12"/>
                <w:szCs w:val="12"/>
              </w:rPr>
            </w:pPr>
            <w:r w:rsidRPr="00483EBE">
              <w:rPr>
                <w:sz w:val="12"/>
                <w:szCs w:val="12"/>
              </w:rPr>
              <w:t>$5,088</w:t>
            </w:r>
          </w:p>
        </w:tc>
        <w:tc>
          <w:tcPr>
            <w:tcW w:w="0" w:type="auto"/>
            <w:tcBorders>
              <w:top w:val="nil"/>
              <w:left w:val="nil"/>
              <w:bottom w:val="single" w:sz="4" w:space="0" w:color="auto"/>
              <w:right w:val="single" w:sz="4" w:space="0" w:color="auto"/>
            </w:tcBorders>
            <w:shd w:val="clear" w:color="auto" w:fill="auto"/>
            <w:vAlign w:val="center"/>
            <w:hideMark/>
          </w:tcPr>
          <w:p w14:paraId="5E55EC6B" w14:textId="77777777" w:rsidR="00572995" w:rsidRPr="00483EBE" w:rsidRDefault="00572995" w:rsidP="00E8324D">
            <w:pPr>
              <w:pStyle w:val="Tablas"/>
              <w:rPr>
                <w:sz w:val="12"/>
                <w:szCs w:val="12"/>
              </w:rPr>
            </w:pPr>
            <w:r w:rsidRPr="00483EBE">
              <w:rPr>
                <w:sz w:val="12"/>
                <w:szCs w:val="12"/>
              </w:rPr>
              <w:t>$424</w:t>
            </w:r>
          </w:p>
        </w:tc>
        <w:tc>
          <w:tcPr>
            <w:tcW w:w="0" w:type="auto"/>
            <w:tcBorders>
              <w:top w:val="nil"/>
              <w:left w:val="nil"/>
              <w:bottom w:val="single" w:sz="4" w:space="0" w:color="auto"/>
              <w:right w:val="single" w:sz="4" w:space="0" w:color="auto"/>
            </w:tcBorders>
            <w:shd w:val="clear" w:color="auto" w:fill="auto"/>
            <w:vAlign w:val="center"/>
            <w:hideMark/>
          </w:tcPr>
          <w:p w14:paraId="215B9CD7"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29CA105" w14:textId="77777777" w:rsidR="00572995" w:rsidRPr="00483EBE" w:rsidRDefault="00572995" w:rsidP="00E8324D">
            <w:pPr>
              <w:pStyle w:val="Tablas"/>
              <w:rPr>
                <w:sz w:val="12"/>
                <w:szCs w:val="12"/>
              </w:rPr>
            </w:pPr>
            <w:r w:rsidRPr="00483EBE">
              <w:rPr>
                <w:sz w:val="12"/>
                <w:szCs w:val="12"/>
              </w:rPr>
              <w:t>SEBD</w:t>
            </w:r>
          </w:p>
        </w:tc>
      </w:tr>
      <w:tr w:rsidR="00572995" w:rsidRPr="00483EBE" w14:paraId="53EBB80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683B017"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507130F" w14:textId="77777777" w:rsidR="00572995" w:rsidRPr="00483EBE" w:rsidRDefault="00572995" w:rsidP="00E8324D">
            <w:pPr>
              <w:pStyle w:val="Tablas"/>
              <w:rPr>
                <w:sz w:val="12"/>
                <w:szCs w:val="12"/>
              </w:rPr>
            </w:pPr>
            <w:r w:rsidRPr="00483EBE">
              <w:rPr>
                <w:sz w:val="12"/>
                <w:szCs w:val="12"/>
              </w:rPr>
              <w:t xml:space="preserve">596 </w:t>
            </w:r>
          </w:p>
        </w:tc>
        <w:tc>
          <w:tcPr>
            <w:tcW w:w="0" w:type="auto"/>
            <w:tcBorders>
              <w:top w:val="nil"/>
              <w:left w:val="nil"/>
              <w:bottom w:val="single" w:sz="4" w:space="0" w:color="auto"/>
              <w:right w:val="single" w:sz="4" w:space="0" w:color="auto"/>
            </w:tcBorders>
            <w:shd w:val="clear" w:color="auto" w:fill="auto"/>
            <w:vAlign w:val="center"/>
            <w:hideMark/>
          </w:tcPr>
          <w:p w14:paraId="0B7302D7" w14:textId="77777777" w:rsidR="00572995" w:rsidRPr="00483EBE" w:rsidRDefault="00572995" w:rsidP="00E8324D">
            <w:pPr>
              <w:pStyle w:val="Tablas"/>
              <w:rPr>
                <w:sz w:val="12"/>
                <w:szCs w:val="12"/>
              </w:rPr>
            </w:pPr>
            <w:r w:rsidRPr="00483EBE">
              <w:rPr>
                <w:sz w:val="12"/>
                <w:szCs w:val="12"/>
              </w:rPr>
              <w:t>$2,912,944</w:t>
            </w:r>
          </w:p>
        </w:tc>
        <w:tc>
          <w:tcPr>
            <w:tcW w:w="0" w:type="auto"/>
            <w:tcBorders>
              <w:top w:val="nil"/>
              <w:left w:val="nil"/>
              <w:bottom w:val="single" w:sz="4" w:space="0" w:color="auto"/>
              <w:right w:val="single" w:sz="4" w:space="0" w:color="auto"/>
            </w:tcBorders>
            <w:shd w:val="clear" w:color="auto" w:fill="auto"/>
            <w:vAlign w:val="center"/>
            <w:hideMark/>
          </w:tcPr>
          <w:p w14:paraId="5640A428" w14:textId="77777777" w:rsidR="00572995" w:rsidRPr="00483EBE" w:rsidRDefault="00572995" w:rsidP="00E8324D">
            <w:pPr>
              <w:pStyle w:val="Tablas"/>
              <w:rPr>
                <w:sz w:val="12"/>
                <w:szCs w:val="12"/>
              </w:rPr>
            </w:pPr>
            <w:r w:rsidRPr="00483EBE">
              <w:rPr>
                <w:sz w:val="12"/>
                <w:szCs w:val="12"/>
              </w:rPr>
              <w:t>$4,887</w:t>
            </w:r>
          </w:p>
        </w:tc>
        <w:tc>
          <w:tcPr>
            <w:tcW w:w="0" w:type="auto"/>
            <w:tcBorders>
              <w:top w:val="nil"/>
              <w:left w:val="nil"/>
              <w:bottom w:val="single" w:sz="4" w:space="0" w:color="auto"/>
              <w:right w:val="single" w:sz="4" w:space="0" w:color="auto"/>
            </w:tcBorders>
            <w:shd w:val="clear" w:color="auto" w:fill="auto"/>
            <w:vAlign w:val="center"/>
            <w:hideMark/>
          </w:tcPr>
          <w:p w14:paraId="08E67943" w14:textId="77777777" w:rsidR="00572995" w:rsidRPr="00483EBE" w:rsidRDefault="00572995" w:rsidP="00E8324D">
            <w:pPr>
              <w:pStyle w:val="Tablas"/>
              <w:rPr>
                <w:sz w:val="12"/>
                <w:szCs w:val="12"/>
              </w:rPr>
            </w:pPr>
            <w:r w:rsidRPr="00483EBE">
              <w:rPr>
                <w:sz w:val="12"/>
                <w:szCs w:val="12"/>
              </w:rPr>
              <w:t>$407</w:t>
            </w:r>
          </w:p>
        </w:tc>
        <w:tc>
          <w:tcPr>
            <w:tcW w:w="0" w:type="auto"/>
            <w:tcBorders>
              <w:top w:val="nil"/>
              <w:left w:val="nil"/>
              <w:bottom w:val="single" w:sz="4" w:space="0" w:color="auto"/>
              <w:right w:val="single" w:sz="4" w:space="0" w:color="auto"/>
            </w:tcBorders>
            <w:shd w:val="clear" w:color="auto" w:fill="auto"/>
            <w:vAlign w:val="center"/>
            <w:hideMark/>
          </w:tcPr>
          <w:p w14:paraId="0CC6B3F1"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DF1EBA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4EA7456"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317DB4BA" w14:textId="77777777" w:rsidR="00572995" w:rsidRPr="00483EBE" w:rsidRDefault="00572995" w:rsidP="00E8324D">
            <w:pPr>
              <w:pStyle w:val="Tablas"/>
              <w:rPr>
                <w:sz w:val="12"/>
                <w:szCs w:val="12"/>
              </w:rPr>
            </w:pPr>
            <w:r w:rsidRPr="00483EBE">
              <w:rPr>
                <w:sz w:val="12"/>
                <w:szCs w:val="12"/>
              </w:rPr>
              <w:t xml:space="preserve">186 </w:t>
            </w:r>
          </w:p>
        </w:tc>
        <w:tc>
          <w:tcPr>
            <w:tcW w:w="0" w:type="auto"/>
            <w:tcBorders>
              <w:top w:val="nil"/>
              <w:left w:val="nil"/>
              <w:bottom w:val="single" w:sz="4" w:space="0" w:color="auto"/>
              <w:right w:val="single" w:sz="4" w:space="0" w:color="auto"/>
            </w:tcBorders>
            <w:shd w:val="clear" w:color="auto" w:fill="auto"/>
            <w:vAlign w:val="center"/>
            <w:hideMark/>
          </w:tcPr>
          <w:p w14:paraId="3E8B00DD" w14:textId="77777777" w:rsidR="00572995" w:rsidRPr="00483EBE" w:rsidRDefault="00572995" w:rsidP="00E8324D">
            <w:pPr>
              <w:pStyle w:val="Tablas"/>
              <w:rPr>
                <w:sz w:val="12"/>
                <w:szCs w:val="12"/>
              </w:rPr>
            </w:pPr>
            <w:r w:rsidRPr="00483EBE">
              <w:rPr>
                <w:sz w:val="12"/>
                <w:szCs w:val="12"/>
              </w:rPr>
              <w:t>$968,411</w:t>
            </w:r>
          </w:p>
        </w:tc>
        <w:tc>
          <w:tcPr>
            <w:tcW w:w="0" w:type="auto"/>
            <w:tcBorders>
              <w:top w:val="nil"/>
              <w:left w:val="nil"/>
              <w:bottom w:val="single" w:sz="4" w:space="0" w:color="auto"/>
              <w:right w:val="single" w:sz="4" w:space="0" w:color="auto"/>
            </w:tcBorders>
            <w:shd w:val="clear" w:color="auto" w:fill="auto"/>
            <w:vAlign w:val="center"/>
            <w:hideMark/>
          </w:tcPr>
          <w:p w14:paraId="75ACE816" w14:textId="77777777" w:rsidR="00572995" w:rsidRPr="00483EBE" w:rsidRDefault="00572995" w:rsidP="00E8324D">
            <w:pPr>
              <w:pStyle w:val="Tablas"/>
              <w:rPr>
                <w:sz w:val="12"/>
                <w:szCs w:val="12"/>
              </w:rPr>
            </w:pPr>
            <w:r w:rsidRPr="00483EBE">
              <w:rPr>
                <w:sz w:val="12"/>
                <w:szCs w:val="12"/>
              </w:rPr>
              <w:t>$5,207</w:t>
            </w:r>
          </w:p>
        </w:tc>
        <w:tc>
          <w:tcPr>
            <w:tcW w:w="0" w:type="auto"/>
            <w:tcBorders>
              <w:top w:val="nil"/>
              <w:left w:val="nil"/>
              <w:bottom w:val="single" w:sz="4" w:space="0" w:color="auto"/>
              <w:right w:val="single" w:sz="4" w:space="0" w:color="auto"/>
            </w:tcBorders>
            <w:shd w:val="clear" w:color="auto" w:fill="auto"/>
            <w:vAlign w:val="center"/>
            <w:hideMark/>
          </w:tcPr>
          <w:p w14:paraId="055090FA" w14:textId="77777777" w:rsidR="00572995" w:rsidRPr="00483EBE" w:rsidRDefault="00572995" w:rsidP="00E8324D">
            <w:pPr>
              <w:pStyle w:val="Tablas"/>
              <w:rPr>
                <w:sz w:val="12"/>
                <w:szCs w:val="12"/>
              </w:rPr>
            </w:pPr>
            <w:r w:rsidRPr="00483EBE">
              <w:rPr>
                <w:sz w:val="12"/>
                <w:szCs w:val="12"/>
              </w:rPr>
              <w:t>$434</w:t>
            </w:r>
          </w:p>
        </w:tc>
        <w:tc>
          <w:tcPr>
            <w:tcW w:w="0" w:type="auto"/>
            <w:tcBorders>
              <w:top w:val="nil"/>
              <w:left w:val="nil"/>
              <w:bottom w:val="single" w:sz="4" w:space="0" w:color="auto"/>
              <w:right w:val="single" w:sz="4" w:space="0" w:color="auto"/>
            </w:tcBorders>
            <w:shd w:val="clear" w:color="auto" w:fill="auto"/>
            <w:vAlign w:val="center"/>
            <w:hideMark/>
          </w:tcPr>
          <w:p w14:paraId="7ED6796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4FC08D6" w14:textId="77777777" w:rsidR="00572995" w:rsidRPr="00483EBE" w:rsidRDefault="00572995" w:rsidP="00E8324D">
            <w:pPr>
              <w:pStyle w:val="Tablas"/>
              <w:rPr>
                <w:sz w:val="12"/>
                <w:szCs w:val="12"/>
              </w:rPr>
            </w:pPr>
            <w:r w:rsidRPr="00483EBE">
              <w:rPr>
                <w:sz w:val="12"/>
                <w:szCs w:val="12"/>
              </w:rPr>
              <w:t>SEBD</w:t>
            </w:r>
          </w:p>
        </w:tc>
      </w:tr>
      <w:tr w:rsidR="00572995" w:rsidRPr="00483EBE" w14:paraId="0250B25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4FEFC65"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1525761A" w14:textId="77777777" w:rsidR="00572995" w:rsidRPr="00483EBE" w:rsidRDefault="00572995" w:rsidP="00E8324D">
            <w:pPr>
              <w:pStyle w:val="Tablas"/>
              <w:rPr>
                <w:sz w:val="12"/>
                <w:szCs w:val="12"/>
              </w:rPr>
            </w:pPr>
            <w:r w:rsidRPr="00483EBE">
              <w:rPr>
                <w:sz w:val="12"/>
                <w:szCs w:val="12"/>
              </w:rPr>
              <w:t xml:space="preserve">522 </w:t>
            </w:r>
          </w:p>
        </w:tc>
        <w:tc>
          <w:tcPr>
            <w:tcW w:w="0" w:type="auto"/>
            <w:tcBorders>
              <w:top w:val="nil"/>
              <w:left w:val="nil"/>
              <w:bottom w:val="single" w:sz="4" w:space="0" w:color="auto"/>
              <w:right w:val="single" w:sz="4" w:space="0" w:color="auto"/>
            </w:tcBorders>
            <w:shd w:val="clear" w:color="auto" w:fill="auto"/>
            <w:vAlign w:val="center"/>
            <w:hideMark/>
          </w:tcPr>
          <w:p w14:paraId="59307AE4" w14:textId="77777777" w:rsidR="00572995" w:rsidRPr="00483EBE" w:rsidRDefault="00572995" w:rsidP="00E8324D">
            <w:pPr>
              <w:pStyle w:val="Tablas"/>
              <w:rPr>
                <w:sz w:val="12"/>
                <w:szCs w:val="12"/>
              </w:rPr>
            </w:pPr>
            <w:r w:rsidRPr="00483EBE">
              <w:rPr>
                <w:sz w:val="12"/>
                <w:szCs w:val="12"/>
              </w:rPr>
              <w:t>$2,467,335</w:t>
            </w:r>
          </w:p>
        </w:tc>
        <w:tc>
          <w:tcPr>
            <w:tcW w:w="0" w:type="auto"/>
            <w:tcBorders>
              <w:top w:val="nil"/>
              <w:left w:val="nil"/>
              <w:bottom w:val="single" w:sz="4" w:space="0" w:color="auto"/>
              <w:right w:val="single" w:sz="4" w:space="0" w:color="auto"/>
            </w:tcBorders>
            <w:shd w:val="clear" w:color="auto" w:fill="auto"/>
            <w:vAlign w:val="center"/>
            <w:hideMark/>
          </w:tcPr>
          <w:p w14:paraId="33E7668E" w14:textId="77777777" w:rsidR="00572995" w:rsidRPr="00483EBE" w:rsidRDefault="00572995" w:rsidP="00E8324D">
            <w:pPr>
              <w:pStyle w:val="Tablas"/>
              <w:rPr>
                <w:sz w:val="12"/>
                <w:szCs w:val="12"/>
              </w:rPr>
            </w:pPr>
            <w:r w:rsidRPr="00483EBE">
              <w:rPr>
                <w:sz w:val="12"/>
                <w:szCs w:val="12"/>
              </w:rPr>
              <w:t>$4,727</w:t>
            </w:r>
          </w:p>
        </w:tc>
        <w:tc>
          <w:tcPr>
            <w:tcW w:w="0" w:type="auto"/>
            <w:tcBorders>
              <w:top w:val="nil"/>
              <w:left w:val="nil"/>
              <w:bottom w:val="single" w:sz="4" w:space="0" w:color="auto"/>
              <w:right w:val="single" w:sz="4" w:space="0" w:color="auto"/>
            </w:tcBorders>
            <w:shd w:val="clear" w:color="auto" w:fill="auto"/>
            <w:vAlign w:val="center"/>
            <w:hideMark/>
          </w:tcPr>
          <w:p w14:paraId="4F561460" w14:textId="77777777" w:rsidR="00572995" w:rsidRPr="00483EBE" w:rsidRDefault="00572995" w:rsidP="00E8324D">
            <w:pPr>
              <w:pStyle w:val="Tablas"/>
              <w:rPr>
                <w:sz w:val="12"/>
                <w:szCs w:val="12"/>
              </w:rPr>
            </w:pPr>
            <w:r w:rsidRPr="00483EBE">
              <w:rPr>
                <w:sz w:val="12"/>
                <w:szCs w:val="12"/>
              </w:rPr>
              <w:t>$394</w:t>
            </w:r>
          </w:p>
        </w:tc>
        <w:tc>
          <w:tcPr>
            <w:tcW w:w="0" w:type="auto"/>
            <w:tcBorders>
              <w:top w:val="nil"/>
              <w:left w:val="nil"/>
              <w:bottom w:val="single" w:sz="4" w:space="0" w:color="auto"/>
              <w:right w:val="single" w:sz="4" w:space="0" w:color="auto"/>
            </w:tcBorders>
            <w:shd w:val="clear" w:color="auto" w:fill="auto"/>
            <w:vAlign w:val="center"/>
            <w:hideMark/>
          </w:tcPr>
          <w:p w14:paraId="345888F5"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38AEFE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233788"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16162D7B" w14:textId="77777777" w:rsidR="00572995" w:rsidRPr="00483EBE" w:rsidRDefault="00572995" w:rsidP="00E8324D">
            <w:pPr>
              <w:pStyle w:val="Tablas"/>
              <w:rPr>
                <w:sz w:val="12"/>
                <w:szCs w:val="12"/>
              </w:rPr>
            </w:pPr>
            <w:r w:rsidRPr="00483EBE">
              <w:rPr>
                <w:sz w:val="12"/>
                <w:szCs w:val="12"/>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14:paraId="6BDB8FB0" w14:textId="77777777" w:rsidR="00572995" w:rsidRPr="00483EBE" w:rsidRDefault="00572995" w:rsidP="00E8324D">
            <w:pPr>
              <w:pStyle w:val="Tablas"/>
              <w:rPr>
                <w:sz w:val="12"/>
                <w:szCs w:val="12"/>
              </w:rPr>
            </w:pPr>
            <w:r w:rsidRPr="00483EBE">
              <w:rPr>
                <w:sz w:val="12"/>
                <w:szCs w:val="12"/>
              </w:rPr>
              <w:t>$572,867</w:t>
            </w:r>
          </w:p>
        </w:tc>
        <w:tc>
          <w:tcPr>
            <w:tcW w:w="0" w:type="auto"/>
            <w:tcBorders>
              <w:top w:val="nil"/>
              <w:left w:val="nil"/>
              <w:bottom w:val="single" w:sz="4" w:space="0" w:color="auto"/>
              <w:right w:val="single" w:sz="4" w:space="0" w:color="auto"/>
            </w:tcBorders>
            <w:shd w:val="clear" w:color="auto" w:fill="auto"/>
            <w:vAlign w:val="center"/>
            <w:hideMark/>
          </w:tcPr>
          <w:p w14:paraId="61244221" w14:textId="77777777" w:rsidR="00572995" w:rsidRPr="00483EBE" w:rsidRDefault="00572995" w:rsidP="00E8324D">
            <w:pPr>
              <w:pStyle w:val="Tablas"/>
              <w:rPr>
                <w:sz w:val="12"/>
                <w:szCs w:val="12"/>
              </w:rPr>
            </w:pPr>
            <w:r w:rsidRPr="00483EBE">
              <w:rPr>
                <w:sz w:val="12"/>
                <w:szCs w:val="12"/>
              </w:rPr>
              <w:t>$4,774</w:t>
            </w:r>
          </w:p>
        </w:tc>
        <w:tc>
          <w:tcPr>
            <w:tcW w:w="0" w:type="auto"/>
            <w:tcBorders>
              <w:top w:val="nil"/>
              <w:left w:val="nil"/>
              <w:bottom w:val="single" w:sz="4" w:space="0" w:color="auto"/>
              <w:right w:val="single" w:sz="4" w:space="0" w:color="auto"/>
            </w:tcBorders>
            <w:shd w:val="clear" w:color="auto" w:fill="auto"/>
            <w:vAlign w:val="center"/>
            <w:hideMark/>
          </w:tcPr>
          <w:p w14:paraId="4709DB1B" w14:textId="77777777" w:rsidR="00572995" w:rsidRPr="00483EBE" w:rsidRDefault="00572995" w:rsidP="00E8324D">
            <w:pPr>
              <w:pStyle w:val="Tablas"/>
              <w:rPr>
                <w:sz w:val="12"/>
                <w:szCs w:val="12"/>
              </w:rPr>
            </w:pPr>
            <w:r w:rsidRPr="00483EBE">
              <w:rPr>
                <w:sz w:val="12"/>
                <w:szCs w:val="12"/>
              </w:rPr>
              <w:t>$398</w:t>
            </w:r>
          </w:p>
        </w:tc>
        <w:tc>
          <w:tcPr>
            <w:tcW w:w="0" w:type="auto"/>
            <w:tcBorders>
              <w:top w:val="nil"/>
              <w:left w:val="nil"/>
              <w:bottom w:val="single" w:sz="4" w:space="0" w:color="auto"/>
              <w:right w:val="single" w:sz="4" w:space="0" w:color="auto"/>
            </w:tcBorders>
            <w:shd w:val="clear" w:color="auto" w:fill="auto"/>
            <w:vAlign w:val="center"/>
            <w:hideMark/>
          </w:tcPr>
          <w:p w14:paraId="602782F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6D7DD46" w14:textId="77777777" w:rsidR="00572995" w:rsidRPr="00483EBE" w:rsidRDefault="00572995" w:rsidP="00E8324D">
            <w:pPr>
              <w:pStyle w:val="Tablas"/>
              <w:rPr>
                <w:sz w:val="12"/>
                <w:szCs w:val="12"/>
              </w:rPr>
            </w:pPr>
            <w:r w:rsidRPr="00483EBE">
              <w:rPr>
                <w:sz w:val="12"/>
                <w:szCs w:val="12"/>
              </w:rPr>
              <w:t>SEBD</w:t>
            </w:r>
          </w:p>
        </w:tc>
      </w:tr>
      <w:tr w:rsidR="00572995" w:rsidRPr="00483EBE" w14:paraId="2F876A7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D60991"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6A3A03B3" w14:textId="77777777" w:rsidR="00572995" w:rsidRPr="00483EBE" w:rsidRDefault="00572995" w:rsidP="00E8324D">
            <w:pPr>
              <w:pStyle w:val="Tablas"/>
              <w:rPr>
                <w:sz w:val="12"/>
                <w:szCs w:val="12"/>
              </w:rPr>
            </w:pPr>
            <w:r w:rsidRPr="00483EBE">
              <w:rPr>
                <w:sz w:val="12"/>
                <w:szCs w:val="12"/>
              </w:rPr>
              <w:t xml:space="preserve">442 </w:t>
            </w:r>
          </w:p>
        </w:tc>
        <w:tc>
          <w:tcPr>
            <w:tcW w:w="0" w:type="auto"/>
            <w:tcBorders>
              <w:top w:val="nil"/>
              <w:left w:val="nil"/>
              <w:bottom w:val="single" w:sz="4" w:space="0" w:color="auto"/>
              <w:right w:val="single" w:sz="4" w:space="0" w:color="auto"/>
            </w:tcBorders>
            <w:shd w:val="clear" w:color="auto" w:fill="auto"/>
            <w:vAlign w:val="center"/>
            <w:hideMark/>
          </w:tcPr>
          <w:p w14:paraId="4EACDCE4" w14:textId="77777777" w:rsidR="00572995" w:rsidRPr="00483EBE" w:rsidRDefault="00572995" w:rsidP="00E8324D">
            <w:pPr>
              <w:pStyle w:val="Tablas"/>
              <w:rPr>
                <w:sz w:val="12"/>
                <w:szCs w:val="12"/>
              </w:rPr>
            </w:pPr>
            <w:r w:rsidRPr="00483EBE">
              <w:rPr>
                <w:sz w:val="12"/>
                <w:szCs w:val="12"/>
              </w:rPr>
              <w:t>$2,114,399</w:t>
            </w:r>
          </w:p>
        </w:tc>
        <w:tc>
          <w:tcPr>
            <w:tcW w:w="0" w:type="auto"/>
            <w:tcBorders>
              <w:top w:val="nil"/>
              <w:left w:val="nil"/>
              <w:bottom w:val="single" w:sz="4" w:space="0" w:color="auto"/>
              <w:right w:val="single" w:sz="4" w:space="0" w:color="auto"/>
            </w:tcBorders>
            <w:shd w:val="clear" w:color="auto" w:fill="auto"/>
            <w:vAlign w:val="center"/>
            <w:hideMark/>
          </w:tcPr>
          <w:p w14:paraId="58A30220" w14:textId="77777777" w:rsidR="00572995" w:rsidRPr="00483EBE" w:rsidRDefault="00572995" w:rsidP="00E8324D">
            <w:pPr>
              <w:pStyle w:val="Tablas"/>
              <w:rPr>
                <w:sz w:val="12"/>
                <w:szCs w:val="12"/>
              </w:rPr>
            </w:pPr>
            <w:r w:rsidRPr="00483EBE">
              <w:rPr>
                <w:sz w:val="12"/>
                <w:szCs w:val="12"/>
              </w:rPr>
              <w:t>$4,784</w:t>
            </w:r>
          </w:p>
        </w:tc>
        <w:tc>
          <w:tcPr>
            <w:tcW w:w="0" w:type="auto"/>
            <w:tcBorders>
              <w:top w:val="nil"/>
              <w:left w:val="nil"/>
              <w:bottom w:val="single" w:sz="4" w:space="0" w:color="auto"/>
              <w:right w:val="single" w:sz="4" w:space="0" w:color="auto"/>
            </w:tcBorders>
            <w:shd w:val="clear" w:color="auto" w:fill="auto"/>
            <w:vAlign w:val="center"/>
            <w:hideMark/>
          </w:tcPr>
          <w:p w14:paraId="009563AA" w14:textId="77777777" w:rsidR="00572995" w:rsidRPr="00483EBE" w:rsidRDefault="00572995" w:rsidP="00E8324D">
            <w:pPr>
              <w:pStyle w:val="Tablas"/>
              <w:rPr>
                <w:sz w:val="12"/>
                <w:szCs w:val="12"/>
              </w:rPr>
            </w:pPr>
            <w:r w:rsidRPr="00483EBE">
              <w:rPr>
                <w:sz w:val="12"/>
                <w:szCs w:val="12"/>
              </w:rPr>
              <w:t>$399</w:t>
            </w:r>
          </w:p>
        </w:tc>
        <w:tc>
          <w:tcPr>
            <w:tcW w:w="0" w:type="auto"/>
            <w:tcBorders>
              <w:top w:val="nil"/>
              <w:left w:val="nil"/>
              <w:bottom w:val="single" w:sz="4" w:space="0" w:color="auto"/>
              <w:right w:val="single" w:sz="4" w:space="0" w:color="auto"/>
            </w:tcBorders>
            <w:shd w:val="clear" w:color="auto" w:fill="auto"/>
            <w:vAlign w:val="center"/>
            <w:hideMark/>
          </w:tcPr>
          <w:p w14:paraId="7E1D22A8"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EC7863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73A7E6"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7AFCC877" w14:textId="77777777" w:rsidR="00572995" w:rsidRPr="00483EBE" w:rsidRDefault="00572995" w:rsidP="00E8324D">
            <w:pPr>
              <w:pStyle w:val="Tablas"/>
              <w:rPr>
                <w:sz w:val="12"/>
                <w:szCs w:val="12"/>
              </w:rPr>
            </w:pPr>
            <w:r w:rsidRPr="00483EBE">
              <w:rPr>
                <w:sz w:val="12"/>
                <w:szCs w:val="12"/>
              </w:rPr>
              <w:t xml:space="preserve">127 </w:t>
            </w:r>
          </w:p>
        </w:tc>
        <w:tc>
          <w:tcPr>
            <w:tcW w:w="0" w:type="auto"/>
            <w:tcBorders>
              <w:top w:val="nil"/>
              <w:left w:val="nil"/>
              <w:bottom w:val="single" w:sz="4" w:space="0" w:color="auto"/>
              <w:right w:val="single" w:sz="4" w:space="0" w:color="auto"/>
            </w:tcBorders>
            <w:shd w:val="clear" w:color="auto" w:fill="auto"/>
            <w:vAlign w:val="center"/>
            <w:hideMark/>
          </w:tcPr>
          <w:p w14:paraId="4EA379FC" w14:textId="77777777" w:rsidR="00572995" w:rsidRPr="00483EBE" w:rsidRDefault="00572995" w:rsidP="00E8324D">
            <w:pPr>
              <w:pStyle w:val="Tablas"/>
              <w:rPr>
                <w:sz w:val="12"/>
                <w:szCs w:val="12"/>
              </w:rPr>
            </w:pPr>
            <w:r w:rsidRPr="00483EBE">
              <w:rPr>
                <w:sz w:val="12"/>
                <w:szCs w:val="12"/>
              </w:rPr>
              <w:t>$576,709</w:t>
            </w:r>
          </w:p>
        </w:tc>
        <w:tc>
          <w:tcPr>
            <w:tcW w:w="0" w:type="auto"/>
            <w:tcBorders>
              <w:top w:val="nil"/>
              <w:left w:val="nil"/>
              <w:bottom w:val="single" w:sz="4" w:space="0" w:color="auto"/>
              <w:right w:val="single" w:sz="4" w:space="0" w:color="auto"/>
            </w:tcBorders>
            <w:shd w:val="clear" w:color="auto" w:fill="auto"/>
            <w:vAlign w:val="center"/>
            <w:hideMark/>
          </w:tcPr>
          <w:p w14:paraId="708BA304" w14:textId="77777777" w:rsidR="00572995" w:rsidRPr="00483EBE" w:rsidRDefault="00572995" w:rsidP="00E8324D">
            <w:pPr>
              <w:pStyle w:val="Tablas"/>
              <w:rPr>
                <w:sz w:val="12"/>
                <w:szCs w:val="12"/>
              </w:rPr>
            </w:pPr>
            <w:r w:rsidRPr="00483EBE">
              <w:rPr>
                <w:sz w:val="12"/>
                <w:szCs w:val="12"/>
              </w:rPr>
              <w:t>$4,541</w:t>
            </w:r>
          </w:p>
        </w:tc>
        <w:tc>
          <w:tcPr>
            <w:tcW w:w="0" w:type="auto"/>
            <w:tcBorders>
              <w:top w:val="nil"/>
              <w:left w:val="nil"/>
              <w:bottom w:val="single" w:sz="4" w:space="0" w:color="auto"/>
              <w:right w:val="single" w:sz="4" w:space="0" w:color="auto"/>
            </w:tcBorders>
            <w:shd w:val="clear" w:color="auto" w:fill="auto"/>
            <w:vAlign w:val="center"/>
            <w:hideMark/>
          </w:tcPr>
          <w:p w14:paraId="37F9D4ED" w14:textId="77777777" w:rsidR="00572995" w:rsidRPr="00483EBE" w:rsidRDefault="00572995" w:rsidP="00E8324D">
            <w:pPr>
              <w:pStyle w:val="Tablas"/>
              <w:rPr>
                <w:sz w:val="12"/>
                <w:szCs w:val="12"/>
              </w:rPr>
            </w:pPr>
            <w:r w:rsidRPr="00483EBE">
              <w:rPr>
                <w:sz w:val="12"/>
                <w:szCs w:val="12"/>
              </w:rPr>
              <w:t>$378</w:t>
            </w:r>
          </w:p>
        </w:tc>
        <w:tc>
          <w:tcPr>
            <w:tcW w:w="0" w:type="auto"/>
            <w:tcBorders>
              <w:top w:val="nil"/>
              <w:left w:val="nil"/>
              <w:bottom w:val="single" w:sz="4" w:space="0" w:color="auto"/>
              <w:right w:val="single" w:sz="4" w:space="0" w:color="auto"/>
            </w:tcBorders>
            <w:shd w:val="clear" w:color="auto" w:fill="auto"/>
            <w:vAlign w:val="center"/>
            <w:hideMark/>
          </w:tcPr>
          <w:p w14:paraId="066A6756"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B0AFC8C" w14:textId="77777777" w:rsidR="00572995" w:rsidRPr="00483EBE" w:rsidRDefault="00572995" w:rsidP="00E8324D">
            <w:pPr>
              <w:pStyle w:val="Tablas"/>
              <w:rPr>
                <w:sz w:val="12"/>
                <w:szCs w:val="12"/>
              </w:rPr>
            </w:pPr>
            <w:r w:rsidRPr="00483EBE">
              <w:rPr>
                <w:sz w:val="12"/>
                <w:szCs w:val="12"/>
              </w:rPr>
              <w:t>SEBD</w:t>
            </w:r>
          </w:p>
        </w:tc>
      </w:tr>
      <w:tr w:rsidR="00572995" w:rsidRPr="00483EBE" w14:paraId="2F94329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90B33E2" w14:textId="77777777" w:rsidR="00572995" w:rsidRPr="00483EBE" w:rsidRDefault="00572995" w:rsidP="00E8324D">
            <w:pPr>
              <w:pStyle w:val="Tablas"/>
              <w:rPr>
                <w:sz w:val="12"/>
                <w:szCs w:val="12"/>
              </w:rPr>
            </w:pPr>
            <w:r w:rsidRPr="00483EBE">
              <w:rPr>
                <w:sz w:val="12"/>
                <w:szCs w:val="12"/>
              </w:rPr>
              <w:lastRenderedPageBreak/>
              <w:t>91</w:t>
            </w:r>
          </w:p>
        </w:tc>
        <w:tc>
          <w:tcPr>
            <w:tcW w:w="0" w:type="auto"/>
            <w:tcBorders>
              <w:top w:val="nil"/>
              <w:left w:val="nil"/>
              <w:bottom w:val="single" w:sz="4" w:space="0" w:color="auto"/>
              <w:right w:val="single" w:sz="4" w:space="0" w:color="auto"/>
            </w:tcBorders>
            <w:shd w:val="clear" w:color="auto" w:fill="auto"/>
            <w:vAlign w:val="center"/>
            <w:hideMark/>
          </w:tcPr>
          <w:p w14:paraId="3DD26634" w14:textId="77777777" w:rsidR="00572995" w:rsidRPr="00483EBE" w:rsidRDefault="00572995" w:rsidP="00E8324D">
            <w:pPr>
              <w:pStyle w:val="Tablas"/>
              <w:rPr>
                <w:sz w:val="12"/>
                <w:szCs w:val="12"/>
              </w:rPr>
            </w:pPr>
            <w:r w:rsidRPr="00483EBE">
              <w:rPr>
                <w:sz w:val="12"/>
                <w:szCs w:val="12"/>
              </w:rPr>
              <w:t xml:space="preserve">356 </w:t>
            </w:r>
          </w:p>
        </w:tc>
        <w:tc>
          <w:tcPr>
            <w:tcW w:w="0" w:type="auto"/>
            <w:tcBorders>
              <w:top w:val="nil"/>
              <w:left w:val="nil"/>
              <w:bottom w:val="single" w:sz="4" w:space="0" w:color="auto"/>
              <w:right w:val="single" w:sz="4" w:space="0" w:color="auto"/>
            </w:tcBorders>
            <w:shd w:val="clear" w:color="auto" w:fill="auto"/>
            <w:vAlign w:val="center"/>
            <w:hideMark/>
          </w:tcPr>
          <w:p w14:paraId="4BA7B188" w14:textId="77777777" w:rsidR="00572995" w:rsidRPr="00483EBE" w:rsidRDefault="00572995" w:rsidP="00E8324D">
            <w:pPr>
              <w:pStyle w:val="Tablas"/>
              <w:rPr>
                <w:sz w:val="12"/>
                <w:szCs w:val="12"/>
              </w:rPr>
            </w:pPr>
            <w:r w:rsidRPr="00483EBE">
              <w:rPr>
                <w:sz w:val="12"/>
                <w:szCs w:val="12"/>
              </w:rPr>
              <w:t>$1,639,181</w:t>
            </w:r>
          </w:p>
        </w:tc>
        <w:tc>
          <w:tcPr>
            <w:tcW w:w="0" w:type="auto"/>
            <w:tcBorders>
              <w:top w:val="nil"/>
              <w:left w:val="nil"/>
              <w:bottom w:val="single" w:sz="4" w:space="0" w:color="auto"/>
              <w:right w:val="single" w:sz="4" w:space="0" w:color="auto"/>
            </w:tcBorders>
            <w:shd w:val="clear" w:color="auto" w:fill="auto"/>
            <w:vAlign w:val="center"/>
            <w:hideMark/>
          </w:tcPr>
          <w:p w14:paraId="7B5283AC" w14:textId="43C8DB17" w:rsidR="00572995" w:rsidRPr="00483EBE" w:rsidRDefault="00572995" w:rsidP="00E8324D">
            <w:pPr>
              <w:pStyle w:val="Tablas"/>
              <w:rPr>
                <w:sz w:val="12"/>
                <w:szCs w:val="12"/>
              </w:rPr>
            </w:pPr>
            <w:r w:rsidRPr="00483EBE">
              <w:rPr>
                <w:sz w:val="12"/>
                <w:szCs w:val="12"/>
              </w:rPr>
              <w:t>$4,604</w:t>
            </w:r>
          </w:p>
        </w:tc>
        <w:tc>
          <w:tcPr>
            <w:tcW w:w="0" w:type="auto"/>
            <w:tcBorders>
              <w:top w:val="nil"/>
              <w:left w:val="nil"/>
              <w:bottom w:val="single" w:sz="4" w:space="0" w:color="auto"/>
              <w:right w:val="single" w:sz="4" w:space="0" w:color="auto"/>
            </w:tcBorders>
            <w:shd w:val="clear" w:color="auto" w:fill="auto"/>
            <w:vAlign w:val="center"/>
            <w:hideMark/>
          </w:tcPr>
          <w:p w14:paraId="27925273" w14:textId="77777777" w:rsidR="00572995" w:rsidRPr="00483EBE" w:rsidRDefault="00572995" w:rsidP="00E8324D">
            <w:pPr>
              <w:pStyle w:val="Tablas"/>
              <w:rPr>
                <w:sz w:val="12"/>
                <w:szCs w:val="12"/>
              </w:rPr>
            </w:pPr>
            <w:r w:rsidRPr="00483EBE">
              <w:rPr>
                <w:sz w:val="12"/>
                <w:szCs w:val="12"/>
              </w:rPr>
              <w:t>$384</w:t>
            </w:r>
          </w:p>
        </w:tc>
        <w:tc>
          <w:tcPr>
            <w:tcW w:w="0" w:type="auto"/>
            <w:tcBorders>
              <w:top w:val="nil"/>
              <w:left w:val="nil"/>
              <w:bottom w:val="single" w:sz="4" w:space="0" w:color="auto"/>
              <w:right w:val="single" w:sz="4" w:space="0" w:color="auto"/>
            </w:tcBorders>
            <w:shd w:val="clear" w:color="auto" w:fill="auto"/>
            <w:vAlign w:val="center"/>
            <w:hideMark/>
          </w:tcPr>
          <w:p w14:paraId="3371CE16"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FFBE05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CD9FB83"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0192BA3E" w14:textId="77777777" w:rsidR="00572995" w:rsidRPr="00483EBE" w:rsidRDefault="00572995" w:rsidP="00E8324D">
            <w:pPr>
              <w:pStyle w:val="Tablas"/>
              <w:rPr>
                <w:sz w:val="12"/>
                <w:szCs w:val="12"/>
              </w:rPr>
            </w:pPr>
            <w:r w:rsidRPr="00483EBE">
              <w:rPr>
                <w:sz w:val="12"/>
                <w:szCs w:val="12"/>
              </w:rPr>
              <w:t xml:space="preserve">96 </w:t>
            </w:r>
          </w:p>
        </w:tc>
        <w:tc>
          <w:tcPr>
            <w:tcW w:w="0" w:type="auto"/>
            <w:tcBorders>
              <w:top w:val="nil"/>
              <w:left w:val="nil"/>
              <w:bottom w:val="single" w:sz="4" w:space="0" w:color="auto"/>
              <w:right w:val="single" w:sz="4" w:space="0" w:color="auto"/>
            </w:tcBorders>
            <w:shd w:val="clear" w:color="auto" w:fill="auto"/>
            <w:vAlign w:val="center"/>
            <w:hideMark/>
          </w:tcPr>
          <w:p w14:paraId="74FF947E" w14:textId="77777777" w:rsidR="00572995" w:rsidRPr="00483EBE" w:rsidRDefault="00572995" w:rsidP="00E8324D">
            <w:pPr>
              <w:pStyle w:val="Tablas"/>
              <w:rPr>
                <w:sz w:val="12"/>
                <w:szCs w:val="12"/>
              </w:rPr>
            </w:pPr>
            <w:r w:rsidRPr="00483EBE">
              <w:rPr>
                <w:sz w:val="12"/>
                <w:szCs w:val="12"/>
              </w:rPr>
              <w:t>$470,870</w:t>
            </w:r>
          </w:p>
        </w:tc>
        <w:tc>
          <w:tcPr>
            <w:tcW w:w="0" w:type="auto"/>
            <w:tcBorders>
              <w:top w:val="nil"/>
              <w:left w:val="nil"/>
              <w:bottom w:val="single" w:sz="4" w:space="0" w:color="auto"/>
              <w:right w:val="single" w:sz="4" w:space="0" w:color="auto"/>
            </w:tcBorders>
            <w:shd w:val="clear" w:color="auto" w:fill="auto"/>
            <w:vAlign w:val="center"/>
            <w:hideMark/>
          </w:tcPr>
          <w:p w14:paraId="0BF099EB" w14:textId="77777777" w:rsidR="00572995" w:rsidRPr="00483EBE" w:rsidRDefault="00572995" w:rsidP="00E8324D">
            <w:pPr>
              <w:pStyle w:val="Tablas"/>
              <w:rPr>
                <w:sz w:val="12"/>
                <w:szCs w:val="12"/>
              </w:rPr>
            </w:pPr>
            <w:r w:rsidRPr="00483EBE">
              <w:rPr>
                <w:sz w:val="12"/>
                <w:szCs w:val="12"/>
              </w:rPr>
              <w:t>$4,905</w:t>
            </w:r>
          </w:p>
        </w:tc>
        <w:tc>
          <w:tcPr>
            <w:tcW w:w="0" w:type="auto"/>
            <w:tcBorders>
              <w:top w:val="nil"/>
              <w:left w:val="nil"/>
              <w:bottom w:val="single" w:sz="4" w:space="0" w:color="auto"/>
              <w:right w:val="single" w:sz="4" w:space="0" w:color="auto"/>
            </w:tcBorders>
            <w:shd w:val="clear" w:color="auto" w:fill="auto"/>
            <w:vAlign w:val="center"/>
            <w:hideMark/>
          </w:tcPr>
          <w:p w14:paraId="284D79DB" w14:textId="77777777" w:rsidR="00572995" w:rsidRPr="00483EBE" w:rsidRDefault="00572995" w:rsidP="00E8324D">
            <w:pPr>
              <w:pStyle w:val="Tablas"/>
              <w:rPr>
                <w:sz w:val="12"/>
                <w:szCs w:val="12"/>
              </w:rPr>
            </w:pPr>
            <w:r w:rsidRPr="00483EBE">
              <w:rPr>
                <w:sz w:val="12"/>
                <w:szCs w:val="12"/>
              </w:rPr>
              <w:t>$409</w:t>
            </w:r>
          </w:p>
        </w:tc>
        <w:tc>
          <w:tcPr>
            <w:tcW w:w="0" w:type="auto"/>
            <w:tcBorders>
              <w:top w:val="nil"/>
              <w:left w:val="nil"/>
              <w:bottom w:val="single" w:sz="4" w:space="0" w:color="auto"/>
              <w:right w:val="single" w:sz="4" w:space="0" w:color="auto"/>
            </w:tcBorders>
            <w:shd w:val="clear" w:color="auto" w:fill="auto"/>
            <w:vAlign w:val="center"/>
            <w:hideMark/>
          </w:tcPr>
          <w:p w14:paraId="3F4883DA"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BF70C00" w14:textId="77777777" w:rsidR="00572995" w:rsidRPr="00483EBE" w:rsidRDefault="00572995" w:rsidP="00E8324D">
            <w:pPr>
              <w:pStyle w:val="Tablas"/>
              <w:rPr>
                <w:sz w:val="12"/>
                <w:szCs w:val="12"/>
              </w:rPr>
            </w:pPr>
            <w:r w:rsidRPr="00483EBE">
              <w:rPr>
                <w:sz w:val="12"/>
                <w:szCs w:val="12"/>
              </w:rPr>
              <w:t>SEBD</w:t>
            </w:r>
          </w:p>
        </w:tc>
      </w:tr>
      <w:tr w:rsidR="00572995" w:rsidRPr="00483EBE" w14:paraId="37D24EC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366B056"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7587C462" w14:textId="77777777" w:rsidR="00572995" w:rsidRPr="00483EBE" w:rsidRDefault="00572995" w:rsidP="00E8324D">
            <w:pPr>
              <w:pStyle w:val="Tablas"/>
              <w:rPr>
                <w:sz w:val="12"/>
                <w:szCs w:val="12"/>
              </w:rPr>
            </w:pPr>
            <w:r w:rsidRPr="00483EBE">
              <w:rPr>
                <w:sz w:val="12"/>
                <w:szCs w:val="12"/>
              </w:rPr>
              <w:t xml:space="preserve">334 </w:t>
            </w:r>
          </w:p>
        </w:tc>
        <w:tc>
          <w:tcPr>
            <w:tcW w:w="0" w:type="auto"/>
            <w:tcBorders>
              <w:top w:val="nil"/>
              <w:left w:val="nil"/>
              <w:bottom w:val="single" w:sz="4" w:space="0" w:color="auto"/>
              <w:right w:val="single" w:sz="4" w:space="0" w:color="auto"/>
            </w:tcBorders>
            <w:shd w:val="clear" w:color="auto" w:fill="auto"/>
            <w:vAlign w:val="center"/>
            <w:hideMark/>
          </w:tcPr>
          <w:p w14:paraId="7485C814" w14:textId="77777777" w:rsidR="00572995" w:rsidRPr="00483EBE" w:rsidRDefault="00572995" w:rsidP="00E8324D">
            <w:pPr>
              <w:pStyle w:val="Tablas"/>
              <w:rPr>
                <w:sz w:val="12"/>
                <w:szCs w:val="12"/>
              </w:rPr>
            </w:pPr>
            <w:r w:rsidRPr="00483EBE">
              <w:rPr>
                <w:sz w:val="12"/>
                <w:szCs w:val="12"/>
              </w:rPr>
              <w:t>$1,484,962</w:t>
            </w:r>
          </w:p>
        </w:tc>
        <w:tc>
          <w:tcPr>
            <w:tcW w:w="0" w:type="auto"/>
            <w:tcBorders>
              <w:top w:val="nil"/>
              <w:left w:val="nil"/>
              <w:bottom w:val="single" w:sz="4" w:space="0" w:color="auto"/>
              <w:right w:val="single" w:sz="4" w:space="0" w:color="auto"/>
            </w:tcBorders>
            <w:shd w:val="clear" w:color="auto" w:fill="auto"/>
            <w:vAlign w:val="center"/>
            <w:hideMark/>
          </w:tcPr>
          <w:p w14:paraId="4B59976F" w14:textId="77777777" w:rsidR="00572995" w:rsidRPr="00483EBE" w:rsidRDefault="00572995" w:rsidP="00E8324D">
            <w:pPr>
              <w:pStyle w:val="Tablas"/>
              <w:rPr>
                <w:sz w:val="12"/>
                <w:szCs w:val="12"/>
              </w:rPr>
            </w:pPr>
            <w:r w:rsidRPr="00483EBE">
              <w:rPr>
                <w:sz w:val="12"/>
                <w:szCs w:val="12"/>
              </w:rPr>
              <w:t>$4,446</w:t>
            </w:r>
          </w:p>
        </w:tc>
        <w:tc>
          <w:tcPr>
            <w:tcW w:w="0" w:type="auto"/>
            <w:tcBorders>
              <w:top w:val="nil"/>
              <w:left w:val="nil"/>
              <w:bottom w:val="single" w:sz="4" w:space="0" w:color="auto"/>
              <w:right w:val="single" w:sz="4" w:space="0" w:color="auto"/>
            </w:tcBorders>
            <w:shd w:val="clear" w:color="auto" w:fill="auto"/>
            <w:vAlign w:val="center"/>
            <w:hideMark/>
          </w:tcPr>
          <w:p w14:paraId="47135404" w14:textId="77777777" w:rsidR="00572995" w:rsidRPr="00483EBE" w:rsidRDefault="00572995" w:rsidP="00E8324D">
            <w:pPr>
              <w:pStyle w:val="Tablas"/>
              <w:rPr>
                <w:sz w:val="12"/>
                <w:szCs w:val="12"/>
              </w:rPr>
            </w:pPr>
            <w:r w:rsidRPr="00483EBE">
              <w:rPr>
                <w:sz w:val="12"/>
                <w:szCs w:val="12"/>
              </w:rPr>
              <w:t>$370</w:t>
            </w:r>
          </w:p>
        </w:tc>
        <w:tc>
          <w:tcPr>
            <w:tcW w:w="0" w:type="auto"/>
            <w:tcBorders>
              <w:top w:val="nil"/>
              <w:left w:val="nil"/>
              <w:bottom w:val="single" w:sz="4" w:space="0" w:color="auto"/>
              <w:right w:val="single" w:sz="4" w:space="0" w:color="auto"/>
            </w:tcBorders>
            <w:shd w:val="clear" w:color="auto" w:fill="auto"/>
            <w:vAlign w:val="center"/>
            <w:hideMark/>
          </w:tcPr>
          <w:p w14:paraId="4B8AFD5C"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E269F7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ABF96E8"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430D087D" w14:textId="77777777" w:rsidR="00572995" w:rsidRPr="00483EBE" w:rsidRDefault="00572995" w:rsidP="00E8324D">
            <w:pPr>
              <w:pStyle w:val="Tablas"/>
              <w:rPr>
                <w:sz w:val="12"/>
                <w:szCs w:val="12"/>
              </w:rPr>
            </w:pPr>
            <w:r w:rsidRPr="00483EBE">
              <w:rPr>
                <w:sz w:val="12"/>
                <w:szCs w:val="12"/>
              </w:rPr>
              <w:t xml:space="preserve">67 </w:t>
            </w:r>
          </w:p>
        </w:tc>
        <w:tc>
          <w:tcPr>
            <w:tcW w:w="0" w:type="auto"/>
            <w:tcBorders>
              <w:top w:val="nil"/>
              <w:left w:val="nil"/>
              <w:bottom w:val="single" w:sz="4" w:space="0" w:color="auto"/>
              <w:right w:val="single" w:sz="4" w:space="0" w:color="auto"/>
            </w:tcBorders>
            <w:shd w:val="clear" w:color="auto" w:fill="auto"/>
            <w:vAlign w:val="center"/>
            <w:hideMark/>
          </w:tcPr>
          <w:p w14:paraId="660B84D1" w14:textId="77777777" w:rsidR="00572995" w:rsidRPr="00483EBE" w:rsidRDefault="00572995" w:rsidP="00E8324D">
            <w:pPr>
              <w:pStyle w:val="Tablas"/>
              <w:rPr>
                <w:sz w:val="12"/>
                <w:szCs w:val="12"/>
              </w:rPr>
            </w:pPr>
            <w:r w:rsidRPr="00483EBE">
              <w:rPr>
                <w:sz w:val="12"/>
                <w:szCs w:val="12"/>
              </w:rPr>
              <w:t>$372,011</w:t>
            </w:r>
          </w:p>
        </w:tc>
        <w:tc>
          <w:tcPr>
            <w:tcW w:w="0" w:type="auto"/>
            <w:tcBorders>
              <w:top w:val="nil"/>
              <w:left w:val="nil"/>
              <w:bottom w:val="single" w:sz="4" w:space="0" w:color="auto"/>
              <w:right w:val="single" w:sz="4" w:space="0" w:color="auto"/>
            </w:tcBorders>
            <w:shd w:val="clear" w:color="auto" w:fill="auto"/>
            <w:vAlign w:val="center"/>
            <w:hideMark/>
          </w:tcPr>
          <w:p w14:paraId="62F324DC" w14:textId="77777777" w:rsidR="00572995" w:rsidRPr="00483EBE" w:rsidRDefault="00572995" w:rsidP="00E8324D">
            <w:pPr>
              <w:pStyle w:val="Tablas"/>
              <w:rPr>
                <w:sz w:val="12"/>
                <w:szCs w:val="12"/>
              </w:rPr>
            </w:pPr>
            <w:r w:rsidRPr="00483EBE">
              <w:rPr>
                <w:sz w:val="12"/>
                <w:szCs w:val="12"/>
              </w:rPr>
              <w:t>$5,552</w:t>
            </w:r>
          </w:p>
        </w:tc>
        <w:tc>
          <w:tcPr>
            <w:tcW w:w="0" w:type="auto"/>
            <w:tcBorders>
              <w:top w:val="nil"/>
              <w:left w:val="nil"/>
              <w:bottom w:val="single" w:sz="4" w:space="0" w:color="auto"/>
              <w:right w:val="single" w:sz="4" w:space="0" w:color="auto"/>
            </w:tcBorders>
            <w:shd w:val="clear" w:color="auto" w:fill="auto"/>
            <w:vAlign w:val="center"/>
            <w:hideMark/>
          </w:tcPr>
          <w:p w14:paraId="24D9EB15" w14:textId="77777777" w:rsidR="00572995" w:rsidRPr="00483EBE" w:rsidRDefault="00572995" w:rsidP="00E8324D">
            <w:pPr>
              <w:pStyle w:val="Tablas"/>
              <w:rPr>
                <w:sz w:val="12"/>
                <w:szCs w:val="12"/>
              </w:rPr>
            </w:pPr>
            <w:r w:rsidRPr="00483EBE">
              <w:rPr>
                <w:sz w:val="12"/>
                <w:szCs w:val="12"/>
              </w:rPr>
              <w:t>$463</w:t>
            </w:r>
          </w:p>
        </w:tc>
        <w:tc>
          <w:tcPr>
            <w:tcW w:w="0" w:type="auto"/>
            <w:tcBorders>
              <w:top w:val="nil"/>
              <w:left w:val="nil"/>
              <w:bottom w:val="single" w:sz="4" w:space="0" w:color="auto"/>
              <w:right w:val="single" w:sz="4" w:space="0" w:color="auto"/>
            </w:tcBorders>
            <w:shd w:val="clear" w:color="auto" w:fill="auto"/>
            <w:vAlign w:val="center"/>
            <w:hideMark/>
          </w:tcPr>
          <w:p w14:paraId="571C5254"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48F4837" w14:textId="77777777" w:rsidR="00572995" w:rsidRPr="00483EBE" w:rsidRDefault="00572995" w:rsidP="00E8324D">
            <w:pPr>
              <w:pStyle w:val="Tablas"/>
              <w:rPr>
                <w:sz w:val="12"/>
                <w:szCs w:val="12"/>
              </w:rPr>
            </w:pPr>
            <w:r w:rsidRPr="00483EBE">
              <w:rPr>
                <w:sz w:val="12"/>
                <w:szCs w:val="12"/>
              </w:rPr>
              <w:t>SEBD</w:t>
            </w:r>
          </w:p>
        </w:tc>
      </w:tr>
      <w:tr w:rsidR="00572995" w:rsidRPr="00483EBE" w14:paraId="3230EAC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26132C"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1BA4CC3" w14:textId="77777777" w:rsidR="00572995" w:rsidRPr="00483EBE" w:rsidRDefault="00572995" w:rsidP="00E8324D">
            <w:pPr>
              <w:pStyle w:val="Tablas"/>
              <w:rPr>
                <w:sz w:val="12"/>
                <w:szCs w:val="12"/>
              </w:rPr>
            </w:pPr>
            <w:r w:rsidRPr="00483EBE">
              <w:rPr>
                <w:sz w:val="12"/>
                <w:szCs w:val="12"/>
              </w:rPr>
              <w:t xml:space="preserve">283 </w:t>
            </w:r>
          </w:p>
        </w:tc>
        <w:tc>
          <w:tcPr>
            <w:tcW w:w="0" w:type="auto"/>
            <w:tcBorders>
              <w:top w:val="nil"/>
              <w:left w:val="nil"/>
              <w:bottom w:val="single" w:sz="4" w:space="0" w:color="auto"/>
              <w:right w:val="single" w:sz="4" w:space="0" w:color="auto"/>
            </w:tcBorders>
            <w:shd w:val="clear" w:color="auto" w:fill="auto"/>
            <w:vAlign w:val="center"/>
            <w:hideMark/>
          </w:tcPr>
          <w:p w14:paraId="231F9D26" w14:textId="77777777" w:rsidR="00572995" w:rsidRPr="00483EBE" w:rsidRDefault="00572995" w:rsidP="00E8324D">
            <w:pPr>
              <w:pStyle w:val="Tablas"/>
              <w:rPr>
                <w:sz w:val="12"/>
                <w:szCs w:val="12"/>
              </w:rPr>
            </w:pPr>
            <w:r w:rsidRPr="00483EBE">
              <w:rPr>
                <w:sz w:val="12"/>
                <w:szCs w:val="12"/>
              </w:rPr>
              <w:t>$1,343,257</w:t>
            </w:r>
          </w:p>
        </w:tc>
        <w:tc>
          <w:tcPr>
            <w:tcW w:w="0" w:type="auto"/>
            <w:tcBorders>
              <w:top w:val="nil"/>
              <w:left w:val="nil"/>
              <w:bottom w:val="single" w:sz="4" w:space="0" w:color="auto"/>
              <w:right w:val="single" w:sz="4" w:space="0" w:color="auto"/>
            </w:tcBorders>
            <w:shd w:val="clear" w:color="auto" w:fill="auto"/>
            <w:vAlign w:val="center"/>
            <w:hideMark/>
          </w:tcPr>
          <w:p w14:paraId="0EDC7926" w14:textId="77777777" w:rsidR="00572995" w:rsidRPr="00483EBE" w:rsidRDefault="00572995" w:rsidP="00E8324D">
            <w:pPr>
              <w:pStyle w:val="Tablas"/>
              <w:rPr>
                <w:sz w:val="12"/>
                <w:szCs w:val="12"/>
              </w:rPr>
            </w:pPr>
            <w:r w:rsidRPr="00483EBE">
              <w:rPr>
                <w:sz w:val="12"/>
                <w:szCs w:val="12"/>
              </w:rPr>
              <w:t>$4,746</w:t>
            </w:r>
          </w:p>
        </w:tc>
        <w:tc>
          <w:tcPr>
            <w:tcW w:w="0" w:type="auto"/>
            <w:tcBorders>
              <w:top w:val="nil"/>
              <w:left w:val="nil"/>
              <w:bottom w:val="single" w:sz="4" w:space="0" w:color="auto"/>
              <w:right w:val="single" w:sz="4" w:space="0" w:color="auto"/>
            </w:tcBorders>
            <w:shd w:val="clear" w:color="auto" w:fill="auto"/>
            <w:vAlign w:val="center"/>
            <w:hideMark/>
          </w:tcPr>
          <w:p w14:paraId="3B205F14" w14:textId="77777777" w:rsidR="00572995" w:rsidRPr="00483EBE" w:rsidRDefault="00572995" w:rsidP="00E8324D">
            <w:pPr>
              <w:pStyle w:val="Tablas"/>
              <w:rPr>
                <w:sz w:val="12"/>
                <w:szCs w:val="12"/>
              </w:rPr>
            </w:pPr>
            <w:r w:rsidRPr="00483EBE">
              <w:rPr>
                <w:sz w:val="12"/>
                <w:szCs w:val="12"/>
              </w:rPr>
              <w:t>$396</w:t>
            </w:r>
          </w:p>
        </w:tc>
        <w:tc>
          <w:tcPr>
            <w:tcW w:w="0" w:type="auto"/>
            <w:tcBorders>
              <w:top w:val="nil"/>
              <w:left w:val="nil"/>
              <w:bottom w:val="single" w:sz="4" w:space="0" w:color="auto"/>
              <w:right w:val="single" w:sz="4" w:space="0" w:color="auto"/>
            </w:tcBorders>
            <w:shd w:val="clear" w:color="auto" w:fill="auto"/>
            <w:vAlign w:val="center"/>
            <w:hideMark/>
          </w:tcPr>
          <w:p w14:paraId="63EC458D"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A35106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0C34BF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3F46D318" w14:textId="77777777" w:rsidR="00572995" w:rsidRPr="00483EBE" w:rsidRDefault="00572995" w:rsidP="00E8324D">
            <w:pPr>
              <w:pStyle w:val="Tablas"/>
              <w:rPr>
                <w:sz w:val="12"/>
                <w:szCs w:val="12"/>
              </w:rPr>
            </w:pPr>
            <w:r w:rsidRPr="00483EBE">
              <w:rPr>
                <w:sz w:val="12"/>
                <w:szCs w:val="12"/>
              </w:rPr>
              <w:t xml:space="preserve">46 </w:t>
            </w:r>
          </w:p>
        </w:tc>
        <w:tc>
          <w:tcPr>
            <w:tcW w:w="0" w:type="auto"/>
            <w:tcBorders>
              <w:top w:val="nil"/>
              <w:left w:val="nil"/>
              <w:bottom w:val="single" w:sz="4" w:space="0" w:color="auto"/>
              <w:right w:val="single" w:sz="4" w:space="0" w:color="auto"/>
            </w:tcBorders>
            <w:shd w:val="clear" w:color="auto" w:fill="auto"/>
            <w:vAlign w:val="center"/>
            <w:hideMark/>
          </w:tcPr>
          <w:p w14:paraId="1B1D23AD" w14:textId="77777777" w:rsidR="00572995" w:rsidRPr="00483EBE" w:rsidRDefault="00572995" w:rsidP="00E8324D">
            <w:pPr>
              <w:pStyle w:val="Tablas"/>
              <w:rPr>
                <w:sz w:val="12"/>
                <w:szCs w:val="12"/>
              </w:rPr>
            </w:pPr>
            <w:r w:rsidRPr="00483EBE">
              <w:rPr>
                <w:sz w:val="12"/>
                <w:szCs w:val="12"/>
              </w:rPr>
              <w:t>$243,963</w:t>
            </w:r>
          </w:p>
        </w:tc>
        <w:tc>
          <w:tcPr>
            <w:tcW w:w="0" w:type="auto"/>
            <w:tcBorders>
              <w:top w:val="nil"/>
              <w:left w:val="nil"/>
              <w:bottom w:val="single" w:sz="4" w:space="0" w:color="auto"/>
              <w:right w:val="single" w:sz="4" w:space="0" w:color="auto"/>
            </w:tcBorders>
            <w:shd w:val="clear" w:color="auto" w:fill="auto"/>
            <w:vAlign w:val="center"/>
            <w:hideMark/>
          </w:tcPr>
          <w:p w14:paraId="47EE6329" w14:textId="77777777" w:rsidR="00572995" w:rsidRPr="00483EBE" w:rsidRDefault="00572995" w:rsidP="00E8324D">
            <w:pPr>
              <w:pStyle w:val="Tablas"/>
              <w:rPr>
                <w:sz w:val="12"/>
                <w:szCs w:val="12"/>
              </w:rPr>
            </w:pPr>
            <w:r w:rsidRPr="00483EBE">
              <w:rPr>
                <w:sz w:val="12"/>
                <w:szCs w:val="12"/>
              </w:rPr>
              <w:t>$5,304</w:t>
            </w:r>
          </w:p>
        </w:tc>
        <w:tc>
          <w:tcPr>
            <w:tcW w:w="0" w:type="auto"/>
            <w:tcBorders>
              <w:top w:val="nil"/>
              <w:left w:val="nil"/>
              <w:bottom w:val="single" w:sz="4" w:space="0" w:color="auto"/>
              <w:right w:val="single" w:sz="4" w:space="0" w:color="auto"/>
            </w:tcBorders>
            <w:shd w:val="clear" w:color="auto" w:fill="auto"/>
            <w:vAlign w:val="center"/>
            <w:hideMark/>
          </w:tcPr>
          <w:p w14:paraId="1F5F0865" w14:textId="77777777" w:rsidR="00572995" w:rsidRPr="00483EBE" w:rsidRDefault="00572995" w:rsidP="00E8324D">
            <w:pPr>
              <w:pStyle w:val="Tablas"/>
              <w:rPr>
                <w:sz w:val="12"/>
                <w:szCs w:val="12"/>
              </w:rPr>
            </w:pPr>
            <w:r w:rsidRPr="00483EBE">
              <w:rPr>
                <w:sz w:val="12"/>
                <w:szCs w:val="12"/>
              </w:rPr>
              <w:t>$442</w:t>
            </w:r>
          </w:p>
        </w:tc>
        <w:tc>
          <w:tcPr>
            <w:tcW w:w="0" w:type="auto"/>
            <w:tcBorders>
              <w:top w:val="nil"/>
              <w:left w:val="nil"/>
              <w:bottom w:val="single" w:sz="4" w:space="0" w:color="auto"/>
              <w:right w:val="single" w:sz="4" w:space="0" w:color="auto"/>
            </w:tcBorders>
            <w:shd w:val="clear" w:color="auto" w:fill="auto"/>
            <w:vAlign w:val="center"/>
            <w:hideMark/>
          </w:tcPr>
          <w:p w14:paraId="1BD1BEC5"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8904842" w14:textId="77777777" w:rsidR="00572995" w:rsidRPr="00483EBE" w:rsidRDefault="00572995" w:rsidP="00E8324D">
            <w:pPr>
              <w:pStyle w:val="Tablas"/>
              <w:rPr>
                <w:sz w:val="12"/>
                <w:szCs w:val="12"/>
              </w:rPr>
            </w:pPr>
            <w:r w:rsidRPr="00483EBE">
              <w:rPr>
                <w:sz w:val="12"/>
                <w:szCs w:val="12"/>
              </w:rPr>
              <w:t>SEBD</w:t>
            </w:r>
          </w:p>
        </w:tc>
      </w:tr>
      <w:tr w:rsidR="00572995" w:rsidRPr="00483EBE" w14:paraId="6B65069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AB0C11"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51FA97C1" w14:textId="77777777" w:rsidR="00572995" w:rsidRPr="00483EBE" w:rsidRDefault="00572995" w:rsidP="00E8324D">
            <w:pPr>
              <w:pStyle w:val="Tablas"/>
              <w:rPr>
                <w:sz w:val="12"/>
                <w:szCs w:val="12"/>
              </w:rPr>
            </w:pPr>
            <w:r w:rsidRPr="00483EBE">
              <w:rPr>
                <w:sz w:val="12"/>
                <w:szCs w:val="12"/>
              </w:rPr>
              <w:t xml:space="preserve">241 </w:t>
            </w:r>
          </w:p>
        </w:tc>
        <w:tc>
          <w:tcPr>
            <w:tcW w:w="0" w:type="auto"/>
            <w:tcBorders>
              <w:top w:val="nil"/>
              <w:left w:val="nil"/>
              <w:bottom w:val="single" w:sz="4" w:space="0" w:color="auto"/>
              <w:right w:val="single" w:sz="4" w:space="0" w:color="auto"/>
            </w:tcBorders>
            <w:shd w:val="clear" w:color="auto" w:fill="auto"/>
            <w:vAlign w:val="center"/>
            <w:hideMark/>
          </w:tcPr>
          <w:p w14:paraId="159CAE11" w14:textId="77777777" w:rsidR="00572995" w:rsidRPr="00483EBE" w:rsidRDefault="00572995" w:rsidP="00E8324D">
            <w:pPr>
              <w:pStyle w:val="Tablas"/>
              <w:rPr>
                <w:sz w:val="12"/>
                <w:szCs w:val="12"/>
              </w:rPr>
            </w:pPr>
            <w:r w:rsidRPr="00483EBE">
              <w:rPr>
                <w:sz w:val="12"/>
                <w:szCs w:val="12"/>
              </w:rPr>
              <w:t>$1,040,368</w:t>
            </w:r>
          </w:p>
        </w:tc>
        <w:tc>
          <w:tcPr>
            <w:tcW w:w="0" w:type="auto"/>
            <w:tcBorders>
              <w:top w:val="nil"/>
              <w:left w:val="nil"/>
              <w:bottom w:val="single" w:sz="4" w:space="0" w:color="auto"/>
              <w:right w:val="single" w:sz="4" w:space="0" w:color="auto"/>
            </w:tcBorders>
            <w:shd w:val="clear" w:color="auto" w:fill="auto"/>
            <w:vAlign w:val="center"/>
            <w:hideMark/>
          </w:tcPr>
          <w:p w14:paraId="36CE8BAE" w14:textId="77777777" w:rsidR="00572995" w:rsidRPr="00483EBE" w:rsidRDefault="00572995" w:rsidP="00E8324D">
            <w:pPr>
              <w:pStyle w:val="Tablas"/>
              <w:rPr>
                <w:sz w:val="12"/>
                <w:szCs w:val="12"/>
              </w:rPr>
            </w:pPr>
            <w:r w:rsidRPr="00483EBE">
              <w:rPr>
                <w:sz w:val="12"/>
                <w:szCs w:val="12"/>
              </w:rPr>
              <w:t>$4,317</w:t>
            </w:r>
          </w:p>
        </w:tc>
        <w:tc>
          <w:tcPr>
            <w:tcW w:w="0" w:type="auto"/>
            <w:tcBorders>
              <w:top w:val="nil"/>
              <w:left w:val="nil"/>
              <w:bottom w:val="single" w:sz="4" w:space="0" w:color="auto"/>
              <w:right w:val="single" w:sz="4" w:space="0" w:color="auto"/>
            </w:tcBorders>
            <w:shd w:val="clear" w:color="auto" w:fill="auto"/>
            <w:vAlign w:val="center"/>
            <w:hideMark/>
          </w:tcPr>
          <w:p w14:paraId="2CD17352" w14:textId="77777777" w:rsidR="00572995" w:rsidRPr="00483EBE" w:rsidRDefault="00572995" w:rsidP="00E8324D">
            <w:pPr>
              <w:pStyle w:val="Tablas"/>
              <w:rPr>
                <w:sz w:val="12"/>
                <w:szCs w:val="12"/>
              </w:rPr>
            </w:pPr>
            <w:r w:rsidRPr="00483EBE">
              <w:rPr>
                <w:sz w:val="12"/>
                <w:szCs w:val="12"/>
              </w:rPr>
              <w:t>$360</w:t>
            </w:r>
          </w:p>
        </w:tc>
        <w:tc>
          <w:tcPr>
            <w:tcW w:w="0" w:type="auto"/>
            <w:tcBorders>
              <w:top w:val="nil"/>
              <w:left w:val="nil"/>
              <w:bottom w:val="single" w:sz="4" w:space="0" w:color="auto"/>
              <w:right w:val="single" w:sz="4" w:space="0" w:color="auto"/>
            </w:tcBorders>
            <w:shd w:val="clear" w:color="auto" w:fill="auto"/>
            <w:vAlign w:val="center"/>
            <w:hideMark/>
          </w:tcPr>
          <w:p w14:paraId="7A41D3D9"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A691B7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D4FE3AC"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3CDE1AD8"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2FB8B6BF" w14:textId="77777777" w:rsidR="00572995" w:rsidRPr="00483EBE" w:rsidRDefault="00572995" w:rsidP="00E8324D">
            <w:pPr>
              <w:pStyle w:val="Tablas"/>
              <w:rPr>
                <w:sz w:val="12"/>
                <w:szCs w:val="12"/>
              </w:rPr>
            </w:pPr>
            <w:r w:rsidRPr="00483EBE">
              <w:rPr>
                <w:sz w:val="12"/>
                <w:szCs w:val="12"/>
              </w:rPr>
              <w:t>$169,550</w:t>
            </w:r>
          </w:p>
        </w:tc>
        <w:tc>
          <w:tcPr>
            <w:tcW w:w="0" w:type="auto"/>
            <w:tcBorders>
              <w:top w:val="nil"/>
              <w:left w:val="nil"/>
              <w:bottom w:val="single" w:sz="4" w:space="0" w:color="auto"/>
              <w:right w:val="single" w:sz="4" w:space="0" w:color="auto"/>
            </w:tcBorders>
            <w:shd w:val="clear" w:color="auto" w:fill="auto"/>
            <w:vAlign w:val="center"/>
            <w:hideMark/>
          </w:tcPr>
          <w:p w14:paraId="5C4794E7" w14:textId="77777777" w:rsidR="00572995" w:rsidRPr="00483EBE" w:rsidRDefault="00572995" w:rsidP="00E8324D">
            <w:pPr>
              <w:pStyle w:val="Tablas"/>
              <w:rPr>
                <w:sz w:val="12"/>
                <w:szCs w:val="12"/>
              </w:rPr>
            </w:pPr>
            <w:r w:rsidRPr="00483EBE">
              <w:rPr>
                <w:sz w:val="12"/>
                <w:szCs w:val="12"/>
              </w:rPr>
              <w:t>$4,987</w:t>
            </w:r>
          </w:p>
        </w:tc>
        <w:tc>
          <w:tcPr>
            <w:tcW w:w="0" w:type="auto"/>
            <w:tcBorders>
              <w:top w:val="nil"/>
              <w:left w:val="nil"/>
              <w:bottom w:val="single" w:sz="4" w:space="0" w:color="auto"/>
              <w:right w:val="single" w:sz="4" w:space="0" w:color="auto"/>
            </w:tcBorders>
            <w:shd w:val="clear" w:color="auto" w:fill="auto"/>
            <w:vAlign w:val="center"/>
            <w:hideMark/>
          </w:tcPr>
          <w:p w14:paraId="412841C0" w14:textId="77777777" w:rsidR="00572995" w:rsidRPr="00483EBE" w:rsidRDefault="00572995" w:rsidP="00E8324D">
            <w:pPr>
              <w:pStyle w:val="Tablas"/>
              <w:rPr>
                <w:sz w:val="12"/>
                <w:szCs w:val="12"/>
              </w:rPr>
            </w:pPr>
            <w:r w:rsidRPr="00483EBE">
              <w:rPr>
                <w:sz w:val="12"/>
                <w:szCs w:val="12"/>
              </w:rPr>
              <w:t>$416</w:t>
            </w:r>
          </w:p>
        </w:tc>
        <w:tc>
          <w:tcPr>
            <w:tcW w:w="0" w:type="auto"/>
            <w:tcBorders>
              <w:top w:val="nil"/>
              <w:left w:val="nil"/>
              <w:bottom w:val="single" w:sz="4" w:space="0" w:color="auto"/>
              <w:right w:val="single" w:sz="4" w:space="0" w:color="auto"/>
            </w:tcBorders>
            <w:shd w:val="clear" w:color="auto" w:fill="auto"/>
            <w:vAlign w:val="center"/>
            <w:hideMark/>
          </w:tcPr>
          <w:p w14:paraId="406F48CD"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848C973" w14:textId="77777777" w:rsidR="00572995" w:rsidRPr="00483EBE" w:rsidRDefault="00572995" w:rsidP="00E8324D">
            <w:pPr>
              <w:pStyle w:val="Tablas"/>
              <w:rPr>
                <w:sz w:val="12"/>
                <w:szCs w:val="12"/>
              </w:rPr>
            </w:pPr>
            <w:r w:rsidRPr="00483EBE">
              <w:rPr>
                <w:sz w:val="12"/>
                <w:szCs w:val="12"/>
              </w:rPr>
              <w:t>SEBD</w:t>
            </w:r>
          </w:p>
        </w:tc>
      </w:tr>
      <w:tr w:rsidR="00572995" w:rsidRPr="00483EBE" w14:paraId="356E7B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DBB739A"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3B4EA832" w14:textId="77777777" w:rsidR="00572995" w:rsidRPr="00483EBE" w:rsidRDefault="00572995" w:rsidP="00E8324D">
            <w:pPr>
              <w:pStyle w:val="Tablas"/>
              <w:rPr>
                <w:sz w:val="12"/>
                <w:szCs w:val="12"/>
              </w:rPr>
            </w:pPr>
            <w:r w:rsidRPr="00483EBE">
              <w:rPr>
                <w:sz w:val="12"/>
                <w:szCs w:val="12"/>
              </w:rPr>
              <w:t xml:space="preserve">171 </w:t>
            </w:r>
          </w:p>
        </w:tc>
        <w:tc>
          <w:tcPr>
            <w:tcW w:w="0" w:type="auto"/>
            <w:tcBorders>
              <w:top w:val="nil"/>
              <w:left w:val="nil"/>
              <w:bottom w:val="single" w:sz="4" w:space="0" w:color="auto"/>
              <w:right w:val="single" w:sz="4" w:space="0" w:color="auto"/>
            </w:tcBorders>
            <w:shd w:val="clear" w:color="auto" w:fill="auto"/>
            <w:vAlign w:val="center"/>
            <w:hideMark/>
          </w:tcPr>
          <w:p w14:paraId="53976A6B" w14:textId="77777777" w:rsidR="00572995" w:rsidRPr="00483EBE" w:rsidRDefault="00572995" w:rsidP="00E8324D">
            <w:pPr>
              <w:pStyle w:val="Tablas"/>
              <w:rPr>
                <w:sz w:val="12"/>
                <w:szCs w:val="12"/>
              </w:rPr>
            </w:pPr>
            <w:r w:rsidRPr="00483EBE">
              <w:rPr>
                <w:sz w:val="12"/>
                <w:szCs w:val="12"/>
              </w:rPr>
              <w:t>$751,422</w:t>
            </w:r>
          </w:p>
        </w:tc>
        <w:tc>
          <w:tcPr>
            <w:tcW w:w="0" w:type="auto"/>
            <w:tcBorders>
              <w:top w:val="nil"/>
              <w:left w:val="nil"/>
              <w:bottom w:val="single" w:sz="4" w:space="0" w:color="auto"/>
              <w:right w:val="single" w:sz="4" w:space="0" w:color="auto"/>
            </w:tcBorders>
            <w:shd w:val="clear" w:color="auto" w:fill="auto"/>
            <w:vAlign w:val="center"/>
            <w:hideMark/>
          </w:tcPr>
          <w:p w14:paraId="72DA660E" w14:textId="77777777" w:rsidR="00572995" w:rsidRPr="00483EBE" w:rsidRDefault="00572995" w:rsidP="00E8324D">
            <w:pPr>
              <w:pStyle w:val="Tablas"/>
              <w:rPr>
                <w:sz w:val="12"/>
                <w:szCs w:val="12"/>
              </w:rPr>
            </w:pPr>
            <w:r w:rsidRPr="00483EBE">
              <w:rPr>
                <w:sz w:val="12"/>
                <w:szCs w:val="12"/>
              </w:rPr>
              <w:t>$4,394</w:t>
            </w:r>
          </w:p>
        </w:tc>
        <w:tc>
          <w:tcPr>
            <w:tcW w:w="0" w:type="auto"/>
            <w:tcBorders>
              <w:top w:val="nil"/>
              <w:left w:val="nil"/>
              <w:bottom w:val="single" w:sz="4" w:space="0" w:color="auto"/>
              <w:right w:val="single" w:sz="4" w:space="0" w:color="auto"/>
            </w:tcBorders>
            <w:shd w:val="clear" w:color="auto" w:fill="auto"/>
            <w:vAlign w:val="center"/>
            <w:hideMark/>
          </w:tcPr>
          <w:p w14:paraId="3F8A2976" w14:textId="77777777" w:rsidR="00572995" w:rsidRPr="00483EBE" w:rsidRDefault="00572995" w:rsidP="00E8324D">
            <w:pPr>
              <w:pStyle w:val="Tablas"/>
              <w:rPr>
                <w:sz w:val="12"/>
                <w:szCs w:val="12"/>
              </w:rPr>
            </w:pPr>
            <w:r w:rsidRPr="00483EBE">
              <w:rPr>
                <w:sz w:val="12"/>
                <w:szCs w:val="12"/>
              </w:rPr>
              <w:t>$366</w:t>
            </w:r>
          </w:p>
        </w:tc>
        <w:tc>
          <w:tcPr>
            <w:tcW w:w="0" w:type="auto"/>
            <w:tcBorders>
              <w:top w:val="nil"/>
              <w:left w:val="nil"/>
              <w:bottom w:val="single" w:sz="4" w:space="0" w:color="auto"/>
              <w:right w:val="single" w:sz="4" w:space="0" w:color="auto"/>
            </w:tcBorders>
            <w:shd w:val="clear" w:color="auto" w:fill="auto"/>
            <w:vAlign w:val="center"/>
            <w:hideMark/>
          </w:tcPr>
          <w:p w14:paraId="32656FCE"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87F06C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34E5ED"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54658DE3"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570120AB" w14:textId="77777777" w:rsidR="00572995" w:rsidRPr="00483EBE" w:rsidRDefault="00572995" w:rsidP="00E8324D">
            <w:pPr>
              <w:pStyle w:val="Tablas"/>
              <w:rPr>
                <w:sz w:val="12"/>
                <w:szCs w:val="12"/>
              </w:rPr>
            </w:pPr>
            <w:r w:rsidRPr="00483EBE">
              <w:rPr>
                <w:sz w:val="12"/>
                <w:szCs w:val="12"/>
              </w:rPr>
              <w:t>$123,415</w:t>
            </w:r>
          </w:p>
        </w:tc>
        <w:tc>
          <w:tcPr>
            <w:tcW w:w="0" w:type="auto"/>
            <w:tcBorders>
              <w:top w:val="nil"/>
              <w:left w:val="nil"/>
              <w:bottom w:val="single" w:sz="4" w:space="0" w:color="auto"/>
              <w:right w:val="single" w:sz="4" w:space="0" w:color="auto"/>
            </w:tcBorders>
            <w:shd w:val="clear" w:color="auto" w:fill="auto"/>
            <w:vAlign w:val="center"/>
            <w:hideMark/>
          </w:tcPr>
          <w:p w14:paraId="614F2CD7" w14:textId="77777777" w:rsidR="00572995" w:rsidRPr="00483EBE" w:rsidRDefault="00572995" w:rsidP="00E8324D">
            <w:pPr>
              <w:pStyle w:val="Tablas"/>
              <w:rPr>
                <w:sz w:val="12"/>
                <w:szCs w:val="12"/>
              </w:rPr>
            </w:pPr>
            <w:r w:rsidRPr="00483EBE">
              <w:rPr>
                <w:sz w:val="12"/>
                <w:szCs w:val="12"/>
              </w:rPr>
              <w:t>$3,857</w:t>
            </w:r>
          </w:p>
        </w:tc>
        <w:tc>
          <w:tcPr>
            <w:tcW w:w="0" w:type="auto"/>
            <w:tcBorders>
              <w:top w:val="nil"/>
              <w:left w:val="nil"/>
              <w:bottom w:val="single" w:sz="4" w:space="0" w:color="auto"/>
              <w:right w:val="single" w:sz="4" w:space="0" w:color="auto"/>
            </w:tcBorders>
            <w:shd w:val="clear" w:color="auto" w:fill="auto"/>
            <w:vAlign w:val="center"/>
            <w:hideMark/>
          </w:tcPr>
          <w:p w14:paraId="35782373" w14:textId="77777777" w:rsidR="00572995" w:rsidRPr="00483EBE" w:rsidRDefault="00572995" w:rsidP="00E8324D">
            <w:pPr>
              <w:pStyle w:val="Tablas"/>
              <w:rPr>
                <w:sz w:val="12"/>
                <w:szCs w:val="12"/>
              </w:rPr>
            </w:pPr>
            <w:r w:rsidRPr="00483EBE">
              <w:rPr>
                <w:sz w:val="12"/>
                <w:szCs w:val="12"/>
              </w:rPr>
              <w:t>$321</w:t>
            </w:r>
          </w:p>
        </w:tc>
        <w:tc>
          <w:tcPr>
            <w:tcW w:w="0" w:type="auto"/>
            <w:tcBorders>
              <w:top w:val="nil"/>
              <w:left w:val="nil"/>
              <w:bottom w:val="single" w:sz="4" w:space="0" w:color="auto"/>
              <w:right w:val="single" w:sz="4" w:space="0" w:color="auto"/>
            </w:tcBorders>
            <w:shd w:val="clear" w:color="auto" w:fill="auto"/>
            <w:vAlign w:val="center"/>
            <w:hideMark/>
          </w:tcPr>
          <w:p w14:paraId="5CF4C97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5E1E081" w14:textId="77777777" w:rsidR="00572995" w:rsidRPr="00483EBE" w:rsidRDefault="00572995" w:rsidP="00E8324D">
            <w:pPr>
              <w:pStyle w:val="Tablas"/>
              <w:rPr>
                <w:sz w:val="12"/>
                <w:szCs w:val="12"/>
              </w:rPr>
            </w:pPr>
            <w:r w:rsidRPr="00483EBE">
              <w:rPr>
                <w:sz w:val="12"/>
                <w:szCs w:val="12"/>
              </w:rPr>
              <w:t>SEBD</w:t>
            </w:r>
          </w:p>
        </w:tc>
      </w:tr>
      <w:tr w:rsidR="00572995" w:rsidRPr="00483EBE" w14:paraId="19D9A6A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85822B"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1EDF9832" w14:textId="77777777" w:rsidR="00572995" w:rsidRPr="00483EBE" w:rsidRDefault="00572995" w:rsidP="00E8324D">
            <w:pPr>
              <w:pStyle w:val="Tablas"/>
              <w:rPr>
                <w:sz w:val="12"/>
                <w:szCs w:val="12"/>
              </w:rPr>
            </w:pPr>
            <w:r w:rsidRPr="00483EBE">
              <w:rPr>
                <w:sz w:val="12"/>
                <w:szCs w:val="12"/>
              </w:rPr>
              <w:t xml:space="preserve">140 </w:t>
            </w:r>
          </w:p>
        </w:tc>
        <w:tc>
          <w:tcPr>
            <w:tcW w:w="0" w:type="auto"/>
            <w:tcBorders>
              <w:top w:val="nil"/>
              <w:left w:val="nil"/>
              <w:bottom w:val="single" w:sz="4" w:space="0" w:color="auto"/>
              <w:right w:val="single" w:sz="4" w:space="0" w:color="auto"/>
            </w:tcBorders>
            <w:shd w:val="clear" w:color="auto" w:fill="auto"/>
            <w:vAlign w:val="center"/>
            <w:hideMark/>
          </w:tcPr>
          <w:p w14:paraId="02DE7136" w14:textId="77777777" w:rsidR="00572995" w:rsidRPr="00483EBE" w:rsidRDefault="00572995" w:rsidP="00E8324D">
            <w:pPr>
              <w:pStyle w:val="Tablas"/>
              <w:rPr>
                <w:sz w:val="12"/>
                <w:szCs w:val="12"/>
              </w:rPr>
            </w:pPr>
            <w:r w:rsidRPr="00483EBE">
              <w:rPr>
                <w:sz w:val="12"/>
                <w:szCs w:val="12"/>
              </w:rPr>
              <w:t>$622,561</w:t>
            </w:r>
          </w:p>
        </w:tc>
        <w:tc>
          <w:tcPr>
            <w:tcW w:w="0" w:type="auto"/>
            <w:tcBorders>
              <w:top w:val="nil"/>
              <w:left w:val="nil"/>
              <w:bottom w:val="single" w:sz="4" w:space="0" w:color="auto"/>
              <w:right w:val="single" w:sz="4" w:space="0" w:color="auto"/>
            </w:tcBorders>
            <w:shd w:val="clear" w:color="auto" w:fill="auto"/>
            <w:vAlign w:val="center"/>
            <w:hideMark/>
          </w:tcPr>
          <w:p w14:paraId="2AA9DD31" w14:textId="77777777" w:rsidR="00572995" w:rsidRPr="00483EBE" w:rsidRDefault="00572995" w:rsidP="00E8324D">
            <w:pPr>
              <w:pStyle w:val="Tablas"/>
              <w:rPr>
                <w:sz w:val="12"/>
                <w:szCs w:val="12"/>
              </w:rPr>
            </w:pPr>
            <w:r w:rsidRPr="00483EBE">
              <w:rPr>
                <w:sz w:val="12"/>
                <w:szCs w:val="12"/>
              </w:rPr>
              <w:t>$4,447</w:t>
            </w:r>
          </w:p>
        </w:tc>
        <w:tc>
          <w:tcPr>
            <w:tcW w:w="0" w:type="auto"/>
            <w:tcBorders>
              <w:top w:val="nil"/>
              <w:left w:val="nil"/>
              <w:bottom w:val="single" w:sz="4" w:space="0" w:color="auto"/>
              <w:right w:val="single" w:sz="4" w:space="0" w:color="auto"/>
            </w:tcBorders>
            <w:shd w:val="clear" w:color="auto" w:fill="auto"/>
            <w:vAlign w:val="center"/>
            <w:hideMark/>
          </w:tcPr>
          <w:p w14:paraId="51975999" w14:textId="77777777" w:rsidR="00572995" w:rsidRPr="00483EBE" w:rsidRDefault="00572995" w:rsidP="00E8324D">
            <w:pPr>
              <w:pStyle w:val="Tablas"/>
              <w:rPr>
                <w:sz w:val="12"/>
                <w:szCs w:val="12"/>
              </w:rPr>
            </w:pPr>
            <w:r w:rsidRPr="00483EBE">
              <w:rPr>
                <w:sz w:val="12"/>
                <w:szCs w:val="12"/>
              </w:rPr>
              <w:t>$371</w:t>
            </w:r>
          </w:p>
        </w:tc>
        <w:tc>
          <w:tcPr>
            <w:tcW w:w="0" w:type="auto"/>
            <w:tcBorders>
              <w:top w:val="nil"/>
              <w:left w:val="nil"/>
              <w:bottom w:val="single" w:sz="4" w:space="0" w:color="auto"/>
              <w:right w:val="single" w:sz="4" w:space="0" w:color="auto"/>
            </w:tcBorders>
            <w:shd w:val="clear" w:color="auto" w:fill="auto"/>
            <w:vAlign w:val="center"/>
            <w:hideMark/>
          </w:tcPr>
          <w:p w14:paraId="36552749"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BD0FA2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B1993D2"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3F489743"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5EDFB31D" w14:textId="77777777" w:rsidR="00572995" w:rsidRPr="00483EBE" w:rsidRDefault="00572995" w:rsidP="00E8324D">
            <w:pPr>
              <w:pStyle w:val="Tablas"/>
              <w:rPr>
                <w:sz w:val="12"/>
                <w:szCs w:val="12"/>
              </w:rPr>
            </w:pPr>
            <w:r w:rsidRPr="00483EBE">
              <w:rPr>
                <w:sz w:val="12"/>
                <w:szCs w:val="12"/>
              </w:rPr>
              <w:t>$85,245</w:t>
            </w:r>
          </w:p>
        </w:tc>
        <w:tc>
          <w:tcPr>
            <w:tcW w:w="0" w:type="auto"/>
            <w:tcBorders>
              <w:top w:val="nil"/>
              <w:left w:val="nil"/>
              <w:bottom w:val="single" w:sz="4" w:space="0" w:color="auto"/>
              <w:right w:val="single" w:sz="4" w:space="0" w:color="auto"/>
            </w:tcBorders>
            <w:shd w:val="clear" w:color="auto" w:fill="auto"/>
            <w:vAlign w:val="center"/>
            <w:hideMark/>
          </w:tcPr>
          <w:p w14:paraId="46E74E34" w14:textId="77777777" w:rsidR="00572995" w:rsidRPr="00483EBE" w:rsidRDefault="00572995" w:rsidP="00E8324D">
            <w:pPr>
              <w:pStyle w:val="Tablas"/>
              <w:rPr>
                <w:sz w:val="12"/>
                <w:szCs w:val="12"/>
              </w:rPr>
            </w:pPr>
            <w:r w:rsidRPr="00483EBE">
              <w:rPr>
                <w:sz w:val="12"/>
                <w:szCs w:val="12"/>
              </w:rPr>
              <w:t>$5,683</w:t>
            </w:r>
          </w:p>
        </w:tc>
        <w:tc>
          <w:tcPr>
            <w:tcW w:w="0" w:type="auto"/>
            <w:tcBorders>
              <w:top w:val="nil"/>
              <w:left w:val="nil"/>
              <w:bottom w:val="single" w:sz="4" w:space="0" w:color="auto"/>
              <w:right w:val="single" w:sz="4" w:space="0" w:color="auto"/>
            </w:tcBorders>
            <w:shd w:val="clear" w:color="auto" w:fill="auto"/>
            <w:vAlign w:val="center"/>
            <w:hideMark/>
          </w:tcPr>
          <w:p w14:paraId="32B00598" w14:textId="77777777" w:rsidR="00572995" w:rsidRPr="00483EBE" w:rsidRDefault="00572995" w:rsidP="00E8324D">
            <w:pPr>
              <w:pStyle w:val="Tablas"/>
              <w:rPr>
                <w:sz w:val="12"/>
                <w:szCs w:val="12"/>
              </w:rPr>
            </w:pPr>
            <w:r w:rsidRPr="00483EBE">
              <w:rPr>
                <w:sz w:val="12"/>
                <w:szCs w:val="12"/>
              </w:rPr>
              <w:t>$474</w:t>
            </w:r>
          </w:p>
        </w:tc>
        <w:tc>
          <w:tcPr>
            <w:tcW w:w="0" w:type="auto"/>
            <w:tcBorders>
              <w:top w:val="nil"/>
              <w:left w:val="nil"/>
              <w:bottom w:val="single" w:sz="4" w:space="0" w:color="auto"/>
              <w:right w:val="single" w:sz="4" w:space="0" w:color="auto"/>
            </w:tcBorders>
            <w:shd w:val="clear" w:color="auto" w:fill="auto"/>
            <w:vAlign w:val="center"/>
            <w:hideMark/>
          </w:tcPr>
          <w:p w14:paraId="25D376DB"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3C8372D8" w14:textId="77777777" w:rsidR="00572995" w:rsidRPr="00483EBE" w:rsidRDefault="00572995" w:rsidP="00E8324D">
            <w:pPr>
              <w:pStyle w:val="Tablas"/>
              <w:rPr>
                <w:sz w:val="12"/>
                <w:szCs w:val="12"/>
              </w:rPr>
            </w:pPr>
            <w:r w:rsidRPr="00483EBE">
              <w:rPr>
                <w:sz w:val="12"/>
                <w:szCs w:val="12"/>
              </w:rPr>
              <w:t>SEBD</w:t>
            </w:r>
          </w:p>
        </w:tc>
      </w:tr>
      <w:tr w:rsidR="00572995" w:rsidRPr="00483EBE" w14:paraId="6D2CEA8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DB3ADF"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6E6E4D8F" w14:textId="77777777" w:rsidR="00572995" w:rsidRPr="00483EBE" w:rsidRDefault="00572995" w:rsidP="00E8324D">
            <w:pPr>
              <w:pStyle w:val="Tablas"/>
              <w:rPr>
                <w:sz w:val="12"/>
                <w:szCs w:val="12"/>
              </w:rPr>
            </w:pPr>
            <w:r w:rsidRPr="00483EBE">
              <w:rPr>
                <w:sz w:val="12"/>
                <w:szCs w:val="12"/>
              </w:rPr>
              <w:t xml:space="preserve">94 </w:t>
            </w:r>
          </w:p>
        </w:tc>
        <w:tc>
          <w:tcPr>
            <w:tcW w:w="0" w:type="auto"/>
            <w:tcBorders>
              <w:top w:val="nil"/>
              <w:left w:val="nil"/>
              <w:bottom w:val="single" w:sz="4" w:space="0" w:color="auto"/>
              <w:right w:val="single" w:sz="4" w:space="0" w:color="auto"/>
            </w:tcBorders>
            <w:shd w:val="clear" w:color="auto" w:fill="auto"/>
            <w:vAlign w:val="center"/>
            <w:hideMark/>
          </w:tcPr>
          <w:p w14:paraId="18A24AE8" w14:textId="77777777" w:rsidR="00572995" w:rsidRPr="00483EBE" w:rsidRDefault="00572995" w:rsidP="00E8324D">
            <w:pPr>
              <w:pStyle w:val="Tablas"/>
              <w:rPr>
                <w:sz w:val="12"/>
                <w:szCs w:val="12"/>
              </w:rPr>
            </w:pPr>
            <w:r w:rsidRPr="00483EBE">
              <w:rPr>
                <w:sz w:val="12"/>
                <w:szCs w:val="12"/>
              </w:rPr>
              <w:t>$375,375</w:t>
            </w:r>
          </w:p>
        </w:tc>
        <w:tc>
          <w:tcPr>
            <w:tcW w:w="0" w:type="auto"/>
            <w:tcBorders>
              <w:top w:val="nil"/>
              <w:left w:val="nil"/>
              <w:bottom w:val="single" w:sz="4" w:space="0" w:color="auto"/>
              <w:right w:val="single" w:sz="4" w:space="0" w:color="auto"/>
            </w:tcBorders>
            <w:shd w:val="clear" w:color="auto" w:fill="auto"/>
            <w:vAlign w:val="center"/>
            <w:hideMark/>
          </w:tcPr>
          <w:p w14:paraId="252065BF" w14:textId="77777777" w:rsidR="00572995" w:rsidRPr="00483EBE" w:rsidRDefault="00572995" w:rsidP="00E8324D">
            <w:pPr>
              <w:pStyle w:val="Tablas"/>
              <w:rPr>
                <w:sz w:val="12"/>
                <w:szCs w:val="12"/>
              </w:rPr>
            </w:pPr>
            <w:r w:rsidRPr="00483EBE">
              <w:rPr>
                <w:sz w:val="12"/>
                <w:szCs w:val="12"/>
              </w:rPr>
              <w:t>$3,993</w:t>
            </w:r>
          </w:p>
        </w:tc>
        <w:tc>
          <w:tcPr>
            <w:tcW w:w="0" w:type="auto"/>
            <w:tcBorders>
              <w:top w:val="nil"/>
              <w:left w:val="nil"/>
              <w:bottom w:val="single" w:sz="4" w:space="0" w:color="auto"/>
              <w:right w:val="single" w:sz="4" w:space="0" w:color="auto"/>
            </w:tcBorders>
            <w:shd w:val="clear" w:color="auto" w:fill="auto"/>
            <w:vAlign w:val="center"/>
            <w:hideMark/>
          </w:tcPr>
          <w:p w14:paraId="66EC2474" w14:textId="77777777" w:rsidR="00572995" w:rsidRPr="00483EBE" w:rsidRDefault="00572995" w:rsidP="00E8324D">
            <w:pPr>
              <w:pStyle w:val="Tablas"/>
              <w:rPr>
                <w:sz w:val="12"/>
                <w:szCs w:val="12"/>
              </w:rPr>
            </w:pPr>
            <w:r w:rsidRPr="00483EBE">
              <w:rPr>
                <w:sz w:val="12"/>
                <w:szCs w:val="12"/>
              </w:rPr>
              <w:t>$333</w:t>
            </w:r>
          </w:p>
        </w:tc>
        <w:tc>
          <w:tcPr>
            <w:tcW w:w="0" w:type="auto"/>
            <w:tcBorders>
              <w:top w:val="nil"/>
              <w:left w:val="nil"/>
              <w:bottom w:val="single" w:sz="4" w:space="0" w:color="auto"/>
              <w:right w:val="single" w:sz="4" w:space="0" w:color="auto"/>
            </w:tcBorders>
            <w:shd w:val="clear" w:color="auto" w:fill="auto"/>
            <w:vAlign w:val="center"/>
            <w:hideMark/>
          </w:tcPr>
          <w:p w14:paraId="0C3F6EB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886ACD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A13F1E"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01FF56B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BAE64C6" w14:textId="77777777" w:rsidR="00572995" w:rsidRPr="00483EBE" w:rsidRDefault="00572995" w:rsidP="00E8324D">
            <w:pPr>
              <w:pStyle w:val="Tablas"/>
              <w:rPr>
                <w:sz w:val="12"/>
                <w:szCs w:val="12"/>
              </w:rPr>
            </w:pPr>
            <w:r w:rsidRPr="00483EBE">
              <w:rPr>
                <w:sz w:val="12"/>
                <w:szCs w:val="12"/>
              </w:rPr>
              <w:t>$37,514</w:t>
            </w:r>
          </w:p>
        </w:tc>
        <w:tc>
          <w:tcPr>
            <w:tcW w:w="0" w:type="auto"/>
            <w:tcBorders>
              <w:top w:val="nil"/>
              <w:left w:val="nil"/>
              <w:bottom w:val="single" w:sz="4" w:space="0" w:color="auto"/>
              <w:right w:val="single" w:sz="4" w:space="0" w:color="auto"/>
            </w:tcBorders>
            <w:shd w:val="clear" w:color="auto" w:fill="auto"/>
            <w:vAlign w:val="center"/>
            <w:hideMark/>
          </w:tcPr>
          <w:p w14:paraId="2C5CE5E9" w14:textId="77777777" w:rsidR="00572995" w:rsidRPr="00483EBE" w:rsidRDefault="00572995" w:rsidP="00E8324D">
            <w:pPr>
              <w:pStyle w:val="Tablas"/>
              <w:rPr>
                <w:sz w:val="12"/>
                <w:szCs w:val="12"/>
              </w:rPr>
            </w:pPr>
            <w:r w:rsidRPr="00483EBE">
              <w:rPr>
                <w:sz w:val="12"/>
                <w:szCs w:val="12"/>
              </w:rPr>
              <w:t>$4,168</w:t>
            </w:r>
          </w:p>
        </w:tc>
        <w:tc>
          <w:tcPr>
            <w:tcW w:w="0" w:type="auto"/>
            <w:tcBorders>
              <w:top w:val="nil"/>
              <w:left w:val="nil"/>
              <w:bottom w:val="single" w:sz="4" w:space="0" w:color="auto"/>
              <w:right w:val="single" w:sz="4" w:space="0" w:color="auto"/>
            </w:tcBorders>
            <w:shd w:val="clear" w:color="auto" w:fill="auto"/>
            <w:vAlign w:val="center"/>
            <w:hideMark/>
          </w:tcPr>
          <w:p w14:paraId="02ECEE4B" w14:textId="77777777" w:rsidR="00572995" w:rsidRPr="00483EBE" w:rsidRDefault="00572995" w:rsidP="00E8324D">
            <w:pPr>
              <w:pStyle w:val="Tablas"/>
              <w:rPr>
                <w:sz w:val="12"/>
                <w:szCs w:val="12"/>
              </w:rPr>
            </w:pPr>
            <w:r w:rsidRPr="00483EBE">
              <w:rPr>
                <w:sz w:val="12"/>
                <w:szCs w:val="12"/>
              </w:rPr>
              <w:t>$347</w:t>
            </w:r>
          </w:p>
        </w:tc>
        <w:tc>
          <w:tcPr>
            <w:tcW w:w="0" w:type="auto"/>
            <w:tcBorders>
              <w:top w:val="nil"/>
              <w:left w:val="nil"/>
              <w:bottom w:val="single" w:sz="4" w:space="0" w:color="auto"/>
              <w:right w:val="single" w:sz="4" w:space="0" w:color="auto"/>
            </w:tcBorders>
            <w:shd w:val="clear" w:color="auto" w:fill="auto"/>
            <w:vAlign w:val="center"/>
            <w:hideMark/>
          </w:tcPr>
          <w:p w14:paraId="567E7422"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4C3A21BB" w14:textId="77777777" w:rsidR="00572995" w:rsidRPr="00483EBE" w:rsidRDefault="00572995" w:rsidP="00E8324D">
            <w:pPr>
              <w:pStyle w:val="Tablas"/>
              <w:rPr>
                <w:sz w:val="12"/>
                <w:szCs w:val="12"/>
              </w:rPr>
            </w:pPr>
            <w:r w:rsidRPr="00483EBE">
              <w:rPr>
                <w:sz w:val="12"/>
                <w:szCs w:val="12"/>
              </w:rPr>
              <w:t>SEBD</w:t>
            </w:r>
          </w:p>
        </w:tc>
      </w:tr>
      <w:tr w:rsidR="00572995" w:rsidRPr="00483EBE" w14:paraId="20E81FB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2F51CE"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05622E5F" w14:textId="77777777" w:rsidR="00572995" w:rsidRPr="00483EBE" w:rsidRDefault="00572995" w:rsidP="00E8324D">
            <w:pPr>
              <w:pStyle w:val="Tablas"/>
              <w:rPr>
                <w:sz w:val="12"/>
                <w:szCs w:val="12"/>
              </w:rPr>
            </w:pPr>
            <w:r w:rsidRPr="00483EBE">
              <w:rPr>
                <w:sz w:val="12"/>
                <w:szCs w:val="12"/>
              </w:rPr>
              <w:t xml:space="preserve">86 </w:t>
            </w:r>
          </w:p>
        </w:tc>
        <w:tc>
          <w:tcPr>
            <w:tcW w:w="0" w:type="auto"/>
            <w:tcBorders>
              <w:top w:val="nil"/>
              <w:left w:val="nil"/>
              <w:bottom w:val="single" w:sz="4" w:space="0" w:color="auto"/>
              <w:right w:val="single" w:sz="4" w:space="0" w:color="auto"/>
            </w:tcBorders>
            <w:shd w:val="clear" w:color="auto" w:fill="auto"/>
            <w:vAlign w:val="center"/>
            <w:hideMark/>
          </w:tcPr>
          <w:p w14:paraId="2299A098" w14:textId="77777777" w:rsidR="00572995" w:rsidRPr="00483EBE" w:rsidRDefault="00572995" w:rsidP="00E8324D">
            <w:pPr>
              <w:pStyle w:val="Tablas"/>
              <w:rPr>
                <w:sz w:val="12"/>
                <w:szCs w:val="12"/>
              </w:rPr>
            </w:pPr>
            <w:r w:rsidRPr="00483EBE">
              <w:rPr>
                <w:sz w:val="12"/>
                <w:szCs w:val="12"/>
              </w:rPr>
              <w:t>$325,450</w:t>
            </w:r>
          </w:p>
        </w:tc>
        <w:tc>
          <w:tcPr>
            <w:tcW w:w="0" w:type="auto"/>
            <w:tcBorders>
              <w:top w:val="nil"/>
              <w:left w:val="nil"/>
              <w:bottom w:val="single" w:sz="4" w:space="0" w:color="auto"/>
              <w:right w:val="single" w:sz="4" w:space="0" w:color="auto"/>
            </w:tcBorders>
            <w:shd w:val="clear" w:color="auto" w:fill="auto"/>
            <w:vAlign w:val="center"/>
            <w:hideMark/>
          </w:tcPr>
          <w:p w14:paraId="7AB2B5E4" w14:textId="77777777" w:rsidR="00572995" w:rsidRPr="00483EBE" w:rsidRDefault="00572995" w:rsidP="00E8324D">
            <w:pPr>
              <w:pStyle w:val="Tablas"/>
              <w:rPr>
                <w:sz w:val="12"/>
                <w:szCs w:val="12"/>
              </w:rPr>
            </w:pPr>
            <w:r w:rsidRPr="00483EBE">
              <w:rPr>
                <w:sz w:val="12"/>
                <w:szCs w:val="12"/>
              </w:rPr>
              <w:t>$3,784</w:t>
            </w:r>
          </w:p>
        </w:tc>
        <w:tc>
          <w:tcPr>
            <w:tcW w:w="0" w:type="auto"/>
            <w:tcBorders>
              <w:top w:val="nil"/>
              <w:left w:val="nil"/>
              <w:bottom w:val="single" w:sz="4" w:space="0" w:color="auto"/>
              <w:right w:val="single" w:sz="4" w:space="0" w:color="auto"/>
            </w:tcBorders>
            <w:shd w:val="clear" w:color="auto" w:fill="auto"/>
            <w:vAlign w:val="center"/>
            <w:hideMark/>
          </w:tcPr>
          <w:p w14:paraId="34F8E164" w14:textId="77777777" w:rsidR="00572995" w:rsidRPr="00483EBE" w:rsidRDefault="00572995" w:rsidP="00E8324D">
            <w:pPr>
              <w:pStyle w:val="Tablas"/>
              <w:rPr>
                <w:sz w:val="12"/>
                <w:szCs w:val="12"/>
              </w:rPr>
            </w:pPr>
            <w:r w:rsidRPr="00483EBE">
              <w:rPr>
                <w:sz w:val="12"/>
                <w:szCs w:val="12"/>
              </w:rPr>
              <w:t>$315</w:t>
            </w:r>
          </w:p>
        </w:tc>
        <w:tc>
          <w:tcPr>
            <w:tcW w:w="0" w:type="auto"/>
            <w:tcBorders>
              <w:top w:val="nil"/>
              <w:left w:val="nil"/>
              <w:bottom w:val="single" w:sz="4" w:space="0" w:color="auto"/>
              <w:right w:val="single" w:sz="4" w:space="0" w:color="auto"/>
            </w:tcBorders>
            <w:shd w:val="clear" w:color="auto" w:fill="auto"/>
            <w:vAlign w:val="center"/>
            <w:hideMark/>
          </w:tcPr>
          <w:p w14:paraId="4AEB9304"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4A73EA8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BFA04DA"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21991309"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087C1312" w14:textId="77777777" w:rsidR="00572995" w:rsidRPr="00483EBE" w:rsidRDefault="00572995" w:rsidP="00E8324D">
            <w:pPr>
              <w:pStyle w:val="Tablas"/>
              <w:rPr>
                <w:sz w:val="12"/>
                <w:szCs w:val="12"/>
              </w:rPr>
            </w:pPr>
            <w:r w:rsidRPr="00483EBE">
              <w:rPr>
                <w:sz w:val="12"/>
                <w:szCs w:val="12"/>
              </w:rPr>
              <w:t>$37,673</w:t>
            </w:r>
          </w:p>
        </w:tc>
        <w:tc>
          <w:tcPr>
            <w:tcW w:w="0" w:type="auto"/>
            <w:tcBorders>
              <w:top w:val="nil"/>
              <w:left w:val="nil"/>
              <w:bottom w:val="single" w:sz="4" w:space="0" w:color="auto"/>
              <w:right w:val="single" w:sz="4" w:space="0" w:color="auto"/>
            </w:tcBorders>
            <w:shd w:val="clear" w:color="auto" w:fill="auto"/>
            <w:vAlign w:val="center"/>
            <w:hideMark/>
          </w:tcPr>
          <w:p w14:paraId="1AF44201" w14:textId="77777777" w:rsidR="00572995" w:rsidRPr="00483EBE" w:rsidRDefault="00572995" w:rsidP="00E8324D">
            <w:pPr>
              <w:pStyle w:val="Tablas"/>
              <w:rPr>
                <w:sz w:val="12"/>
                <w:szCs w:val="12"/>
              </w:rPr>
            </w:pPr>
            <w:r w:rsidRPr="00483EBE">
              <w:rPr>
                <w:sz w:val="12"/>
                <w:szCs w:val="12"/>
              </w:rPr>
              <w:t>$3,767</w:t>
            </w:r>
          </w:p>
        </w:tc>
        <w:tc>
          <w:tcPr>
            <w:tcW w:w="0" w:type="auto"/>
            <w:tcBorders>
              <w:top w:val="nil"/>
              <w:left w:val="nil"/>
              <w:bottom w:val="single" w:sz="4" w:space="0" w:color="auto"/>
              <w:right w:val="single" w:sz="4" w:space="0" w:color="auto"/>
            </w:tcBorders>
            <w:shd w:val="clear" w:color="auto" w:fill="auto"/>
            <w:vAlign w:val="center"/>
            <w:hideMark/>
          </w:tcPr>
          <w:p w14:paraId="2794D723" w14:textId="77777777" w:rsidR="00572995" w:rsidRPr="00483EBE" w:rsidRDefault="00572995" w:rsidP="00E8324D">
            <w:pPr>
              <w:pStyle w:val="Tablas"/>
              <w:rPr>
                <w:sz w:val="12"/>
                <w:szCs w:val="12"/>
              </w:rPr>
            </w:pPr>
            <w:r w:rsidRPr="00483EBE">
              <w:rPr>
                <w:sz w:val="12"/>
                <w:szCs w:val="12"/>
              </w:rPr>
              <w:t>$314</w:t>
            </w:r>
          </w:p>
        </w:tc>
        <w:tc>
          <w:tcPr>
            <w:tcW w:w="0" w:type="auto"/>
            <w:tcBorders>
              <w:top w:val="nil"/>
              <w:left w:val="nil"/>
              <w:bottom w:val="single" w:sz="4" w:space="0" w:color="auto"/>
              <w:right w:val="single" w:sz="4" w:space="0" w:color="auto"/>
            </w:tcBorders>
            <w:shd w:val="clear" w:color="auto" w:fill="auto"/>
            <w:vAlign w:val="center"/>
            <w:hideMark/>
          </w:tcPr>
          <w:p w14:paraId="140E2B17"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7E97CEDE" w14:textId="77777777" w:rsidR="00572995" w:rsidRPr="00483EBE" w:rsidRDefault="00572995" w:rsidP="00E8324D">
            <w:pPr>
              <w:pStyle w:val="Tablas"/>
              <w:rPr>
                <w:sz w:val="12"/>
                <w:szCs w:val="12"/>
              </w:rPr>
            </w:pPr>
            <w:r w:rsidRPr="00483EBE">
              <w:rPr>
                <w:sz w:val="12"/>
                <w:szCs w:val="12"/>
              </w:rPr>
              <w:t>SEBD</w:t>
            </w:r>
          </w:p>
        </w:tc>
      </w:tr>
      <w:tr w:rsidR="00572995" w:rsidRPr="00483EBE" w14:paraId="284AD4C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15C677"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526B76EE" w14:textId="77777777" w:rsidR="00572995" w:rsidRPr="00483EBE" w:rsidRDefault="00572995" w:rsidP="00E8324D">
            <w:pPr>
              <w:pStyle w:val="Tablas"/>
              <w:rPr>
                <w:sz w:val="12"/>
                <w:szCs w:val="12"/>
              </w:rPr>
            </w:pPr>
            <w:r w:rsidRPr="00483EBE">
              <w:rPr>
                <w:sz w:val="12"/>
                <w:szCs w:val="12"/>
              </w:rPr>
              <w:t xml:space="preserve">57 </w:t>
            </w:r>
          </w:p>
        </w:tc>
        <w:tc>
          <w:tcPr>
            <w:tcW w:w="0" w:type="auto"/>
            <w:tcBorders>
              <w:top w:val="nil"/>
              <w:left w:val="nil"/>
              <w:bottom w:val="single" w:sz="4" w:space="0" w:color="auto"/>
              <w:right w:val="single" w:sz="4" w:space="0" w:color="auto"/>
            </w:tcBorders>
            <w:shd w:val="clear" w:color="auto" w:fill="auto"/>
            <w:vAlign w:val="center"/>
            <w:hideMark/>
          </w:tcPr>
          <w:p w14:paraId="7FBE6F09" w14:textId="77777777" w:rsidR="00572995" w:rsidRPr="00483EBE" w:rsidRDefault="00572995" w:rsidP="00E8324D">
            <w:pPr>
              <w:pStyle w:val="Tablas"/>
              <w:rPr>
                <w:sz w:val="12"/>
                <w:szCs w:val="12"/>
              </w:rPr>
            </w:pPr>
            <w:r w:rsidRPr="00483EBE">
              <w:rPr>
                <w:sz w:val="12"/>
                <w:szCs w:val="12"/>
              </w:rPr>
              <w:t>$203,695</w:t>
            </w:r>
          </w:p>
        </w:tc>
        <w:tc>
          <w:tcPr>
            <w:tcW w:w="0" w:type="auto"/>
            <w:tcBorders>
              <w:top w:val="nil"/>
              <w:left w:val="nil"/>
              <w:bottom w:val="single" w:sz="4" w:space="0" w:color="auto"/>
              <w:right w:val="single" w:sz="4" w:space="0" w:color="auto"/>
            </w:tcBorders>
            <w:shd w:val="clear" w:color="auto" w:fill="auto"/>
            <w:vAlign w:val="center"/>
            <w:hideMark/>
          </w:tcPr>
          <w:p w14:paraId="47B69FA9" w14:textId="77777777" w:rsidR="00572995" w:rsidRPr="00483EBE" w:rsidRDefault="00572995" w:rsidP="00E8324D">
            <w:pPr>
              <w:pStyle w:val="Tablas"/>
              <w:rPr>
                <w:sz w:val="12"/>
                <w:szCs w:val="12"/>
              </w:rPr>
            </w:pPr>
            <w:r w:rsidRPr="00483EBE">
              <w:rPr>
                <w:sz w:val="12"/>
                <w:szCs w:val="12"/>
              </w:rPr>
              <w:t>$3,574</w:t>
            </w:r>
          </w:p>
        </w:tc>
        <w:tc>
          <w:tcPr>
            <w:tcW w:w="0" w:type="auto"/>
            <w:tcBorders>
              <w:top w:val="nil"/>
              <w:left w:val="nil"/>
              <w:bottom w:val="single" w:sz="4" w:space="0" w:color="auto"/>
              <w:right w:val="single" w:sz="4" w:space="0" w:color="auto"/>
            </w:tcBorders>
            <w:shd w:val="clear" w:color="auto" w:fill="auto"/>
            <w:vAlign w:val="center"/>
            <w:hideMark/>
          </w:tcPr>
          <w:p w14:paraId="4417E5BE" w14:textId="77777777" w:rsidR="00572995" w:rsidRPr="00483EBE" w:rsidRDefault="00572995" w:rsidP="00E8324D">
            <w:pPr>
              <w:pStyle w:val="Tablas"/>
              <w:rPr>
                <w:sz w:val="12"/>
                <w:szCs w:val="12"/>
              </w:rPr>
            </w:pPr>
            <w:r w:rsidRPr="00483EBE">
              <w:rPr>
                <w:sz w:val="12"/>
                <w:szCs w:val="12"/>
              </w:rPr>
              <w:t>$298</w:t>
            </w:r>
          </w:p>
        </w:tc>
        <w:tc>
          <w:tcPr>
            <w:tcW w:w="0" w:type="auto"/>
            <w:tcBorders>
              <w:top w:val="nil"/>
              <w:left w:val="nil"/>
              <w:bottom w:val="single" w:sz="4" w:space="0" w:color="auto"/>
              <w:right w:val="single" w:sz="4" w:space="0" w:color="auto"/>
            </w:tcBorders>
            <w:shd w:val="clear" w:color="auto" w:fill="auto"/>
            <w:vAlign w:val="center"/>
            <w:hideMark/>
          </w:tcPr>
          <w:p w14:paraId="63D59193"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133E8F4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20BF062"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7F11CC05"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68CCD5A6" w14:textId="77777777" w:rsidR="00572995" w:rsidRPr="00483EBE" w:rsidRDefault="00572995" w:rsidP="00E8324D">
            <w:pPr>
              <w:pStyle w:val="Tablas"/>
              <w:rPr>
                <w:sz w:val="12"/>
                <w:szCs w:val="12"/>
              </w:rPr>
            </w:pPr>
            <w:r w:rsidRPr="00483EBE">
              <w:rPr>
                <w:sz w:val="12"/>
                <w:szCs w:val="12"/>
              </w:rPr>
              <w:t>$17,163</w:t>
            </w:r>
          </w:p>
        </w:tc>
        <w:tc>
          <w:tcPr>
            <w:tcW w:w="0" w:type="auto"/>
            <w:tcBorders>
              <w:top w:val="nil"/>
              <w:left w:val="nil"/>
              <w:bottom w:val="single" w:sz="4" w:space="0" w:color="auto"/>
              <w:right w:val="single" w:sz="4" w:space="0" w:color="auto"/>
            </w:tcBorders>
            <w:shd w:val="clear" w:color="auto" w:fill="auto"/>
            <w:vAlign w:val="center"/>
            <w:hideMark/>
          </w:tcPr>
          <w:p w14:paraId="152D28A2" w14:textId="77777777" w:rsidR="00572995" w:rsidRPr="00483EBE" w:rsidRDefault="00572995" w:rsidP="00E8324D">
            <w:pPr>
              <w:pStyle w:val="Tablas"/>
              <w:rPr>
                <w:sz w:val="12"/>
                <w:szCs w:val="12"/>
              </w:rPr>
            </w:pPr>
            <w:r w:rsidRPr="00483EBE">
              <w:rPr>
                <w:sz w:val="12"/>
                <w:szCs w:val="12"/>
              </w:rPr>
              <w:t>$2,452</w:t>
            </w:r>
          </w:p>
        </w:tc>
        <w:tc>
          <w:tcPr>
            <w:tcW w:w="0" w:type="auto"/>
            <w:tcBorders>
              <w:top w:val="nil"/>
              <w:left w:val="nil"/>
              <w:bottom w:val="single" w:sz="4" w:space="0" w:color="auto"/>
              <w:right w:val="single" w:sz="4" w:space="0" w:color="auto"/>
            </w:tcBorders>
            <w:shd w:val="clear" w:color="auto" w:fill="auto"/>
            <w:vAlign w:val="center"/>
            <w:hideMark/>
          </w:tcPr>
          <w:p w14:paraId="007C94D7" w14:textId="77777777" w:rsidR="00572995" w:rsidRPr="00483EBE" w:rsidRDefault="00572995" w:rsidP="00E8324D">
            <w:pPr>
              <w:pStyle w:val="Tablas"/>
              <w:rPr>
                <w:sz w:val="12"/>
                <w:szCs w:val="12"/>
              </w:rPr>
            </w:pPr>
            <w:r w:rsidRPr="00483EBE">
              <w:rPr>
                <w:sz w:val="12"/>
                <w:szCs w:val="12"/>
              </w:rPr>
              <w:t>$204</w:t>
            </w:r>
          </w:p>
        </w:tc>
        <w:tc>
          <w:tcPr>
            <w:tcW w:w="0" w:type="auto"/>
            <w:tcBorders>
              <w:top w:val="nil"/>
              <w:left w:val="nil"/>
              <w:bottom w:val="single" w:sz="4" w:space="0" w:color="auto"/>
              <w:right w:val="single" w:sz="4" w:space="0" w:color="auto"/>
            </w:tcBorders>
            <w:shd w:val="clear" w:color="auto" w:fill="auto"/>
            <w:vAlign w:val="center"/>
            <w:hideMark/>
          </w:tcPr>
          <w:p w14:paraId="4666A23E"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6A6B0FD2" w14:textId="77777777" w:rsidR="00572995" w:rsidRPr="00483EBE" w:rsidRDefault="00572995" w:rsidP="00E8324D">
            <w:pPr>
              <w:pStyle w:val="Tablas"/>
              <w:rPr>
                <w:sz w:val="12"/>
                <w:szCs w:val="12"/>
              </w:rPr>
            </w:pPr>
            <w:r w:rsidRPr="00483EBE">
              <w:rPr>
                <w:sz w:val="12"/>
                <w:szCs w:val="12"/>
              </w:rPr>
              <w:t>SEBD</w:t>
            </w:r>
          </w:p>
        </w:tc>
      </w:tr>
      <w:tr w:rsidR="00572995" w:rsidRPr="00483EBE" w14:paraId="673EDFC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D219A1"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6C2E23EE"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412557A0" w14:textId="77777777" w:rsidR="00572995" w:rsidRPr="00483EBE" w:rsidRDefault="00572995" w:rsidP="00E8324D">
            <w:pPr>
              <w:pStyle w:val="Tablas"/>
              <w:rPr>
                <w:sz w:val="12"/>
                <w:szCs w:val="12"/>
              </w:rPr>
            </w:pPr>
            <w:r w:rsidRPr="00483EBE">
              <w:rPr>
                <w:sz w:val="12"/>
                <w:szCs w:val="12"/>
              </w:rPr>
              <w:t>$181,774</w:t>
            </w:r>
          </w:p>
        </w:tc>
        <w:tc>
          <w:tcPr>
            <w:tcW w:w="0" w:type="auto"/>
            <w:tcBorders>
              <w:top w:val="nil"/>
              <w:left w:val="nil"/>
              <w:bottom w:val="single" w:sz="4" w:space="0" w:color="auto"/>
              <w:right w:val="single" w:sz="4" w:space="0" w:color="auto"/>
            </w:tcBorders>
            <w:shd w:val="clear" w:color="auto" w:fill="auto"/>
            <w:vAlign w:val="center"/>
            <w:hideMark/>
          </w:tcPr>
          <w:p w14:paraId="509F59D5" w14:textId="77777777" w:rsidR="00572995" w:rsidRPr="00483EBE" w:rsidRDefault="00572995" w:rsidP="00E8324D">
            <w:pPr>
              <w:pStyle w:val="Tablas"/>
              <w:rPr>
                <w:sz w:val="12"/>
                <w:szCs w:val="12"/>
              </w:rPr>
            </w:pPr>
            <w:r w:rsidRPr="00483EBE">
              <w:rPr>
                <w:sz w:val="12"/>
                <w:szCs w:val="12"/>
              </w:rPr>
              <w:t>$4,328</w:t>
            </w:r>
          </w:p>
        </w:tc>
        <w:tc>
          <w:tcPr>
            <w:tcW w:w="0" w:type="auto"/>
            <w:tcBorders>
              <w:top w:val="nil"/>
              <w:left w:val="nil"/>
              <w:bottom w:val="single" w:sz="4" w:space="0" w:color="auto"/>
              <w:right w:val="single" w:sz="4" w:space="0" w:color="auto"/>
            </w:tcBorders>
            <w:shd w:val="clear" w:color="auto" w:fill="auto"/>
            <w:vAlign w:val="center"/>
            <w:hideMark/>
          </w:tcPr>
          <w:p w14:paraId="0C462FE0" w14:textId="77777777" w:rsidR="00572995" w:rsidRPr="00483EBE" w:rsidRDefault="00572995" w:rsidP="00E8324D">
            <w:pPr>
              <w:pStyle w:val="Tablas"/>
              <w:rPr>
                <w:sz w:val="12"/>
                <w:szCs w:val="12"/>
              </w:rPr>
            </w:pPr>
            <w:r w:rsidRPr="00483EBE">
              <w:rPr>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7BA762A3"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5F80053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D560971"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78B51FCB"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791B697" w14:textId="77777777" w:rsidR="00572995" w:rsidRPr="00483EBE" w:rsidRDefault="00572995" w:rsidP="00E8324D">
            <w:pPr>
              <w:pStyle w:val="Tablas"/>
              <w:rPr>
                <w:sz w:val="12"/>
                <w:szCs w:val="12"/>
              </w:rPr>
            </w:pPr>
            <w:r w:rsidRPr="00483EBE">
              <w:rPr>
                <w:sz w:val="12"/>
                <w:szCs w:val="12"/>
              </w:rPr>
              <w:t>$7,386</w:t>
            </w:r>
          </w:p>
        </w:tc>
        <w:tc>
          <w:tcPr>
            <w:tcW w:w="0" w:type="auto"/>
            <w:tcBorders>
              <w:top w:val="nil"/>
              <w:left w:val="nil"/>
              <w:bottom w:val="single" w:sz="4" w:space="0" w:color="auto"/>
              <w:right w:val="single" w:sz="4" w:space="0" w:color="auto"/>
            </w:tcBorders>
            <w:shd w:val="clear" w:color="auto" w:fill="auto"/>
            <w:vAlign w:val="center"/>
            <w:hideMark/>
          </w:tcPr>
          <w:p w14:paraId="0C16A4D6" w14:textId="77777777" w:rsidR="00572995" w:rsidRPr="00483EBE" w:rsidRDefault="00572995" w:rsidP="00E8324D">
            <w:pPr>
              <w:pStyle w:val="Tablas"/>
              <w:rPr>
                <w:sz w:val="12"/>
                <w:szCs w:val="12"/>
              </w:rPr>
            </w:pPr>
            <w:r w:rsidRPr="00483EBE">
              <w:rPr>
                <w:sz w:val="12"/>
                <w:szCs w:val="12"/>
              </w:rPr>
              <w:t>$2,462</w:t>
            </w:r>
          </w:p>
        </w:tc>
        <w:tc>
          <w:tcPr>
            <w:tcW w:w="0" w:type="auto"/>
            <w:tcBorders>
              <w:top w:val="nil"/>
              <w:left w:val="nil"/>
              <w:bottom w:val="single" w:sz="4" w:space="0" w:color="auto"/>
              <w:right w:val="single" w:sz="4" w:space="0" w:color="auto"/>
            </w:tcBorders>
            <w:shd w:val="clear" w:color="auto" w:fill="auto"/>
            <w:vAlign w:val="center"/>
            <w:hideMark/>
          </w:tcPr>
          <w:p w14:paraId="5BBE6162" w14:textId="77777777" w:rsidR="00572995" w:rsidRPr="00483EBE" w:rsidRDefault="00572995" w:rsidP="00E8324D">
            <w:pPr>
              <w:pStyle w:val="Tablas"/>
              <w:rPr>
                <w:sz w:val="12"/>
                <w:szCs w:val="12"/>
              </w:rPr>
            </w:pPr>
            <w:r w:rsidRPr="00483EBE">
              <w:rPr>
                <w:sz w:val="12"/>
                <w:szCs w:val="12"/>
              </w:rPr>
              <w:t>$205</w:t>
            </w:r>
          </w:p>
        </w:tc>
        <w:tc>
          <w:tcPr>
            <w:tcW w:w="0" w:type="auto"/>
            <w:tcBorders>
              <w:top w:val="nil"/>
              <w:left w:val="nil"/>
              <w:bottom w:val="single" w:sz="4" w:space="0" w:color="auto"/>
              <w:right w:val="single" w:sz="4" w:space="0" w:color="auto"/>
            </w:tcBorders>
            <w:shd w:val="clear" w:color="auto" w:fill="auto"/>
            <w:vAlign w:val="center"/>
            <w:hideMark/>
          </w:tcPr>
          <w:p w14:paraId="31AADCEC"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2EA07EE" w14:textId="77777777" w:rsidR="00572995" w:rsidRPr="00483EBE" w:rsidRDefault="00572995" w:rsidP="00E8324D">
            <w:pPr>
              <w:pStyle w:val="Tablas"/>
              <w:rPr>
                <w:sz w:val="12"/>
                <w:szCs w:val="12"/>
              </w:rPr>
            </w:pPr>
            <w:r w:rsidRPr="00483EBE">
              <w:rPr>
                <w:sz w:val="12"/>
                <w:szCs w:val="12"/>
              </w:rPr>
              <w:t>SEBD</w:t>
            </w:r>
          </w:p>
        </w:tc>
      </w:tr>
      <w:tr w:rsidR="00572995" w:rsidRPr="00483EBE" w14:paraId="3DA4C07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1C60A3"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45B441A7"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2F478800" w14:textId="77777777" w:rsidR="00572995" w:rsidRPr="00483EBE" w:rsidRDefault="00572995" w:rsidP="00E8324D">
            <w:pPr>
              <w:pStyle w:val="Tablas"/>
              <w:rPr>
                <w:sz w:val="12"/>
                <w:szCs w:val="12"/>
              </w:rPr>
            </w:pPr>
            <w:r w:rsidRPr="00483EBE">
              <w:rPr>
                <w:sz w:val="12"/>
                <w:szCs w:val="12"/>
              </w:rPr>
              <w:t>$107,682</w:t>
            </w:r>
          </w:p>
        </w:tc>
        <w:tc>
          <w:tcPr>
            <w:tcW w:w="0" w:type="auto"/>
            <w:tcBorders>
              <w:top w:val="nil"/>
              <w:left w:val="nil"/>
              <w:bottom w:val="single" w:sz="4" w:space="0" w:color="auto"/>
              <w:right w:val="single" w:sz="4" w:space="0" w:color="auto"/>
            </w:tcBorders>
            <w:shd w:val="clear" w:color="auto" w:fill="auto"/>
            <w:vAlign w:val="center"/>
            <w:hideMark/>
          </w:tcPr>
          <w:p w14:paraId="663923CA" w14:textId="77777777" w:rsidR="00572995" w:rsidRPr="00483EBE" w:rsidRDefault="00572995" w:rsidP="00E8324D">
            <w:pPr>
              <w:pStyle w:val="Tablas"/>
              <w:rPr>
                <w:sz w:val="12"/>
                <w:szCs w:val="12"/>
              </w:rPr>
            </w:pPr>
            <w:r w:rsidRPr="00483EBE">
              <w:rPr>
                <w:sz w:val="12"/>
                <w:szCs w:val="12"/>
              </w:rPr>
              <w:t>$3,365</w:t>
            </w:r>
          </w:p>
        </w:tc>
        <w:tc>
          <w:tcPr>
            <w:tcW w:w="0" w:type="auto"/>
            <w:tcBorders>
              <w:top w:val="nil"/>
              <w:left w:val="nil"/>
              <w:bottom w:val="single" w:sz="4" w:space="0" w:color="auto"/>
              <w:right w:val="single" w:sz="4" w:space="0" w:color="auto"/>
            </w:tcBorders>
            <w:shd w:val="clear" w:color="auto" w:fill="auto"/>
            <w:vAlign w:val="center"/>
            <w:hideMark/>
          </w:tcPr>
          <w:p w14:paraId="391EFAA3" w14:textId="77777777" w:rsidR="00572995" w:rsidRPr="00483EBE" w:rsidRDefault="00572995" w:rsidP="00E8324D">
            <w:pPr>
              <w:pStyle w:val="Tablas"/>
              <w:rPr>
                <w:sz w:val="12"/>
                <w:szCs w:val="12"/>
              </w:rPr>
            </w:pPr>
            <w:r w:rsidRPr="00483EBE">
              <w:rPr>
                <w:sz w:val="12"/>
                <w:szCs w:val="12"/>
              </w:rPr>
              <w:t>$280</w:t>
            </w:r>
          </w:p>
        </w:tc>
        <w:tc>
          <w:tcPr>
            <w:tcW w:w="0" w:type="auto"/>
            <w:tcBorders>
              <w:top w:val="nil"/>
              <w:left w:val="nil"/>
              <w:bottom w:val="single" w:sz="4" w:space="0" w:color="auto"/>
              <w:right w:val="single" w:sz="4" w:space="0" w:color="auto"/>
            </w:tcBorders>
            <w:shd w:val="clear" w:color="auto" w:fill="auto"/>
            <w:vAlign w:val="center"/>
            <w:hideMark/>
          </w:tcPr>
          <w:p w14:paraId="74821B86"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3E66DB7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FF3556"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7BADDF6F"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8619232" w14:textId="77777777" w:rsidR="00572995" w:rsidRPr="00483EBE" w:rsidRDefault="00572995" w:rsidP="00E8324D">
            <w:pPr>
              <w:pStyle w:val="Tablas"/>
              <w:rPr>
                <w:sz w:val="12"/>
                <w:szCs w:val="12"/>
              </w:rPr>
            </w:pPr>
            <w:r w:rsidRPr="00483EBE">
              <w:rPr>
                <w:sz w:val="12"/>
                <w:szCs w:val="12"/>
              </w:rPr>
              <w:t>$5,239</w:t>
            </w:r>
          </w:p>
        </w:tc>
        <w:tc>
          <w:tcPr>
            <w:tcW w:w="0" w:type="auto"/>
            <w:tcBorders>
              <w:top w:val="nil"/>
              <w:left w:val="nil"/>
              <w:bottom w:val="single" w:sz="4" w:space="0" w:color="auto"/>
              <w:right w:val="single" w:sz="4" w:space="0" w:color="auto"/>
            </w:tcBorders>
            <w:shd w:val="clear" w:color="auto" w:fill="auto"/>
            <w:vAlign w:val="center"/>
            <w:hideMark/>
          </w:tcPr>
          <w:p w14:paraId="32325F28" w14:textId="77777777" w:rsidR="00572995" w:rsidRPr="00483EBE" w:rsidRDefault="00572995" w:rsidP="00E8324D">
            <w:pPr>
              <w:pStyle w:val="Tablas"/>
              <w:rPr>
                <w:sz w:val="12"/>
                <w:szCs w:val="12"/>
              </w:rPr>
            </w:pPr>
            <w:r w:rsidRPr="00483EBE">
              <w:rPr>
                <w:sz w:val="12"/>
                <w:szCs w:val="12"/>
              </w:rPr>
              <w:t>$2,619</w:t>
            </w:r>
          </w:p>
        </w:tc>
        <w:tc>
          <w:tcPr>
            <w:tcW w:w="0" w:type="auto"/>
            <w:tcBorders>
              <w:top w:val="nil"/>
              <w:left w:val="nil"/>
              <w:bottom w:val="single" w:sz="4" w:space="0" w:color="auto"/>
              <w:right w:val="single" w:sz="4" w:space="0" w:color="auto"/>
            </w:tcBorders>
            <w:shd w:val="clear" w:color="auto" w:fill="auto"/>
            <w:vAlign w:val="center"/>
            <w:hideMark/>
          </w:tcPr>
          <w:p w14:paraId="517956F3" w14:textId="77777777" w:rsidR="00572995" w:rsidRPr="00483EBE" w:rsidRDefault="00572995" w:rsidP="00E8324D">
            <w:pPr>
              <w:pStyle w:val="Tablas"/>
              <w:rPr>
                <w:sz w:val="12"/>
                <w:szCs w:val="12"/>
              </w:rPr>
            </w:pPr>
            <w:r w:rsidRPr="00483EBE">
              <w:rPr>
                <w:sz w:val="12"/>
                <w:szCs w:val="12"/>
              </w:rPr>
              <w:t>$218</w:t>
            </w:r>
          </w:p>
        </w:tc>
        <w:tc>
          <w:tcPr>
            <w:tcW w:w="0" w:type="auto"/>
            <w:tcBorders>
              <w:top w:val="nil"/>
              <w:left w:val="nil"/>
              <w:bottom w:val="single" w:sz="4" w:space="0" w:color="auto"/>
              <w:right w:val="single" w:sz="4" w:space="0" w:color="auto"/>
            </w:tcBorders>
            <w:shd w:val="clear" w:color="auto" w:fill="auto"/>
            <w:vAlign w:val="center"/>
            <w:hideMark/>
          </w:tcPr>
          <w:p w14:paraId="370984D1"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033905EB" w14:textId="77777777" w:rsidR="00572995" w:rsidRPr="00483EBE" w:rsidRDefault="00572995" w:rsidP="00E8324D">
            <w:pPr>
              <w:pStyle w:val="Tablas"/>
              <w:rPr>
                <w:sz w:val="12"/>
                <w:szCs w:val="12"/>
              </w:rPr>
            </w:pPr>
            <w:r w:rsidRPr="00483EBE">
              <w:rPr>
                <w:sz w:val="12"/>
                <w:szCs w:val="12"/>
              </w:rPr>
              <w:t>SEBD</w:t>
            </w:r>
          </w:p>
        </w:tc>
      </w:tr>
      <w:tr w:rsidR="00572995" w:rsidRPr="00483EBE" w14:paraId="64F4DBC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797D7C"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73CFFB79"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0CEF53DC" w14:textId="77777777" w:rsidR="00572995" w:rsidRPr="00483EBE" w:rsidRDefault="00572995" w:rsidP="00E8324D">
            <w:pPr>
              <w:pStyle w:val="Tablas"/>
              <w:rPr>
                <w:sz w:val="12"/>
                <w:szCs w:val="12"/>
              </w:rPr>
            </w:pPr>
            <w:r w:rsidRPr="00483EBE">
              <w:rPr>
                <w:sz w:val="12"/>
                <w:szCs w:val="12"/>
              </w:rPr>
              <w:t>$79,437</w:t>
            </w:r>
          </w:p>
        </w:tc>
        <w:tc>
          <w:tcPr>
            <w:tcW w:w="0" w:type="auto"/>
            <w:tcBorders>
              <w:top w:val="nil"/>
              <w:left w:val="nil"/>
              <w:bottom w:val="single" w:sz="4" w:space="0" w:color="auto"/>
              <w:right w:val="single" w:sz="4" w:space="0" w:color="auto"/>
            </w:tcBorders>
            <w:shd w:val="clear" w:color="auto" w:fill="auto"/>
            <w:vAlign w:val="center"/>
            <w:hideMark/>
          </w:tcPr>
          <w:p w14:paraId="5470DEFC" w14:textId="77777777" w:rsidR="00572995" w:rsidRPr="00483EBE" w:rsidRDefault="00572995" w:rsidP="00E8324D">
            <w:pPr>
              <w:pStyle w:val="Tablas"/>
              <w:rPr>
                <w:sz w:val="12"/>
                <w:szCs w:val="12"/>
              </w:rPr>
            </w:pPr>
            <w:r w:rsidRPr="00483EBE">
              <w:rPr>
                <w:sz w:val="12"/>
                <w:szCs w:val="12"/>
              </w:rPr>
              <w:t>$3,611</w:t>
            </w:r>
          </w:p>
        </w:tc>
        <w:tc>
          <w:tcPr>
            <w:tcW w:w="0" w:type="auto"/>
            <w:tcBorders>
              <w:top w:val="nil"/>
              <w:left w:val="nil"/>
              <w:bottom w:val="single" w:sz="4" w:space="0" w:color="auto"/>
              <w:right w:val="single" w:sz="4" w:space="0" w:color="auto"/>
            </w:tcBorders>
            <w:shd w:val="clear" w:color="auto" w:fill="auto"/>
            <w:vAlign w:val="center"/>
            <w:hideMark/>
          </w:tcPr>
          <w:p w14:paraId="09274F01" w14:textId="77777777" w:rsidR="00572995" w:rsidRPr="00483EBE" w:rsidRDefault="00572995" w:rsidP="00E8324D">
            <w:pPr>
              <w:pStyle w:val="Tablas"/>
              <w:rPr>
                <w:sz w:val="12"/>
                <w:szCs w:val="12"/>
              </w:rPr>
            </w:pPr>
            <w:r w:rsidRPr="00483EBE">
              <w:rPr>
                <w:sz w:val="12"/>
                <w:szCs w:val="12"/>
              </w:rPr>
              <w:t>$301</w:t>
            </w:r>
          </w:p>
        </w:tc>
        <w:tc>
          <w:tcPr>
            <w:tcW w:w="0" w:type="auto"/>
            <w:tcBorders>
              <w:top w:val="nil"/>
              <w:left w:val="nil"/>
              <w:bottom w:val="single" w:sz="4" w:space="0" w:color="auto"/>
              <w:right w:val="single" w:sz="4" w:space="0" w:color="auto"/>
            </w:tcBorders>
            <w:shd w:val="clear" w:color="auto" w:fill="auto"/>
            <w:vAlign w:val="center"/>
            <w:hideMark/>
          </w:tcPr>
          <w:p w14:paraId="440E8A9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CE7A9A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6473F6"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4EC18DC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2696E06" w14:textId="77777777" w:rsidR="00572995" w:rsidRPr="00483EBE" w:rsidRDefault="00572995" w:rsidP="00E8324D">
            <w:pPr>
              <w:pStyle w:val="Tablas"/>
              <w:rPr>
                <w:sz w:val="12"/>
                <w:szCs w:val="12"/>
              </w:rPr>
            </w:pPr>
            <w:r w:rsidRPr="00483EBE">
              <w:rPr>
                <w:sz w:val="12"/>
                <w:szCs w:val="12"/>
              </w:rPr>
              <w:t>$2,754</w:t>
            </w:r>
          </w:p>
        </w:tc>
        <w:tc>
          <w:tcPr>
            <w:tcW w:w="0" w:type="auto"/>
            <w:tcBorders>
              <w:top w:val="nil"/>
              <w:left w:val="nil"/>
              <w:bottom w:val="single" w:sz="4" w:space="0" w:color="auto"/>
              <w:right w:val="single" w:sz="4" w:space="0" w:color="auto"/>
            </w:tcBorders>
            <w:shd w:val="clear" w:color="auto" w:fill="auto"/>
            <w:vAlign w:val="center"/>
            <w:hideMark/>
          </w:tcPr>
          <w:p w14:paraId="51AECEBF" w14:textId="77777777" w:rsidR="00572995" w:rsidRPr="00483EBE" w:rsidRDefault="00572995" w:rsidP="00E8324D">
            <w:pPr>
              <w:pStyle w:val="Tablas"/>
              <w:rPr>
                <w:sz w:val="12"/>
                <w:szCs w:val="12"/>
              </w:rPr>
            </w:pPr>
            <w:r w:rsidRPr="00483EBE">
              <w:rPr>
                <w:sz w:val="12"/>
                <w:szCs w:val="12"/>
              </w:rPr>
              <w:t>$2,754</w:t>
            </w:r>
          </w:p>
        </w:tc>
        <w:tc>
          <w:tcPr>
            <w:tcW w:w="0" w:type="auto"/>
            <w:tcBorders>
              <w:top w:val="nil"/>
              <w:left w:val="nil"/>
              <w:bottom w:val="single" w:sz="4" w:space="0" w:color="auto"/>
              <w:right w:val="single" w:sz="4" w:space="0" w:color="auto"/>
            </w:tcBorders>
            <w:shd w:val="clear" w:color="auto" w:fill="auto"/>
            <w:vAlign w:val="center"/>
            <w:hideMark/>
          </w:tcPr>
          <w:p w14:paraId="3A3E44E3" w14:textId="77777777" w:rsidR="00572995" w:rsidRPr="00483EBE" w:rsidRDefault="00572995" w:rsidP="00E8324D">
            <w:pPr>
              <w:pStyle w:val="Tablas"/>
              <w:rPr>
                <w:sz w:val="12"/>
                <w:szCs w:val="12"/>
              </w:rPr>
            </w:pPr>
            <w:r w:rsidRPr="00483EBE">
              <w:rPr>
                <w:sz w:val="12"/>
                <w:szCs w:val="12"/>
              </w:rPr>
              <w:t>$229</w:t>
            </w:r>
          </w:p>
        </w:tc>
        <w:tc>
          <w:tcPr>
            <w:tcW w:w="0" w:type="auto"/>
            <w:tcBorders>
              <w:top w:val="nil"/>
              <w:left w:val="nil"/>
              <w:bottom w:val="single" w:sz="4" w:space="0" w:color="auto"/>
              <w:right w:val="single" w:sz="4" w:space="0" w:color="auto"/>
            </w:tcBorders>
            <w:shd w:val="clear" w:color="auto" w:fill="auto"/>
            <w:vAlign w:val="center"/>
            <w:hideMark/>
          </w:tcPr>
          <w:p w14:paraId="01E58798"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5D8F7E80" w14:textId="77777777" w:rsidR="00572995" w:rsidRPr="00483EBE" w:rsidRDefault="00572995" w:rsidP="00E8324D">
            <w:pPr>
              <w:pStyle w:val="Tablas"/>
              <w:rPr>
                <w:sz w:val="12"/>
                <w:szCs w:val="12"/>
              </w:rPr>
            </w:pPr>
            <w:r w:rsidRPr="00483EBE">
              <w:rPr>
                <w:sz w:val="12"/>
                <w:szCs w:val="12"/>
              </w:rPr>
              <w:t>SEBD</w:t>
            </w:r>
          </w:p>
        </w:tc>
      </w:tr>
      <w:tr w:rsidR="00572995" w:rsidRPr="00483EBE" w14:paraId="3A50B7E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09F5122"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1AF84CE9"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42AB4C07" w14:textId="77777777" w:rsidR="00572995" w:rsidRPr="00483EBE" w:rsidRDefault="00572995" w:rsidP="00E8324D">
            <w:pPr>
              <w:pStyle w:val="Tablas"/>
              <w:rPr>
                <w:sz w:val="12"/>
                <w:szCs w:val="12"/>
              </w:rPr>
            </w:pPr>
            <w:r w:rsidRPr="00483EBE">
              <w:rPr>
                <w:sz w:val="12"/>
                <w:szCs w:val="12"/>
              </w:rPr>
              <w:t>$41,544</w:t>
            </w:r>
          </w:p>
        </w:tc>
        <w:tc>
          <w:tcPr>
            <w:tcW w:w="0" w:type="auto"/>
            <w:tcBorders>
              <w:top w:val="nil"/>
              <w:left w:val="nil"/>
              <w:bottom w:val="single" w:sz="4" w:space="0" w:color="auto"/>
              <w:right w:val="single" w:sz="4" w:space="0" w:color="auto"/>
            </w:tcBorders>
            <w:shd w:val="clear" w:color="auto" w:fill="auto"/>
            <w:vAlign w:val="center"/>
            <w:hideMark/>
          </w:tcPr>
          <w:p w14:paraId="40908A06" w14:textId="77777777" w:rsidR="00572995" w:rsidRPr="00483EBE" w:rsidRDefault="00572995" w:rsidP="00E8324D">
            <w:pPr>
              <w:pStyle w:val="Tablas"/>
              <w:rPr>
                <w:sz w:val="12"/>
                <w:szCs w:val="12"/>
              </w:rPr>
            </w:pPr>
            <w:r w:rsidRPr="00483EBE">
              <w:rPr>
                <w:sz w:val="12"/>
                <w:szCs w:val="12"/>
              </w:rPr>
              <w:t>$2,967</w:t>
            </w:r>
          </w:p>
        </w:tc>
        <w:tc>
          <w:tcPr>
            <w:tcW w:w="0" w:type="auto"/>
            <w:tcBorders>
              <w:top w:val="nil"/>
              <w:left w:val="nil"/>
              <w:bottom w:val="single" w:sz="4" w:space="0" w:color="auto"/>
              <w:right w:val="single" w:sz="4" w:space="0" w:color="auto"/>
            </w:tcBorders>
            <w:shd w:val="clear" w:color="auto" w:fill="auto"/>
            <w:vAlign w:val="center"/>
            <w:hideMark/>
          </w:tcPr>
          <w:p w14:paraId="040BEE16"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58B976AA"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5E0A4C3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19FE58"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1C3F4A31"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30DF392"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0946039B"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5E05036F"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0161A706"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1A5141A9" w14:textId="77777777" w:rsidR="00572995" w:rsidRPr="00483EBE" w:rsidRDefault="00572995" w:rsidP="00E8324D">
            <w:pPr>
              <w:pStyle w:val="Tablas"/>
              <w:rPr>
                <w:sz w:val="12"/>
                <w:szCs w:val="12"/>
              </w:rPr>
            </w:pPr>
            <w:r w:rsidRPr="00483EBE">
              <w:rPr>
                <w:sz w:val="12"/>
                <w:szCs w:val="12"/>
              </w:rPr>
              <w:t>SEBD</w:t>
            </w:r>
          </w:p>
        </w:tc>
      </w:tr>
      <w:tr w:rsidR="00572995" w:rsidRPr="00483EBE" w14:paraId="3037B75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AAFCA8"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4BAB86F5"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0E653B40" w14:textId="77777777" w:rsidR="00572995" w:rsidRPr="00483EBE" w:rsidRDefault="00572995" w:rsidP="00E8324D">
            <w:pPr>
              <w:pStyle w:val="Tablas"/>
              <w:rPr>
                <w:sz w:val="12"/>
                <w:szCs w:val="12"/>
              </w:rPr>
            </w:pPr>
            <w:r w:rsidRPr="00483EBE">
              <w:rPr>
                <w:sz w:val="12"/>
                <w:szCs w:val="12"/>
              </w:rPr>
              <w:t>$30,530</w:t>
            </w:r>
          </w:p>
        </w:tc>
        <w:tc>
          <w:tcPr>
            <w:tcW w:w="0" w:type="auto"/>
            <w:tcBorders>
              <w:top w:val="nil"/>
              <w:left w:val="nil"/>
              <w:bottom w:val="single" w:sz="4" w:space="0" w:color="auto"/>
              <w:right w:val="single" w:sz="4" w:space="0" w:color="auto"/>
            </w:tcBorders>
            <w:shd w:val="clear" w:color="auto" w:fill="auto"/>
            <w:vAlign w:val="center"/>
            <w:hideMark/>
          </w:tcPr>
          <w:p w14:paraId="5C9EBC59" w14:textId="77777777" w:rsidR="00572995" w:rsidRPr="00483EBE" w:rsidRDefault="00572995" w:rsidP="00E8324D">
            <w:pPr>
              <w:pStyle w:val="Tablas"/>
              <w:rPr>
                <w:sz w:val="12"/>
                <w:szCs w:val="12"/>
              </w:rPr>
            </w:pPr>
            <w:r w:rsidRPr="00483EBE">
              <w:rPr>
                <w:sz w:val="12"/>
                <w:szCs w:val="12"/>
              </w:rPr>
              <w:t>$3,053</w:t>
            </w:r>
          </w:p>
        </w:tc>
        <w:tc>
          <w:tcPr>
            <w:tcW w:w="0" w:type="auto"/>
            <w:tcBorders>
              <w:top w:val="nil"/>
              <w:left w:val="nil"/>
              <w:bottom w:val="single" w:sz="4" w:space="0" w:color="auto"/>
              <w:right w:val="single" w:sz="4" w:space="0" w:color="auto"/>
            </w:tcBorders>
            <w:shd w:val="clear" w:color="auto" w:fill="auto"/>
            <w:vAlign w:val="center"/>
            <w:hideMark/>
          </w:tcPr>
          <w:p w14:paraId="50AC81B7" w14:textId="77777777" w:rsidR="00572995" w:rsidRPr="00483EBE" w:rsidRDefault="00572995" w:rsidP="00E8324D">
            <w:pPr>
              <w:pStyle w:val="Tablas"/>
              <w:rPr>
                <w:sz w:val="12"/>
                <w:szCs w:val="12"/>
              </w:rPr>
            </w:pPr>
            <w:r w:rsidRPr="00483EBE">
              <w:rPr>
                <w:sz w:val="12"/>
                <w:szCs w:val="12"/>
              </w:rPr>
              <w:t>$254</w:t>
            </w:r>
          </w:p>
        </w:tc>
        <w:tc>
          <w:tcPr>
            <w:tcW w:w="0" w:type="auto"/>
            <w:tcBorders>
              <w:top w:val="nil"/>
              <w:left w:val="nil"/>
              <w:bottom w:val="single" w:sz="4" w:space="0" w:color="auto"/>
              <w:right w:val="single" w:sz="4" w:space="0" w:color="auto"/>
            </w:tcBorders>
            <w:shd w:val="clear" w:color="auto" w:fill="auto"/>
            <w:vAlign w:val="center"/>
            <w:hideMark/>
          </w:tcPr>
          <w:p w14:paraId="04F92C1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661D235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E13778"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0919A3E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7B290D1"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586A73F9"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06EFED54"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3D706923" w14:textId="77777777" w:rsidR="00572995" w:rsidRPr="00483EBE" w:rsidRDefault="00572995" w:rsidP="00E8324D">
            <w:pPr>
              <w:pStyle w:val="Tablas"/>
              <w:rPr>
                <w:sz w:val="12"/>
                <w:szCs w:val="12"/>
              </w:rPr>
            </w:pPr>
            <w:r w:rsidRPr="00483EBE">
              <w:rPr>
                <w:sz w:val="12"/>
                <w:szCs w:val="12"/>
              </w:rPr>
              <w:t>VEJEZ</w:t>
            </w:r>
          </w:p>
        </w:tc>
        <w:tc>
          <w:tcPr>
            <w:tcW w:w="582" w:type="dxa"/>
            <w:tcBorders>
              <w:top w:val="nil"/>
              <w:left w:val="nil"/>
              <w:bottom w:val="single" w:sz="4" w:space="0" w:color="auto"/>
              <w:right w:val="single" w:sz="8" w:space="0" w:color="auto"/>
            </w:tcBorders>
            <w:shd w:val="clear" w:color="auto" w:fill="auto"/>
            <w:vAlign w:val="center"/>
            <w:hideMark/>
          </w:tcPr>
          <w:p w14:paraId="1C7E3158" w14:textId="77777777" w:rsidR="00572995" w:rsidRPr="00483EBE" w:rsidRDefault="00572995" w:rsidP="00E8324D">
            <w:pPr>
              <w:pStyle w:val="Tablas"/>
              <w:rPr>
                <w:sz w:val="12"/>
                <w:szCs w:val="12"/>
              </w:rPr>
            </w:pPr>
            <w:r w:rsidRPr="00483EBE">
              <w:rPr>
                <w:sz w:val="12"/>
                <w:szCs w:val="12"/>
              </w:rPr>
              <w:t>SEBD</w:t>
            </w:r>
          </w:p>
        </w:tc>
      </w:tr>
      <w:tr w:rsidR="00572995" w:rsidRPr="00483EBE" w14:paraId="64E15E1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4814B30"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4F2E4E5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E7F907B" w14:textId="77777777" w:rsidR="00572995" w:rsidRPr="00483EBE" w:rsidRDefault="00572995" w:rsidP="00E8324D">
            <w:pPr>
              <w:pStyle w:val="Tablas"/>
              <w:rPr>
                <w:sz w:val="12"/>
                <w:szCs w:val="12"/>
              </w:rPr>
            </w:pPr>
            <w:r w:rsidRPr="00483EBE">
              <w:rPr>
                <w:sz w:val="12"/>
                <w:szCs w:val="12"/>
              </w:rPr>
              <w:t>$18,356</w:t>
            </w:r>
          </w:p>
        </w:tc>
        <w:tc>
          <w:tcPr>
            <w:tcW w:w="0" w:type="auto"/>
            <w:tcBorders>
              <w:top w:val="nil"/>
              <w:left w:val="nil"/>
              <w:bottom w:val="single" w:sz="4" w:space="0" w:color="auto"/>
              <w:right w:val="single" w:sz="4" w:space="0" w:color="auto"/>
            </w:tcBorders>
            <w:shd w:val="clear" w:color="auto" w:fill="auto"/>
            <w:vAlign w:val="center"/>
            <w:hideMark/>
          </w:tcPr>
          <w:p w14:paraId="3ED69FB7" w14:textId="77777777" w:rsidR="00572995" w:rsidRPr="00483EBE" w:rsidRDefault="00572995" w:rsidP="00E8324D">
            <w:pPr>
              <w:pStyle w:val="Tablas"/>
              <w:rPr>
                <w:sz w:val="12"/>
                <w:szCs w:val="12"/>
              </w:rPr>
            </w:pPr>
            <w:r w:rsidRPr="00483EBE">
              <w:rPr>
                <w:sz w:val="12"/>
                <w:szCs w:val="12"/>
              </w:rPr>
              <w:t>$2,622</w:t>
            </w:r>
          </w:p>
        </w:tc>
        <w:tc>
          <w:tcPr>
            <w:tcW w:w="0" w:type="auto"/>
            <w:tcBorders>
              <w:top w:val="nil"/>
              <w:left w:val="nil"/>
              <w:bottom w:val="single" w:sz="4" w:space="0" w:color="auto"/>
              <w:right w:val="single" w:sz="4" w:space="0" w:color="auto"/>
            </w:tcBorders>
            <w:shd w:val="clear" w:color="auto" w:fill="auto"/>
            <w:vAlign w:val="center"/>
            <w:hideMark/>
          </w:tcPr>
          <w:p w14:paraId="4ABA11F0" w14:textId="77777777" w:rsidR="00572995" w:rsidRPr="00483EBE" w:rsidRDefault="00572995" w:rsidP="00E8324D">
            <w:pPr>
              <w:pStyle w:val="Tablas"/>
              <w:rPr>
                <w:sz w:val="12"/>
                <w:szCs w:val="12"/>
              </w:rPr>
            </w:pPr>
            <w:r w:rsidRPr="00483EBE">
              <w:rPr>
                <w:sz w:val="12"/>
                <w:szCs w:val="12"/>
              </w:rPr>
              <w:t>$219</w:t>
            </w:r>
          </w:p>
        </w:tc>
        <w:tc>
          <w:tcPr>
            <w:tcW w:w="0" w:type="auto"/>
            <w:tcBorders>
              <w:top w:val="nil"/>
              <w:left w:val="nil"/>
              <w:bottom w:val="single" w:sz="4" w:space="0" w:color="auto"/>
              <w:right w:val="single" w:sz="4" w:space="0" w:color="auto"/>
            </w:tcBorders>
            <w:shd w:val="clear" w:color="auto" w:fill="auto"/>
            <w:vAlign w:val="center"/>
            <w:hideMark/>
          </w:tcPr>
          <w:p w14:paraId="5F4EF196"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7296F9A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4F58186"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7976A82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81DBC07" w14:textId="77777777" w:rsidR="00572995" w:rsidRPr="00483EBE" w:rsidRDefault="00572995" w:rsidP="00E8324D">
            <w:pPr>
              <w:pStyle w:val="Tablas"/>
              <w:rPr>
                <w:sz w:val="12"/>
                <w:szCs w:val="12"/>
              </w:rPr>
            </w:pPr>
            <w:r w:rsidRPr="00483EBE">
              <w:rPr>
                <w:sz w:val="12"/>
                <w:szCs w:val="12"/>
              </w:rPr>
              <w:t>$13,050</w:t>
            </w:r>
          </w:p>
        </w:tc>
        <w:tc>
          <w:tcPr>
            <w:tcW w:w="0" w:type="auto"/>
            <w:tcBorders>
              <w:top w:val="nil"/>
              <w:left w:val="nil"/>
              <w:bottom w:val="single" w:sz="4" w:space="0" w:color="auto"/>
              <w:right w:val="single" w:sz="4" w:space="0" w:color="auto"/>
            </w:tcBorders>
            <w:shd w:val="clear" w:color="auto" w:fill="auto"/>
            <w:vAlign w:val="center"/>
            <w:hideMark/>
          </w:tcPr>
          <w:p w14:paraId="07C34D0F" w14:textId="77777777" w:rsidR="00572995" w:rsidRPr="00483EBE" w:rsidRDefault="00572995" w:rsidP="00E8324D">
            <w:pPr>
              <w:pStyle w:val="Tablas"/>
              <w:rPr>
                <w:sz w:val="12"/>
                <w:szCs w:val="12"/>
              </w:rPr>
            </w:pPr>
            <w:r w:rsidRPr="00483EBE">
              <w:rPr>
                <w:sz w:val="12"/>
                <w:szCs w:val="12"/>
              </w:rPr>
              <w:t>$13,050</w:t>
            </w:r>
          </w:p>
        </w:tc>
        <w:tc>
          <w:tcPr>
            <w:tcW w:w="0" w:type="auto"/>
            <w:tcBorders>
              <w:top w:val="nil"/>
              <w:left w:val="nil"/>
              <w:bottom w:val="single" w:sz="4" w:space="0" w:color="auto"/>
              <w:right w:val="single" w:sz="4" w:space="0" w:color="auto"/>
            </w:tcBorders>
            <w:shd w:val="clear" w:color="auto" w:fill="auto"/>
            <w:vAlign w:val="center"/>
            <w:hideMark/>
          </w:tcPr>
          <w:p w14:paraId="6A6FFD3B" w14:textId="77777777" w:rsidR="00572995" w:rsidRPr="00483EBE" w:rsidRDefault="00572995" w:rsidP="00E8324D">
            <w:pPr>
              <w:pStyle w:val="Tablas"/>
              <w:rPr>
                <w:sz w:val="12"/>
                <w:szCs w:val="12"/>
              </w:rPr>
            </w:pPr>
            <w:r w:rsidRPr="00483EBE">
              <w:rPr>
                <w:sz w:val="12"/>
                <w:szCs w:val="12"/>
              </w:rPr>
              <w:t>$1,088</w:t>
            </w:r>
          </w:p>
        </w:tc>
        <w:tc>
          <w:tcPr>
            <w:tcW w:w="0" w:type="auto"/>
            <w:tcBorders>
              <w:top w:val="nil"/>
              <w:left w:val="nil"/>
              <w:bottom w:val="single" w:sz="4" w:space="0" w:color="auto"/>
              <w:right w:val="single" w:sz="4" w:space="0" w:color="auto"/>
            </w:tcBorders>
            <w:shd w:val="clear" w:color="auto" w:fill="auto"/>
            <w:vAlign w:val="center"/>
            <w:hideMark/>
          </w:tcPr>
          <w:p w14:paraId="6552B6E5"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313F4FB3" w14:textId="77777777" w:rsidR="00572995" w:rsidRPr="00483EBE" w:rsidRDefault="00572995" w:rsidP="00E8324D">
            <w:pPr>
              <w:pStyle w:val="Tablas"/>
              <w:rPr>
                <w:sz w:val="12"/>
                <w:szCs w:val="12"/>
              </w:rPr>
            </w:pPr>
            <w:r w:rsidRPr="00483EBE">
              <w:rPr>
                <w:sz w:val="12"/>
                <w:szCs w:val="12"/>
              </w:rPr>
              <w:t>SEBD</w:t>
            </w:r>
          </w:p>
        </w:tc>
      </w:tr>
      <w:tr w:rsidR="00572995" w:rsidRPr="00483EBE" w14:paraId="434475E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E29C6D"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7497CACD"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E4C0611" w14:textId="77777777" w:rsidR="00572995" w:rsidRPr="00483EBE" w:rsidRDefault="00572995" w:rsidP="00E8324D">
            <w:pPr>
              <w:pStyle w:val="Tablas"/>
              <w:rPr>
                <w:sz w:val="12"/>
                <w:szCs w:val="12"/>
              </w:rPr>
            </w:pPr>
            <w:r w:rsidRPr="00483EBE">
              <w:rPr>
                <w:sz w:val="12"/>
                <w:szCs w:val="12"/>
              </w:rPr>
              <w:t>$16,259</w:t>
            </w:r>
          </w:p>
        </w:tc>
        <w:tc>
          <w:tcPr>
            <w:tcW w:w="0" w:type="auto"/>
            <w:tcBorders>
              <w:top w:val="nil"/>
              <w:left w:val="nil"/>
              <w:bottom w:val="single" w:sz="4" w:space="0" w:color="auto"/>
              <w:right w:val="single" w:sz="4" w:space="0" w:color="auto"/>
            </w:tcBorders>
            <w:shd w:val="clear" w:color="auto" w:fill="auto"/>
            <w:vAlign w:val="center"/>
            <w:hideMark/>
          </w:tcPr>
          <w:p w14:paraId="4591B416" w14:textId="77777777" w:rsidR="00572995" w:rsidRPr="00483EBE" w:rsidRDefault="00572995" w:rsidP="00E8324D">
            <w:pPr>
              <w:pStyle w:val="Tablas"/>
              <w:rPr>
                <w:sz w:val="12"/>
                <w:szCs w:val="12"/>
              </w:rPr>
            </w:pPr>
            <w:r w:rsidRPr="00483EBE">
              <w:rPr>
                <w:sz w:val="12"/>
                <w:szCs w:val="12"/>
              </w:rPr>
              <w:t>$3,252</w:t>
            </w:r>
          </w:p>
        </w:tc>
        <w:tc>
          <w:tcPr>
            <w:tcW w:w="0" w:type="auto"/>
            <w:tcBorders>
              <w:top w:val="nil"/>
              <w:left w:val="nil"/>
              <w:bottom w:val="single" w:sz="4" w:space="0" w:color="auto"/>
              <w:right w:val="single" w:sz="4" w:space="0" w:color="auto"/>
            </w:tcBorders>
            <w:shd w:val="clear" w:color="auto" w:fill="auto"/>
            <w:vAlign w:val="center"/>
            <w:hideMark/>
          </w:tcPr>
          <w:p w14:paraId="01B677DA" w14:textId="77777777" w:rsidR="00572995" w:rsidRPr="00483EBE" w:rsidRDefault="00572995" w:rsidP="00E8324D">
            <w:pPr>
              <w:pStyle w:val="Tablas"/>
              <w:rPr>
                <w:sz w:val="12"/>
                <w:szCs w:val="12"/>
              </w:rPr>
            </w:pPr>
            <w:r w:rsidRPr="00483EBE">
              <w:rPr>
                <w:sz w:val="12"/>
                <w:szCs w:val="12"/>
              </w:rPr>
              <w:t>$271</w:t>
            </w:r>
          </w:p>
        </w:tc>
        <w:tc>
          <w:tcPr>
            <w:tcW w:w="0" w:type="auto"/>
            <w:tcBorders>
              <w:top w:val="nil"/>
              <w:left w:val="nil"/>
              <w:bottom w:val="single" w:sz="4" w:space="0" w:color="auto"/>
              <w:right w:val="single" w:sz="4" w:space="0" w:color="auto"/>
            </w:tcBorders>
            <w:shd w:val="clear" w:color="auto" w:fill="auto"/>
            <w:vAlign w:val="center"/>
            <w:hideMark/>
          </w:tcPr>
          <w:p w14:paraId="5020A117"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0ED0C05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703B19"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61981854"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22EA3E3C" w14:textId="77777777" w:rsidR="00572995" w:rsidRPr="00483EBE" w:rsidRDefault="00572995" w:rsidP="00E8324D">
            <w:pPr>
              <w:pStyle w:val="Tablas"/>
              <w:rPr>
                <w:sz w:val="12"/>
                <w:szCs w:val="12"/>
              </w:rPr>
            </w:pPr>
            <w:r w:rsidRPr="00483EBE">
              <w:rPr>
                <w:sz w:val="12"/>
                <w:szCs w:val="12"/>
              </w:rPr>
              <w:t>$13,077</w:t>
            </w:r>
          </w:p>
        </w:tc>
        <w:tc>
          <w:tcPr>
            <w:tcW w:w="0" w:type="auto"/>
            <w:tcBorders>
              <w:top w:val="nil"/>
              <w:left w:val="nil"/>
              <w:bottom w:val="single" w:sz="4" w:space="0" w:color="auto"/>
              <w:right w:val="single" w:sz="4" w:space="0" w:color="auto"/>
            </w:tcBorders>
            <w:shd w:val="clear" w:color="auto" w:fill="auto"/>
            <w:vAlign w:val="center"/>
            <w:hideMark/>
          </w:tcPr>
          <w:p w14:paraId="0F6256F8" w14:textId="77777777" w:rsidR="00572995" w:rsidRPr="00483EBE" w:rsidRDefault="00572995" w:rsidP="00E8324D">
            <w:pPr>
              <w:pStyle w:val="Tablas"/>
              <w:rPr>
                <w:sz w:val="12"/>
                <w:szCs w:val="12"/>
              </w:rPr>
            </w:pPr>
            <w:r w:rsidRPr="00483EBE">
              <w:rPr>
                <w:sz w:val="12"/>
                <w:szCs w:val="12"/>
              </w:rPr>
              <w:t>$4,359</w:t>
            </w:r>
          </w:p>
        </w:tc>
        <w:tc>
          <w:tcPr>
            <w:tcW w:w="0" w:type="auto"/>
            <w:tcBorders>
              <w:top w:val="nil"/>
              <w:left w:val="nil"/>
              <w:bottom w:val="single" w:sz="4" w:space="0" w:color="auto"/>
              <w:right w:val="single" w:sz="4" w:space="0" w:color="auto"/>
            </w:tcBorders>
            <w:shd w:val="clear" w:color="auto" w:fill="auto"/>
            <w:vAlign w:val="center"/>
            <w:hideMark/>
          </w:tcPr>
          <w:p w14:paraId="4AAF3365" w14:textId="77777777" w:rsidR="00572995" w:rsidRPr="00483EBE" w:rsidRDefault="00572995" w:rsidP="00E8324D">
            <w:pPr>
              <w:pStyle w:val="Tablas"/>
              <w:rPr>
                <w:sz w:val="12"/>
                <w:szCs w:val="12"/>
              </w:rPr>
            </w:pPr>
            <w:r w:rsidRPr="00483EBE">
              <w:rPr>
                <w:sz w:val="12"/>
                <w:szCs w:val="12"/>
              </w:rPr>
              <w:t>$363</w:t>
            </w:r>
          </w:p>
        </w:tc>
        <w:tc>
          <w:tcPr>
            <w:tcW w:w="0" w:type="auto"/>
            <w:tcBorders>
              <w:top w:val="nil"/>
              <w:left w:val="nil"/>
              <w:bottom w:val="single" w:sz="4" w:space="0" w:color="auto"/>
              <w:right w:val="single" w:sz="4" w:space="0" w:color="auto"/>
            </w:tcBorders>
            <w:shd w:val="clear" w:color="auto" w:fill="auto"/>
            <w:vAlign w:val="center"/>
            <w:hideMark/>
          </w:tcPr>
          <w:p w14:paraId="3E539896"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281185BD" w14:textId="77777777" w:rsidR="00572995" w:rsidRPr="00483EBE" w:rsidRDefault="00572995" w:rsidP="00E8324D">
            <w:pPr>
              <w:pStyle w:val="Tablas"/>
              <w:rPr>
                <w:sz w:val="12"/>
                <w:szCs w:val="12"/>
              </w:rPr>
            </w:pPr>
            <w:r w:rsidRPr="00483EBE">
              <w:rPr>
                <w:sz w:val="12"/>
                <w:szCs w:val="12"/>
              </w:rPr>
              <w:t>SEBD</w:t>
            </w:r>
          </w:p>
        </w:tc>
      </w:tr>
      <w:tr w:rsidR="00572995" w:rsidRPr="00483EBE" w14:paraId="10770E3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6D163C"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57FACF6A"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BF40A9F" w14:textId="77777777" w:rsidR="00572995" w:rsidRPr="00483EBE" w:rsidRDefault="00572995" w:rsidP="00E8324D">
            <w:pPr>
              <w:pStyle w:val="Tablas"/>
              <w:rPr>
                <w:sz w:val="12"/>
                <w:szCs w:val="12"/>
              </w:rPr>
            </w:pPr>
            <w:r w:rsidRPr="00483EBE">
              <w:rPr>
                <w:sz w:val="12"/>
                <w:szCs w:val="12"/>
              </w:rPr>
              <w:t>$9,389</w:t>
            </w:r>
          </w:p>
        </w:tc>
        <w:tc>
          <w:tcPr>
            <w:tcW w:w="0" w:type="auto"/>
            <w:tcBorders>
              <w:top w:val="nil"/>
              <w:left w:val="nil"/>
              <w:bottom w:val="single" w:sz="4" w:space="0" w:color="auto"/>
              <w:right w:val="single" w:sz="4" w:space="0" w:color="auto"/>
            </w:tcBorders>
            <w:shd w:val="clear" w:color="auto" w:fill="auto"/>
            <w:vAlign w:val="center"/>
            <w:hideMark/>
          </w:tcPr>
          <w:p w14:paraId="6C484BED" w14:textId="77777777" w:rsidR="00572995" w:rsidRPr="00483EBE" w:rsidRDefault="00572995" w:rsidP="00E8324D">
            <w:pPr>
              <w:pStyle w:val="Tablas"/>
              <w:rPr>
                <w:sz w:val="12"/>
                <w:szCs w:val="12"/>
              </w:rPr>
            </w:pPr>
            <w:r w:rsidRPr="00483EBE">
              <w:rPr>
                <w:sz w:val="12"/>
                <w:szCs w:val="12"/>
              </w:rPr>
              <w:t>$2,347</w:t>
            </w:r>
          </w:p>
        </w:tc>
        <w:tc>
          <w:tcPr>
            <w:tcW w:w="0" w:type="auto"/>
            <w:tcBorders>
              <w:top w:val="nil"/>
              <w:left w:val="nil"/>
              <w:bottom w:val="single" w:sz="4" w:space="0" w:color="auto"/>
              <w:right w:val="single" w:sz="4" w:space="0" w:color="auto"/>
            </w:tcBorders>
            <w:shd w:val="clear" w:color="auto" w:fill="auto"/>
            <w:vAlign w:val="center"/>
            <w:hideMark/>
          </w:tcPr>
          <w:p w14:paraId="2C95BEF5" w14:textId="77777777" w:rsidR="00572995" w:rsidRPr="00483EBE" w:rsidRDefault="00572995" w:rsidP="00E8324D">
            <w:pPr>
              <w:pStyle w:val="Tablas"/>
              <w:rPr>
                <w:sz w:val="12"/>
                <w:szCs w:val="12"/>
              </w:rPr>
            </w:pPr>
            <w:r w:rsidRPr="00483EBE">
              <w:rPr>
                <w:sz w:val="12"/>
                <w:szCs w:val="12"/>
              </w:rPr>
              <w:t>$196</w:t>
            </w:r>
          </w:p>
        </w:tc>
        <w:tc>
          <w:tcPr>
            <w:tcW w:w="0" w:type="auto"/>
            <w:tcBorders>
              <w:top w:val="nil"/>
              <w:left w:val="nil"/>
              <w:bottom w:val="single" w:sz="4" w:space="0" w:color="auto"/>
              <w:right w:val="single" w:sz="4" w:space="0" w:color="auto"/>
            </w:tcBorders>
            <w:shd w:val="clear" w:color="auto" w:fill="auto"/>
            <w:vAlign w:val="center"/>
            <w:hideMark/>
          </w:tcPr>
          <w:p w14:paraId="07CB7A39"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41C9F8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21723B"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1328405D" w14:textId="77777777" w:rsidR="00572995" w:rsidRPr="00483EBE" w:rsidRDefault="00572995" w:rsidP="00E8324D">
            <w:pPr>
              <w:pStyle w:val="Tablas"/>
              <w:rPr>
                <w:sz w:val="12"/>
                <w:szCs w:val="12"/>
              </w:rPr>
            </w:pPr>
            <w:r w:rsidRPr="00483EBE">
              <w:rPr>
                <w:sz w:val="12"/>
                <w:szCs w:val="12"/>
              </w:rPr>
              <w:t xml:space="preserve">540 </w:t>
            </w:r>
          </w:p>
        </w:tc>
        <w:tc>
          <w:tcPr>
            <w:tcW w:w="0" w:type="auto"/>
            <w:tcBorders>
              <w:top w:val="nil"/>
              <w:left w:val="nil"/>
              <w:bottom w:val="single" w:sz="4" w:space="0" w:color="auto"/>
              <w:right w:val="single" w:sz="4" w:space="0" w:color="auto"/>
            </w:tcBorders>
            <w:shd w:val="clear" w:color="auto" w:fill="auto"/>
            <w:vAlign w:val="center"/>
            <w:hideMark/>
          </w:tcPr>
          <w:p w14:paraId="0A39FE3D" w14:textId="77777777" w:rsidR="00572995" w:rsidRPr="00483EBE" w:rsidRDefault="00572995" w:rsidP="00E8324D">
            <w:pPr>
              <w:pStyle w:val="Tablas"/>
              <w:rPr>
                <w:sz w:val="12"/>
                <w:szCs w:val="12"/>
              </w:rPr>
            </w:pPr>
            <w:r w:rsidRPr="00483EBE">
              <w:rPr>
                <w:sz w:val="12"/>
                <w:szCs w:val="12"/>
              </w:rPr>
              <w:t>$2,579,301</w:t>
            </w:r>
          </w:p>
        </w:tc>
        <w:tc>
          <w:tcPr>
            <w:tcW w:w="0" w:type="auto"/>
            <w:tcBorders>
              <w:top w:val="nil"/>
              <w:left w:val="nil"/>
              <w:bottom w:val="single" w:sz="4" w:space="0" w:color="auto"/>
              <w:right w:val="single" w:sz="4" w:space="0" w:color="auto"/>
            </w:tcBorders>
            <w:shd w:val="clear" w:color="auto" w:fill="auto"/>
            <w:vAlign w:val="center"/>
            <w:hideMark/>
          </w:tcPr>
          <w:p w14:paraId="6DDB2474" w14:textId="77777777" w:rsidR="00572995" w:rsidRPr="00483EBE" w:rsidRDefault="00572995" w:rsidP="00E8324D">
            <w:pPr>
              <w:pStyle w:val="Tablas"/>
              <w:rPr>
                <w:sz w:val="12"/>
                <w:szCs w:val="12"/>
              </w:rPr>
            </w:pPr>
            <w:r w:rsidRPr="00483EBE">
              <w:rPr>
                <w:sz w:val="12"/>
                <w:szCs w:val="12"/>
              </w:rPr>
              <w:t>$4,776</w:t>
            </w:r>
          </w:p>
        </w:tc>
        <w:tc>
          <w:tcPr>
            <w:tcW w:w="0" w:type="auto"/>
            <w:tcBorders>
              <w:top w:val="nil"/>
              <w:left w:val="nil"/>
              <w:bottom w:val="single" w:sz="4" w:space="0" w:color="auto"/>
              <w:right w:val="single" w:sz="4" w:space="0" w:color="auto"/>
            </w:tcBorders>
            <w:shd w:val="clear" w:color="auto" w:fill="auto"/>
            <w:vAlign w:val="center"/>
            <w:hideMark/>
          </w:tcPr>
          <w:p w14:paraId="0B125C1F" w14:textId="77777777" w:rsidR="00572995" w:rsidRPr="00483EBE" w:rsidRDefault="00572995" w:rsidP="00E8324D">
            <w:pPr>
              <w:pStyle w:val="Tablas"/>
              <w:rPr>
                <w:sz w:val="12"/>
                <w:szCs w:val="12"/>
              </w:rPr>
            </w:pPr>
            <w:r w:rsidRPr="00483EBE">
              <w:rPr>
                <w:sz w:val="12"/>
                <w:szCs w:val="12"/>
              </w:rPr>
              <w:t>$398</w:t>
            </w:r>
          </w:p>
        </w:tc>
        <w:tc>
          <w:tcPr>
            <w:tcW w:w="0" w:type="auto"/>
            <w:tcBorders>
              <w:top w:val="nil"/>
              <w:left w:val="nil"/>
              <w:bottom w:val="single" w:sz="4" w:space="0" w:color="auto"/>
              <w:right w:val="single" w:sz="4" w:space="0" w:color="auto"/>
            </w:tcBorders>
            <w:shd w:val="clear" w:color="auto" w:fill="auto"/>
            <w:vAlign w:val="center"/>
            <w:hideMark/>
          </w:tcPr>
          <w:p w14:paraId="5A64CCFA"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68188A1B" w14:textId="77777777" w:rsidR="00572995" w:rsidRPr="00483EBE" w:rsidRDefault="00572995" w:rsidP="00E8324D">
            <w:pPr>
              <w:pStyle w:val="Tablas"/>
              <w:rPr>
                <w:sz w:val="12"/>
                <w:szCs w:val="12"/>
              </w:rPr>
            </w:pPr>
            <w:r w:rsidRPr="00483EBE">
              <w:rPr>
                <w:sz w:val="12"/>
                <w:szCs w:val="12"/>
              </w:rPr>
              <w:t>SEBD</w:t>
            </w:r>
          </w:p>
        </w:tc>
      </w:tr>
      <w:tr w:rsidR="00572995" w:rsidRPr="00483EBE" w14:paraId="57E108C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26A3199"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7EFD829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E87A3AF"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149F5FB2"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4126F174"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0E09B50D"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2573794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FFA208"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3EF7EA91" w14:textId="77777777" w:rsidR="00572995" w:rsidRPr="00483EBE" w:rsidRDefault="00572995" w:rsidP="00E8324D">
            <w:pPr>
              <w:pStyle w:val="Tablas"/>
              <w:rPr>
                <w:sz w:val="12"/>
                <w:szCs w:val="12"/>
              </w:rPr>
            </w:pPr>
            <w:r w:rsidRPr="00483EBE">
              <w:rPr>
                <w:sz w:val="12"/>
                <w:szCs w:val="12"/>
              </w:rPr>
              <w:t xml:space="preserve">588 </w:t>
            </w:r>
          </w:p>
        </w:tc>
        <w:tc>
          <w:tcPr>
            <w:tcW w:w="0" w:type="auto"/>
            <w:tcBorders>
              <w:top w:val="nil"/>
              <w:left w:val="nil"/>
              <w:bottom w:val="single" w:sz="4" w:space="0" w:color="auto"/>
              <w:right w:val="single" w:sz="4" w:space="0" w:color="auto"/>
            </w:tcBorders>
            <w:shd w:val="clear" w:color="auto" w:fill="auto"/>
            <w:vAlign w:val="center"/>
            <w:hideMark/>
          </w:tcPr>
          <w:p w14:paraId="47EE9876" w14:textId="77777777" w:rsidR="00572995" w:rsidRPr="00483EBE" w:rsidRDefault="00572995" w:rsidP="00E8324D">
            <w:pPr>
              <w:pStyle w:val="Tablas"/>
              <w:rPr>
                <w:sz w:val="12"/>
                <w:szCs w:val="12"/>
              </w:rPr>
            </w:pPr>
            <w:r w:rsidRPr="00483EBE">
              <w:rPr>
                <w:sz w:val="12"/>
                <w:szCs w:val="12"/>
              </w:rPr>
              <w:t>$3,338,534</w:t>
            </w:r>
          </w:p>
        </w:tc>
        <w:tc>
          <w:tcPr>
            <w:tcW w:w="0" w:type="auto"/>
            <w:tcBorders>
              <w:top w:val="nil"/>
              <w:left w:val="nil"/>
              <w:bottom w:val="single" w:sz="4" w:space="0" w:color="auto"/>
              <w:right w:val="single" w:sz="4" w:space="0" w:color="auto"/>
            </w:tcBorders>
            <w:shd w:val="clear" w:color="auto" w:fill="auto"/>
            <w:vAlign w:val="center"/>
            <w:hideMark/>
          </w:tcPr>
          <w:p w14:paraId="275BD444" w14:textId="77777777" w:rsidR="00572995" w:rsidRPr="00483EBE" w:rsidRDefault="00572995" w:rsidP="00E8324D">
            <w:pPr>
              <w:pStyle w:val="Tablas"/>
              <w:rPr>
                <w:sz w:val="12"/>
                <w:szCs w:val="12"/>
              </w:rPr>
            </w:pPr>
            <w:r w:rsidRPr="00483EBE">
              <w:rPr>
                <w:sz w:val="12"/>
                <w:szCs w:val="12"/>
              </w:rPr>
              <w:t>$5,678</w:t>
            </w:r>
          </w:p>
        </w:tc>
        <w:tc>
          <w:tcPr>
            <w:tcW w:w="0" w:type="auto"/>
            <w:tcBorders>
              <w:top w:val="nil"/>
              <w:left w:val="nil"/>
              <w:bottom w:val="single" w:sz="4" w:space="0" w:color="auto"/>
              <w:right w:val="single" w:sz="4" w:space="0" w:color="auto"/>
            </w:tcBorders>
            <w:shd w:val="clear" w:color="auto" w:fill="auto"/>
            <w:vAlign w:val="center"/>
            <w:hideMark/>
          </w:tcPr>
          <w:p w14:paraId="08EAEFAD" w14:textId="77777777" w:rsidR="00572995" w:rsidRPr="00483EBE" w:rsidRDefault="00572995" w:rsidP="00E8324D">
            <w:pPr>
              <w:pStyle w:val="Tablas"/>
              <w:rPr>
                <w:sz w:val="12"/>
                <w:szCs w:val="12"/>
              </w:rPr>
            </w:pPr>
            <w:r w:rsidRPr="00483EBE">
              <w:rPr>
                <w:sz w:val="12"/>
                <w:szCs w:val="12"/>
              </w:rPr>
              <w:t>$473</w:t>
            </w:r>
          </w:p>
        </w:tc>
        <w:tc>
          <w:tcPr>
            <w:tcW w:w="0" w:type="auto"/>
            <w:tcBorders>
              <w:top w:val="nil"/>
              <w:left w:val="nil"/>
              <w:bottom w:val="single" w:sz="4" w:space="0" w:color="auto"/>
              <w:right w:val="single" w:sz="4" w:space="0" w:color="auto"/>
            </w:tcBorders>
            <w:shd w:val="clear" w:color="auto" w:fill="auto"/>
            <w:vAlign w:val="center"/>
            <w:hideMark/>
          </w:tcPr>
          <w:p w14:paraId="37F97173"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77822C0E" w14:textId="77777777" w:rsidR="00572995" w:rsidRPr="00483EBE" w:rsidRDefault="00572995" w:rsidP="00E8324D">
            <w:pPr>
              <w:pStyle w:val="Tablas"/>
              <w:rPr>
                <w:sz w:val="12"/>
                <w:szCs w:val="12"/>
              </w:rPr>
            </w:pPr>
            <w:r w:rsidRPr="00483EBE">
              <w:rPr>
                <w:sz w:val="12"/>
                <w:szCs w:val="12"/>
              </w:rPr>
              <w:t>SEBD</w:t>
            </w:r>
          </w:p>
        </w:tc>
      </w:tr>
      <w:tr w:rsidR="00572995" w:rsidRPr="00483EBE" w14:paraId="1C0D73E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1A7F26" w14:textId="77777777" w:rsidR="00572995" w:rsidRPr="00483EBE" w:rsidRDefault="00572995" w:rsidP="00E8324D">
            <w:pPr>
              <w:pStyle w:val="Tablas"/>
              <w:rPr>
                <w:sz w:val="12"/>
                <w:szCs w:val="12"/>
              </w:rPr>
            </w:pPr>
            <w:r w:rsidRPr="00483EBE">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668CD23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36A2455" w14:textId="77777777" w:rsidR="00572995" w:rsidRPr="00483EBE" w:rsidRDefault="00572995" w:rsidP="00E8324D">
            <w:pPr>
              <w:pStyle w:val="Tablas"/>
              <w:rPr>
                <w:sz w:val="12"/>
                <w:szCs w:val="12"/>
              </w:rPr>
            </w:pPr>
            <w:r w:rsidRPr="00483EBE">
              <w:rPr>
                <w:sz w:val="12"/>
                <w:szCs w:val="12"/>
              </w:rPr>
              <w:t>$5,692</w:t>
            </w:r>
          </w:p>
        </w:tc>
        <w:tc>
          <w:tcPr>
            <w:tcW w:w="0" w:type="auto"/>
            <w:tcBorders>
              <w:top w:val="nil"/>
              <w:left w:val="nil"/>
              <w:bottom w:val="single" w:sz="4" w:space="0" w:color="auto"/>
              <w:right w:val="single" w:sz="4" w:space="0" w:color="auto"/>
            </w:tcBorders>
            <w:shd w:val="clear" w:color="auto" w:fill="auto"/>
            <w:vAlign w:val="center"/>
            <w:hideMark/>
          </w:tcPr>
          <w:p w14:paraId="5A00B73B" w14:textId="77777777" w:rsidR="00572995" w:rsidRPr="00483EBE" w:rsidRDefault="00572995" w:rsidP="00E8324D">
            <w:pPr>
              <w:pStyle w:val="Tablas"/>
              <w:rPr>
                <w:sz w:val="12"/>
                <w:szCs w:val="12"/>
              </w:rPr>
            </w:pPr>
            <w:r w:rsidRPr="00483EBE">
              <w:rPr>
                <w:sz w:val="12"/>
                <w:szCs w:val="12"/>
              </w:rPr>
              <w:t>$2,846</w:t>
            </w:r>
          </w:p>
        </w:tc>
        <w:tc>
          <w:tcPr>
            <w:tcW w:w="0" w:type="auto"/>
            <w:tcBorders>
              <w:top w:val="nil"/>
              <w:left w:val="nil"/>
              <w:bottom w:val="single" w:sz="4" w:space="0" w:color="auto"/>
              <w:right w:val="single" w:sz="4" w:space="0" w:color="auto"/>
            </w:tcBorders>
            <w:shd w:val="clear" w:color="auto" w:fill="auto"/>
            <w:vAlign w:val="center"/>
            <w:hideMark/>
          </w:tcPr>
          <w:p w14:paraId="688230EB" w14:textId="77777777" w:rsidR="00572995" w:rsidRPr="00483EBE" w:rsidRDefault="00572995" w:rsidP="00E8324D">
            <w:pPr>
              <w:pStyle w:val="Tablas"/>
              <w:rPr>
                <w:sz w:val="12"/>
                <w:szCs w:val="12"/>
              </w:rPr>
            </w:pPr>
            <w:r w:rsidRPr="00483EBE">
              <w:rPr>
                <w:sz w:val="12"/>
                <w:szCs w:val="12"/>
              </w:rPr>
              <w:t>$237</w:t>
            </w:r>
          </w:p>
        </w:tc>
        <w:tc>
          <w:tcPr>
            <w:tcW w:w="0" w:type="auto"/>
            <w:tcBorders>
              <w:top w:val="nil"/>
              <w:left w:val="nil"/>
              <w:bottom w:val="single" w:sz="4" w:space="0" w:color="auto"/>
              <w:right w:val="single" w:sz="4" w:space="0" w:color="auto"/>
            </w:tcBorders>
            <w:shd w:val="clear" w:color="auto" w:fill="auto"/>
            <w:vAlign w:val="center"/>
            <w:hideMark/>
          </w:tcPr>
          <w:p w14:paraId="659B8315" w14:textId="77777777" w:rsidR="00572995" w:rsidRPr="00483EBE" w:rsidRDefault="00572995" w:rsidP="00E8324D">
            <w:pPr>
              <w:pStyle w:val="Tablas"/>
              <w:rPr>
                <w:sz w:val="12"/>
                <w:szCs w:val="12"/>
              </w:rPr>
            </w:pPr>
            <w:r w:rsidRPr="00483EBE">
              <w:rPr>
                <w:sz w:val="12"/>
                <w:szCs w:val="12"/>
              </w:rPr>
              <w:t>VEJEZ</w:t>
            </w:r>
          </w:p>
        </w:tc>
        <w:tc>
          <w:tcPr>
            <w:tcW w:w="0" w:type="auto"/>
            <w:tcBorders>
              <w:top w:val="nil"/>
              <w:left w:val="nil"/>
              <w:bottom w:val="single" w:sz="4" w:space="0" w:color="auto"/>
              <w:right w:val="nil"/>
            </w:tcBorders>
            <w:shd w:val="clear" w:color="auto" w:fill="auto"/>
            <w:vAlign w:val="center"/>
            <w:hideMark/>
          </w:tcPr>
          <w:p w14:paraId="1A00A30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7C358A"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291EC6BA" w14:textId="77777777" w:rsidR="00572995" w:rsidRPr="00483EBE" w:rsidRDefault="00572995" w:rsidP="00E8324D">
            <w:pPr>
              <w:pStyle w:val="Tablas"/>
              <w:rPr>
                <w:sz w:val="12"/>
                <w:szCs w:val="12"/>
              </w:rPr>
            </w:pPr>
            <w:r w:rsidRPr="00483EBE">
              <w:rPr>
                <w:sz w:val="12"/>
                <w:szCs w:val="12"/>
              </w:rPr>
              <w:t xml:space="preserve">546 </w:t>
            </w:r>
          </w:p>
        </w:tc>
        <w:tc>
          <w:tcPr>
            <w:tcW w:w="0" w:type="auto"/>
            <w:tcBorders>
              <w:top w:val="nil"/>
              <w:left w:val="nil"/>
              <w:bottom w:val="single" w:sz="4" w:space="0" w:color="auto"/>
              <w:right w:val="single" w:sz="4" w:space="0" w:color="auto"/>
            </w:tcBorders>
            <w:shd w:val="clear" w:color="auto" w:fill="auto"/>
            <w:vAlign w:val="center"/>
            <w:hideMark/>
          </w:tcPr>
          <w:p w14:paraId="1CBA8E03" w14:textId="77777777" w:rsidR="00572995" w:rsidRPr="00483EBE" w:rsidRDefault="00572995" w:rsidP="00E8324D">
            <w:pPr>
              <w:pStyle w:val="Tablas"/>
              <w:rPr>
                <w:sz w:val="12"/>
                <w:szCs w:val="12"/>
              </w:rPr>
            </w:pPr>
            <w:r w:rsidRPr="00483EBE">
              <w:rPr>
                <w:sz w:val="12"/>
                <w:szCs w:val="12"/>
              </w:rPr>
              <w:t>$3,078,598</w:t>
            </w:r>
          </w:p>
        </w:tc>
        <w:tc>
          <w:tcPr>
            <w:tcW w:w="0" w:type="auto"/>
            <w:tcBorders>
              <w:top w:val="nil"/>
              <w:left w:val="nil"/>
              <w:bottom w:val="single" w:sz="4" w:space="0" w:color="auto"/>
              <w:right w:val="single" w:sz="4" w:space="0" w:color="auto"/>
            </w:tcBorders>
            <w:shd w:val="clear" w:color="auto" w:fill="auto"/>
            <w:vAlign w:val="center"/>
            <w:hideMark/>
          </w:tcPr>
          <w:p w14:paraId="3BE6C4A9" w14:textId="77777777" w:rsidR="00572995" w:rsidRPr="00483EBE" w:rsidRDefault="00572995" w:rsidP="00E8324D">
            <w:pPr>
              <w:pStyle w:val="Tablas"/>
              <w:rPr>
                <w:sz w:val="12"/>
                <w:szCs w:val="12"/>
              </w:rPr>
            </w:pPr>
            <w:r w:rsidRPr="00483EBE">
              <w:rPr>
                <w:sz w:val="12"/>
                <w:szCs w:val="12"/>
              </w:rPr>
              <w:t>$5,638</w:t>
            </w:r>
          </w:p>
        </w:tc>
        <w:tc>
          <w:tcPr>
            <w:tcW w:w="0" w:type="auto"/>
            <w:tcBorders>
              <w:top w:val="nil"/>
              <w:left w:val="nil"/>
              <w:bottom w:val="single" w:sz="4" w:space="0" w:color="auto"/>
              <w:right w:val="single" w:sz="4" w:space="0" w:color="auto"/>
            </w:tcBorders>
            <w:shd w:val="clear" w:color="auto" w:fill="auto"/>
            <w:vAlign w:val="center"/>
            <w:hideMark/>
          </w:tcPr>
          <w:p w14:paraId="1F134A62" w14:textId="77777777" w:rsidR="00572995" w:rsidRPr="00483EBE" w:rsidRDefault="00572995" w:rsidP="00E8324D">
            <w:pPr>
              <w:pStyle w:val="Tablas"/>
              <w:rPr>
                <w:sz w:val="12"/>
                <w:szCs w:val="12"/>
              </w:rPr>
            </w:pPr>
            <w:r w:rsidRPr="00483EBE">
              <w:rPr>
                <w:sz w:val="12"/>
                <w:szCs w:val="12"/>
              </w:rPr>
              <w:t>$470</w:t>
            </w:r>
          </w:p>
        </w:tc>
        <w:tc>
          <w:tcPr>
            <w:tcW w:w="0" w:type="auto"/>
            <w:tcBorders>
              <w:top w:val="nil"/>
              <w:left w:val="nil"/>
              <w:bottom w:val="single" w:sz="4" w:space="0" w:color="auto"/>
              <w:right w:val="single" w:sz="4" w:space="0" w:color="auto"/>
            </w:tcBorders>
            <w:shd w:val="clear" w:color="auto" w:fill="auto"/>
            <w:vAlign w:val="center"/>
            <w:hideMark/>
          </w:tcPr>
          <w:p w14:paraId="421953EA"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60B50854" w14:textId="77777777" w:rsidR="00572995" w:rsidRPr="00483EBE" w:rsidRDefault="00572995" w:rsidP="00E8324D">
            <w:pPr>
              <w:pStyle w:val="Tablas"/>
              <w:rPr>
                <w:sz w:val="12"/>
                <w:szCs w:val="12"/>
              </w:rPr>
            </w:pPr>
            <w:r w:rsidRPr="00483EBE">
              <w:rPr>
                <w:sz w:val="12"/>
                <w:szCs w:val="12"/>
              </w:rPr>
              <w:t>SEBD</w:t>
            </w:r>
          </w:p>
        </w:tc>
      </w:tr>
      <w:tr w:rsidR="00572995" w:rsidRPr="00483EBE" w14:paraId="735EA60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B253D23"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6EA75316"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42B57FF" w14:textId="77777777" w:rsidR="00572995" w:rsidRPr="00483EBE" w:rsidRDefault="00572995" w:rsidP="00E8324D">
            <w:pPr>
              <w:pStyle w:val="Tablas"/>
              <w:rPr>
                <w:sz w:val="12"/>
                <w:szCs w:val="12"/>
              </w:rPr>
            </w:pPr>
            <w:r w:rsidRPr="00483EBE">
              <w:rPr>
                <w:sz w:val="12"/>
                <w:szCs w:val="12"/>
              </w:rPr>
              <w:t>$17,690</w:t>
            </w:r>
          </w:p>
        </w:tc>
        <w:tc>
          <w:tcPr>
            <w:tcW w:w="0" w:type="auto"/>
            <w:tcBorders>
              <w:top w:val="nil"/>
              <w:left w:val="nil"/>
              <w:bottom w:val="single" w:sz="4" w:space="0" w:color="auto"/>
              <w:right w:val="single" w:sz="4" w:space="0" w:color="auto"/>
            </w:tcBorders>
            <w:shd w:val="clear" w:color="auto" w:fill="auto"/>
            <w:vAlign w:val="center"/>
            <w:hideMark/>
          </w:tcPr>
          <w:p w14:paraId="2DDBA5C8" w14:textId="77777777" w:rsidR="00572995" w:rsidRPr="00483EBE" w:rsidRDefault="00572995" w:rsidP="00E8324D">
            <w:pPr>
              <w:pStyle w:val="Tablas"/>
              <w:rPr>
                <w:sz w:val="12"/>
                <w:szCs w:val="12"/>
              </w:rPr>
            </w:pPr>
            <w:r w:rsidRPr="00483EBE">
              <w:rPr>
                <w:sz w:val="12"/>
                <w:szCs w:val="12"/>
              </w:rPr>
              <w:t>$8,845</w:t>
            </w:r>
          </w:p>
        </w:tc>
        <w:tc>
          <w:tcPr>
            <w:tcW w:w="0" w:type="auto"/>
            <w:tcBorders>
              <w:top w:val="nil"/>
              <w:left w:val="nil"/>
              <w:bottom w:val="single" w:sz="4" w:space="0" w:color="auto"/>
              <w:right w:val="single" w:sz="4" w:space="0" w:color="auto"/>
            </w:tcBorders>
            <w:shd w:val="clear" w:color="auto" w:fill="auto"/>
            <w:vAlign w:val="center"/>
            <w:hideMark/>
          </w:tcPr>
          <w:p w14:paraId="5E73C2D2" w14:textId="77777777" w:rsidR="00572995" w:rsidRPr="00483EBE" w:rsidRDefault="00572995" w:rsidP="00E8324D">
            <w:pPr>
              <w:pStyle w:val="Tablas"/>
              <w:rPr>
                <w:sz w:val="12"/>
                <w:szCs w:val="12"/>
              </w:rPr>
            </w:pPr>
            <w:r w:rsidRPr="00483EBE">
              <w:rPr>
                <w:sz w:val="12"/>
                <w:szCs w:val="12"/>
              </w:rPr>
              <w:t>$737</w:t>
            </w:r>
          </w:p>
        </w:tc>
        <w:tc>
          <w:tcPr>
            <w:tcW w:w="0" w:type="auto"/>
            <w:tcBorders>
              <w:top w:val="nil"/>
              <w:left w:val="nil"/>
              <w:bottom w:val="single" w:sz="4" w:space="0" w:color="auto"/>
              <w:right w:val="single" w:sz="4" w:space="0" w:color="auto"/>
            </w:tcBorders>
            <w:shd w:val="clear" w:color="auto" w:fill="auto"/>
            <w:vAlign w:val="center"/>
            <w:hideMark/>
          </w:tcPr>
          <w:p w14:paraId="1A05D1FA"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6C55159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297342"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2C377023" w14:textId="77777777" w:rsidR="00572995" w:rsidRPr="00483EBE" w:rsidRDefault="00572995" w:rsidP="00E8324D">
            <w:pPr>
              <w:pStyle w:val="Tablas"/>
              <w:rPr>
                <w:sz w:val="12"/>
                <w:szCs w:val="12"/>
              </w:rPr>
            </w:pPr>
            <w:r w:rsidRPr="00483EBE">
              <w:rPr>
                <w:sz w:val="12"/>
                <w:szCs w:val="12"/>
              </w:rPr>
              <w:t xml:space="preserve">455 </w:t>
            </w:r>
          </w:p>
        </w:tc>
        <w:tc>
          <w:tcPr>
            <w:tcW w:w="0" w:type="auto"/>
            <w:tcBorders>
              <w:top w:val="nil"/>
              <w:left w:val="nil"/>
              <w:bottom w:val="single" w:sz="4" w:space="0" w:color="auto"/>
              <w:right w:val="single" w:sz="4" w:space="0" w:color="auto"/>
            </w:tcBorders>
            <w:shd w:val="clear" w:color="auto" w:fill="auto"/>
            <w:vAlign w:val="center"/>
            <w:hideMark/>
          </w:tcPr>
          <w:p w14:paraId="65D5BB4A" w14:textId="77777777" w:rsidR="00572995" w:rsidRPr="00483EBE" w:rsidRDefault="00572995" w:rsidP="00E8324D">
            <w:pPr>
              <w:pStyle w:val="Tablas"/>
              <w:rPr>
                <w:sz w:val="12"/>
                <w:szCs w:val="12"/>
              </w:rPr>
            </w:pPr>
            <w:r w:rsidRPr="00483EBE">
              <w:rPr>
                <w:sz w:val="12"/>
                <w:szCs w:val="12"/>
              </w:rPr>
              <w:t>$2,572,994</w:t>
            </w:r>
          </w:p>
        </w:tc>
        <w:tc>
          <w:tcPr>
            <w:tcW w:w="0" w:type="auto"/>
            <w:tcBorders>
              <w:top w:val="nil"/>
              <w:left w:val="nil"/>
              <w:bottom w:val="single" w:sz="4" w:space="0" w:color="auto"/>
              <w:right w:val="single" w:sz="4" w:space="0" w:color="auto"/>
            </w:tcBorders>
            <w:shd w:val="clear" w:color="auto" w:fill="auto"/>
            <w:vAlign w:val="center"/>
            <w:hideMark/>
          </w:tcPr>
          <w:p w14:paraId="537EF826" w14:textId="77777777" w:rsidR="00572995" w:rsidRPr="00483EBE" w:rsidRDefault="00572995" w:rsidP="00E8324D">
            <w:pPr>
              <w:pStyle w:val="Tablas"/>
              <w:rPr>
                <w:sz w:val="12"/>
                <w:szCs w:val="12"/>
              </w:rPr>
            </w:pPr>
            <w:r w:rsidRPr="00483EBE">
              <w:rPr>
                <w:sz w:val="12"/>
                <w:szCs w:val="12"/>
              </w:rPr>
              <w:t>$5,655</w:t>
            </w:r>
          </w:p>
        </w:tc>
        <w:tc>
          <w:tcPr>
            <w:tcW w:w="0" w:type="auto"/>
            <w:tcBorders>
              <w:top w:val="nil"/>
              <w:left w:val="nil"/>
              <w:bottom w:val="single" w:sz="4" w:space="0" w:color="auto"/>
              <w:right w:val="single" w:sz="4" w:space="0" w:color="auto"/>
            </w:tcBorders>
            <w:shd w:val="clear" w:color="auto" w:fill="auto"/>
            <w:vAlign w:val="center"/>
            <w:hideMark/>
          </w:tcPr>
          <w:p w14:paraId="4902A3B8" w14:textId="77777777" w:rsidR="00572995" w:rsidRPr="00483EBE" w:rsidRDefault="00572995" w:rsidP="00E8324D">
            <w:pPr>
              <w:pStyle w:val="Tablas"/>
              <w:rPr>
                <w:sz w:val="12"/>
                <w:szCs w:val="12"/>
              </w:rPr>
            </w:pPr>
            <w:r w:rsidRPr="00483EBE">
              <w:rPr>
                <w:sz w:val="12"/>
                <w:szCs w:val="12"/>
              </w:rPr>
              <w:t>$471</w:t>
            </w:r>
          </w:p>
        </w:tc>
        <w:tc>
          <w:tcPr>
            <w:tcW w:w="0" w:type="auto"/>
            <w:tcBorders>
              <w:top w:val="nil"/>
              <w:left w:val="nil"/>
              <w:bottom w:val="single" w:sz="4" w:space="0" w:color="auto"/>
              <w:right w:val="single" w:sz="4" w:space="0" w:color="auto"/>
            </w:tcBorders>
            <w:shd w:val="clear" w:color="auto" w:fill="auto"/>
            <w:vAlign w:val="center"/>
            <w:hideMark/>
          </w:tcPr>
          <w:p w14:paraId="054FA27D"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5B194450" w14:textId="77777777" w:rsidR="00572995" w:rsidRPr="00483EBE" w:rsidRDefault="00572995" w:rsidP="00E8324D">
            <w:pPr>
              <w:pStyle w:val="Tablas"/>
              <w:rPr>
                <w:sz w:val="12"/>
                <w:szCs w:val="12"/>
              </w:rPr>
            </w:pPr>
            <w:r w:rsidRPr="00483EBE">
              <w:rPr>
                <w:sz w:val="12"/>
                <w:szCs w:val="12"/>
              </w:rPr>
              <w:t>SEBD</w:t>
            </w:r>
          </w:p>
        </w:tc>
      </w:tr>
      <w:tr w:rsidR="00572995" w:rsidRPr="00483EBE" w14:paraId="661A532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1422C7"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4C86E3AA" w14:textId="77777777" w:rsidR="00572995" w:rsidRPr="00483EBE" w:rsidRDefault="00572995" w:rsidP="00E8324D">
            <w:pPr>
              <w:pStyle w:val="Tablas"/>
              <w:rPr>
                <w:sz w:val="12"/>
                <w:szCs w:val="12"/>
              </w:rPr>
            </w:pPr>
            <w:r w:rsidRPr="00483EBE">
              <w:rPr>
                <w:sz w:val="12"/>
                <w:szCs w:val="12"/>
              </w:rPr>
              <w:t xml:space="preserve">364 </w:t>
            </w:r>
          </w:p>
        </w:tc>
        <w:tc>
          <w:tcPr>
            <w:tcW w:w="0" w:type="auto"/>
            <w:tcBorders>
              <w:top w:val="nil"/>
              <w:left w:val="nil"/>
              <w:bottom w:val="single" w:sz="4" w:space="0" w:color="auto"/>
              <w:right w:val="single" w:sz="4" w:space="0" w:color="auto"/>
            </w:tcBorders>
            <w:shd w:val="clear" w:color="auto" w:fill="auto"/>
            <w:vAlign w:val="center"/>
            <w:hideMark/>
          </w:tcPr>
          <w:p w14:paraId="6DD8D383" w14:textId="77777777" w:rsidR="00572995" w:rsidRPr="00483EBE" w:rsidRDefault="00572995" w:rsidP="00E8324D">
            <w:pPr>
              <w:pStyle w:val="Tablas"/>
              <w:rPr>
                <w:sz w:val="12"/>
                <w:szCs w:val="12"/>
              </w:rPr>
            </w:pPr>
            <w:r w:rsidRPr="00483EBE">
              <w:rPr>
                <w:sz w:val="12"/>
                <w:szCs w:val="12"/>
              </w:rPr>
              <w:t>$1,630,790</w:t>
            </w:r>
          </w:p>
        </w:tc>
        <w:tc>
          <w:tcPr>
            <w:tcW w:w="0" w:type="auto"/>
            <w:tcBorders>
              <w:top w:val="nil"/>
              <w:left w:val="nil"/>
              <w:bottom w:val="single" w:sz="4" w:space="0" w:color="auto"/>
              <w:right w:val="single" w:sz="4" w:space="0" w:color="auto"/>
            </w:tcBorders>
            <w:shd w:val="clear" w:color="auto" w:fill="auto"/>
            <w:vAlign w:val="center"/>
            <w:hideMark/>
          </w:tcPr>
          <w:p w14:paraId="323731DE" w14:textId="77777777" w:rsidR="00572995" w:rsidRPr="00483EBE" w:rsidRDefault="00572995" w:rsidP="00E8324D">
            <w:pPr>
              <w:pStyle w:val="Tablas"/>
              <w:rPr>
                <w:sz w:val="12"/>
                <w:szCs w:val="12"/>
              </w:rPr>
            </w:pPr>
            <w:r w:rsidRPr="00483EBE">
              <w:rPr>
                <w:sz w:val="12"/>
                <w:szCs w:val="12"/>
              </w:rPr>
              <w:t>$4,480</w:t>
            </w:r>
          </w:p>
        </w:tc>
        <w:tc>
          <w:tcPr>
            <w:tcW w:w="0" w:type="auto"/>
            <w:tcBorders>
              <w:top w:val="nil"/>
              <w:left w:val="nil"/>
              <w:bottom w:val="single" w:sz="4" w:space="0" w:color="auto"/>
              <w:right w:val="single" w:sz="4" w:space="0" w:color="auto"/>
            </w:tcBorders>
            <w:shd w:val="clear" w:color="auto" w:fill="auto"/>
            <w:vAlign w:val="center"/>
            <w:hideMark/>
          </w:tcPr>
          <w:p w14:paraId="0A80CD12" w14:textId="77777777" w:rsidR="00572995" w:rsidRPr="00483EBE" w:rsidRDefault="00572995" w:rsidP="00E8324D">
            <w:pPr>
              <w:pStyle w:val="Tablas"/>
              <w:rPr>
                <w:sz w:val="12"/>
                <w:szCs w:val="12"/>
              </w:rPr>
            </w:pPr>
            <w:r w:rsidRPr="00483EBE">
              <w:rPr>
                <w:sz w:val="12"/>
                <w:szCs w:val="12"/>
              </w:rPr>
              <w:t>$373</w:t>
            </w:r>
          </w:p>
        </w:tc>
        <w:tc>
          <w:tcPr>
            <w:tcW w:w="0" w:type="auto"/>
            <w:tcBorders>
              <w:top w:val="nil"/>
              <w:left w:val="nil"/>
              <w:bottom w:val="single" w:sz="4" w:space="0" w:color="auto"/>
              <w:right w:val="single" w:sz="4" w:space="0" w:color="auto"/>
            </w:tcBorders>
            <w:shd w:val="clear" w:color="auto" w:fill="auto"/>
            <w:vAlign w:val="center"/>
            <w:hideMark/>
          </w:tcPr>
          <w:p w14:paraId="0A47E098"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027FCB6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AB4AB7"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755E4AF0" w14:textId="77777777" w:rsidR="00572995" w:rsidRPr="00483EBE" w:rsidRDefault="00572995" w:rsidP="00E8324D">
            <w:pPr>
              <w:pStyle w:val="Tablas"/>
              <w:rPr>
                <w:sz w:val="12"/>
                <w:szCs w:val="12"/>
              </w:rPr>
            </w:pPr>
            <w:r w:rsidRPr="00483EBE">
              <w:rPr>
                <w:sz w:val="12"/>
                <w:szCs w:val="12"/>
              </w:rPr>
              <w:t xml:space="preserve">378 </w:t>
            </w:r>
          </w:p>
        </w:tc>
        <w:tc>
          <w:tcPr>
            <w:tcW w:w="0" w:type="auto"/>
            <w:tcBorders>
              <w:top w:val="nil"/>
              <w:left w:val="nil"/>
              <w:bottom w:val="single" w:sz="4" w:space="0" w:color="auto"/>
              <w:right w:val="single" w:sz="4" w:space="0" w:color="auto"/>
            </w:tcBorders>
            <w:shd w:val="clear" w:color="auto" w:fill="auto"/>
            <w:vAlign w:val="center"/>
            <w:hideMark/>
          </w:tcPr>
          <w:p w14:paraId="3D6DBEB7" w14:textId="77777777" w:rsidR="00572995" w:rsidRPr="00483EBE" w:rsidRDefault="00572995" w:rsidP="00E8324D">
            <w:pPr>
              <w:pStyle w:val="Tablas"/>
              <w:rPr>
                <w:sz w:val="12"/>
                <w:szCs w:val="12"/>
              </w:rPr>
            </w:pPr>
            <w:r w:rsidRPr="00483EBE">
              <w:rPr>
                <w:sz w:val="12"/>
                <w:szCs w:val="12"/>
              </w:rPr>
              <w:t>$2,055,439</w:t>
            </w:r>
          </w:p>
        </w:tc>
        <w:tc>
          <w:tcPr>
            <w:tcW w:w="0" w:type="auto"/>
            <w:tcBorders>
              <w:top w:val="nil"/>
              <w:left w:val="nil"/>
              <w:bottom w:val="single" w:sz="4" w:space="0" w:color="auto"/>
              <w:right w:val="single" w:sz="4" w:space="0" w:color="auto"/>
            </w:tcBorders>
            <w:shd w:val="clear" w:color="auto" w:fill="auto"/>
            <w:vAlign w:val="center"/>
            <w:hideMark/>
          </w:tcPr>
          <w:p w14:paraId="363A511E" w14:textId="77777777" w:rsidR="00572995" w:rsidRPr="00483EBE" w:rsidRDefault="00572995" w:rsidP="00E8324D">
            <w:pPr>
              <w:pStyle w:val="Tablas"/>
              <w:rPr>
                <w:sz w:val="12"/>
                <w:szCs w:val="12"/>
              </w:rPr>
            </w:pPr>
            <w:r w:rsidRPr="00483EBE">
              <w:rPr>
                <w:sz w:val="12"/>
                <w:szCs w:val="12"/>
              </w:rPr>
              <w:t>$5,438</w:t>
            </w:r>
          </w:p>
        </w:tc>
        <w:tc>
          <w:tcPr>
            <w:tcW w:w="0" w:type="auto"/>
            <w:tcBorders>
              <w:top w:val="nil"/>
              <w:left w:val="nil"/>
              <w:bottom w:val="single" w:sz="4" w:space="0" w:color="auto"/>
              <w:right w:val="single" w:sz="4" w:space="0" w:color="auto"/>
            </w:tcBorders>
            <w:shd w:val="clear" w:color="auto" w:fill="auto"/>
            <w:vAlign w:val="center"/>
            <w:hideMark/>
          </w:tcPr>
          <w:p w14:paraId="7646AF2E" w14:textId="77777777" w:rsidR="00572995" w:rsidRPr="00483EBE" w:rsidRDefault="00572995" w:rsidP="00E8324D">
            <w:pPr>
              <w:pStyle w:val="Tablas"/>
              <w:rPr>
                <w:sz w:val="12"/>
                <w:szCs w:val="12"/>
              </w:rPr>
            </w:pPr>
            <w:r w:rsidRPr="00483EBE">
              <w:rPr>
                <w:sz w:val="12"/>
                <w:szCs w:val="12"/>
              </w:rPr>
              <w:t>$453</w:t>
            </w:r>
          </w:p>
        </w:tc>
        <w:tc>
          <w:tcPr>
            <w:tcW w:w="0" w:type="auto"/>
            <w:tcBorders>
              <w:top w:val="nil"/>
              <w:left w:val="nil"/>
              <w:bottom w:val="single" w:sz="4" w:space="0" w:color="auto"/>
              <w:right w:val="single" w:sz="4" w:space="0" w:color="auto"/>
            </w:tcBorders>
            <w:shd w:val="clear" w:color="auto" w:fill="auto"/>
            <w:vAlign w:val="center"/>
            <w:hideMark/>
          </w:tcPr>
          <w:p w14:paraId="10BB7C43"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039AD642" w14:textId="77777777" w:rsidR="00572995" w:rsidRPr="00483EBE" w:rsidRDefault="00572995" w:rsidP="00E8324D">
            <w:pPr>
              <w:pStyle w:val="Tablas"/>
              <w:rPr>
                <w:sz w:val="12"/>
                <w:szCs w:val="12"/>
              </w:rPr>
            </w:pPr>
            <w:r w:rsidRPr="00483EBE">
              <w:rPr>
                <w:sz w:val="12"/>
                <w:szCs w:val="12"/>
              </w:rPr>
              <w:t>SEBD</w:t>
            </w:r>
          </w:p>
        </w:tc>
      </w:tr>
      <w:tr w:rsidR="00572995" w:rsidRPr="00483EBE" w14:paraId="6D7A19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F3F8D3"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1C9D7658" w14:textId="77777777" w:rsidR="00572995" w:rsidRPr="00483EBE" w:rsidRDefault="00572995" w:rsidP="00E8324D">
            <w:pPr>
              <w:pStyle w:val="Tablas"/>
              <w:rPr>
                <w:sz w:val="12"/>
                <w:szCs w:val="12"/>
              </w:rPr>
            </w:pPr>
            <w:r w:rsidRPr="00483EBE">
              <w:rPr>
                <w:sz w:val="12"/>
                <w:szCs w:val="12"/>
              </w:rPr>
              <w:t xml:space="preserve">565 </w:t>
            </w:r>
          </w:p>
        </w:tc>
        <w:tc>
          <w:tcPr>
            <w:tcW w:w="0" w:type="auto"/>
            <w:tcBorders>
              <w:top w:val="nil"/>
              <w:left w:val="nil"/>
              <w:bottom w:val="single" w:sz="4" w:space="0" w:color="auto"/>
              <w:right w:val="single" w:sz="4" w:space="0" w:color="auto"/>
            </w:tcBorders>
            <w:shd w:val="clear" w:color="auto" w:fill="auto"/>
            <w:vAlign w:val="center"/>
            <w:hideMark/>
          </w:tcPr>
          <w:p w14:paraId="5FD1D094" w14:textId="77777777" w:rsidR="00572995" w:rsidRPr="00483EBE" w:rsidRDefault="00572995" w:rsidP="00E8324D">
            <w:pPr>
              <w:pStyle w:val="Tablas"/>
              <w:rPr>
                <w:sz w:val="12"/>
                <w:szCs w:val="12"/>
              </w:rPr>
            </w:pPr>
            <w:r w:rsidRPr="00483EBE">
              <w:rPr>
                <w:sz w:val="12"/>
                <w:szCs w:val="12"/>
              </w:rPr>
              <w:t>$2,770,128</w:t>
            </w:r>
          </w:p>
        </w:tc>
        <w:tc>
          <w:tcPr>
            <w:tcW w:w="0" w:type="auto"/>
            <w:tcBorders>
              <w:top w:val="nil"/>
              <w:left w:val="nil"/>
              <w:bottom w:val="single" w:sz="4" w:space="0" w:color="auto"/>
              <w:right w:val="single" w:sz="4" w:space="0" w:color="auto"/>
            </w:tcBorders>
            <w:shd w:val="clear" w:color="auto" w:fill="auto"/>
            <w:vAlign w:val="center"/>
            <w:hideMark/>
          </w:tcPr>
          <w:p w14:paraId="0F3BA9F7" w14:textId="77777777" w:rsidR="00572995" w:rsidRPr="00483EBE" w:rsidRDefault="00572995" w:rsidP="00E8324D">
            <w:pPr>
              <w:pStyle w:val="Tablas"/>
              <w:rPr>
                <w:sz w:val="12"/>
                <w:szCs w:val="12"/>
              </w:rPr>
            </w:pPr>
            <w:r w:rsidRPr="00483EBE">
              <w:rPr>
                <w:sz w:val="12"/>
                <w:szCs w:val="12"/>
              </w:rPr>
              <w:t>$4,903</w:t>
            </w:r>
          </w:p>
        </w:tc>
        <w:tc>
          <w:tcPr>
            <w:tcW w:w="0" w:type="auto"/>
            <w:tcBorders>
              <w:top w:val="nil"/>
              <w:left w:val="nil"/>
              <w:bottom w:val="single" w:sz="4" w:space="0" w:color="auto"/>
              <w:right w:val="single" w:sz="4" w:space="0" w:color="auto"/>
            </w:tcBorders>
            <w:shd w:val="clear" w:color="auto" w:fill="auto"/>
            <w:vAlign w:val="center"/>
            <w:hideMark/>
          </w:tcPr>
          <w:p w14:paraId="7EF4274B" w14:textId="77777777" w:rsidR="00572995" w:rsidRPr="00483EBE" w:rsidRDefault="00572995" w:rsidP="00E8324D">
            <w:pPr>
              <w:pStyle w:val="Tablas"/>
              <w:rPr>
                <w:sz w:val="12"/>
                <w:szCs w:val="12"/>
              </w:rPr>
            </w:pPr>
            <w:r w:rsidRPr="00483EBE">
              <w:rPr>
                <w:sz w:val="12"/>
                <w:szCs w:val="12"/>
              </w:rPr>
              <w:t>$409</w:t>
            </w:r>
          </w:p>
        </w:tc>
        <w:tc>
          <w:tcPr>
            <w:tcW w:w="0" w:type="auto"/>
            <w:tcBorders>
              <w:top w:val="nil"/>
              <w:left w:val="nil"/>
              <w:bottom w:val="single" w:sz="4" w:space="0" w:color="auto"/>
              <w:right w:val="single" w:sz="4" w:space="0" w:color="auto"/>
            </w:tcBorders>
            <w:shd w:val="clear" w:color="auto" w:fill="auto"/>
            <w:vAlign w:val="center"/>
            <w:hideMark/>
          </w:tcPr>
          <w:p w14:paraId="77945BC8"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11920B7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CE4E76"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47A4DF3B" w14:textId="77777777" w:rsidR="00572995" w:rsidRPr="00483EBE" w:rsidRDefault="00572995" w:rsidP="00E8324D">
            <w:pPr>
              <w:pStyle w:val="Tablas"/>
              <w:rPr>
                <w:sz w:val="12"/>
                <w:szCs w:val="12"/>
              </w:rPr>
            </w:pPr>
            <w:r w:rsidRPr="00483EBE">
              <w:rPr>
                <w:sz w:val="12"/>
                <w:szCs w:val="12"/>
              </w:rPr>
              <w:t xml:space="preserve">294 </w:t>
            </w:r>
          </w:p>
        </w:tc>
        <w:tc>
          <w:tcPr>
            <w:tcW w:w="0" w:type="auto"/>
            <w:tcBorders>
              <w:top w:val="nil"/>
              <w:left w:val="nil"/>
              <w:bottom w:val="single" w:sz="4" w:space="0" w:color="auto"/>
              <w:right w:val="single" w:sz="4" w:space="0" w:color="auto"/>
            </w:tcBorders>
            <w:shd w:val="clear" w:color="auto" w:fill="auto"/>
            <w:vAlign w:val="center"/>
            <w:hideMark/>
          </w:tcPr>
          <w:p w14:paraId="1B14B686" w14:textId="77777777" w:rsidR="00572995" w:rsidRPr="00483EBE" w:rsidRDefault="00572995" w:rsidP="00E8324D">
            <w:pPr>
              <w:pStyle w:val="Tablas"/>
              <w:rPr>
                <w:sz w:val="12"/>
                <w:szCs w:val="12"/>
              </w:rPr>
            </w:pPr>
            <w:r w:rsidRPr="00483EBE">
              <w:rPr>
                <w:sz w:val="12"/>
                <w:szCs w:val="12"/>
              </w:rPr>
              <w:t>$1,688,268</w:t>
            </w:r>
          </w:p>
        </w:tc>
        <w:tc>
          <w:tcPr>
            <w:tcW w:w="0" w:type="auto"/>
            <w:tcBorders>
              <w:top w:val="nil"/>
              <w:left w:val="nil"/>
              <w:bottom w:val="single" w:sz="4" w:space="0" w:color="auto"/>
              <w:right w:val="single" w:sz="4" w:space="0" w:color="auto"/>
            </w:tcBorders>
            <w:shd w:val="clear" w:color="auto" w:fill="auto"/>
            <w:vAlign w:val="center"/>
            <w:hideMark/>
          </w:tcPr>
          <w:p w14:paraId="04AAEF3A" w14:textId="77777777" w:rsidR="00572995" w:rsidRPr="00483EBE" w:rsidRDefault="00572995" w:rsidP="00E8324D">
            <w:pPr>
              <w:pStyle w:val="Tablas"/>
              <w:rPr>
                <w:sz w:val="12"/>
                <w:szCs w:val="12"/>
              </w:rPr>
            </w:pPr>
            <w:r w:rsidRPr="00483EBE">
              <w:rPr>
                <w:sz w:val="12"/>
                <w:szCs w:val="12"/>
              </w:rPr>
              <w:t>$5,742</w:t>
            </w:r>
          </w:p>
        </w:tc>
        <w:tc>
          <w:tcPr>
            <w:tcW w:w="0" w:type="auto"/>
            <w:tcBorders>
              <w:top w:val="nil"/>
              <w:left w:val="nil"/>
              <w:bottom w:val="single" w:sz="4" w:space="0" w:color="auto"/>
              <w:right w:val="single" w:sz="4" w:space="0" w:color="auto"/>
            </w:tcBorders>
            <w:shd w:val="clear" w:color="auto" w:fill="auto"/>
            <w:vAlign w:val="center"/>
            <w:hideMark/>
          </w:tcPr>
          <w:p w14:paraId="2CA82E8E" w14:textId="77777777" w:rsidR="00572995" w:rsidRPr="00483EBE" w:rsidRDefault="00572995" w:rsidP="00E8324D">
            <w:pPr>
              <w:pStyle w:val="Tablas"/>
              <w:rPr>
                <w:sz w:val="12"/>
                <w:szCs w:val="12"/>
              </w:rPr>
            </w:pPr>
            <w:r w:rsidRPr="00483EBE">
              <w:rPr>
                <w:sz w:val="12"/>
                <w:szCs w:val="12"/>
              </w:rPr>
              <w:t>$479</w:t>
            </w:r>
          </w:p>
        </w:tc>
        <w:tc>
          <w:tcPr>
            <w:tcW w:w="0" w:type="auto"/>
            <w:tcBorders>
              <w:top w:val="nil"/>
              <w:left w:val="nil"/>
              <w:bottom w:val="single" w:sz="4" w:space="0" w:color="auto"/>
              <w:right w:val="single" w:sz="4" w:space="0" w:color="auto"/>
            </w:tcBorders>
            <w:shd w:val="clear" w:color="auto" w:fill="auto"/>
            <w:vAlign w:val="center"/>
            <w:hideMark/>
          </w:tcPr>
          <w:p w14:paraId="4B0ED70D"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135CE2EB" w14:textId="77777777" w:rsidR="00572995" w:rsidRPr="00483EBE" w:rsidRDefault="00572995" w:rsidP="00E8324D">
            <w:pPr>
              <w:pStyle w:val="Tablas"/>
              <w:rPr>
                <w:sz w:val="12"/>
                <w:szCs w:val="12"/>
              </w:rPr>
            </w:pPr>
            <w:r w:rsidRPr="00483EBE">
              <w:rPr>
                <w:sz w:val="12"/>
                <w:szCs w:val="12"/>
              </w:rPr>
              <w:t>SEBD</w:t>
            </w:r>
          </w:p>
        </w:tc>
      </w:tr>
      <w:tr w:rsidR="00572995" w:rsidRPr="00483EBE" w14:paraId="0F55899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01E07B8"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1B1AD4EB" w14:textId="77777777" w:rsidR="00572995" w:rsidRPr="00483EBE" w:rsidRDefault="00572995" w:rsidP="00E8324D">
            <w:pPr>
              <w:pStyle w:val="Tablas"/>
              <w:rPr>
                <w:sz w:val="12"/>
                <w:szCs w:val="12"/>
              </w:rPr>
            </w:pPr>
            <w:r w:rsidRPr="00483EBE">
              <w:rPr>
                <w:sz w:val="12"/>
                <w:szCs w:val="12"/>
              </w:rPr>
              <w:t xml:space="preserve">563 </w:t>
            </w:r>
          </w:p>
        </w:tc>
        <w:tc>
          <w:tcPr>
            <w:tcW w:w="0" w:type="auto"/>
            <w:tcBorders>
              <w:top w:val="nil"/>
              <w:left w:val="nil"/>
              <w:bottom w:val="single" w:sz="4" w:space="0" w:color="auto"/>
              <w:right w:val="single" w:sz="4" w:space="0" w:color="auto"/>
            </w:tcBorders>
            <w:shd w:val="clear" w:color="auto" w:fill="auto"/>
            <w:vAlign w:val="center"/>
            <w:hideMark/>
          </w:tcPr>
          <w:p w14:paraId="6F670241" w14:textId="77777777" w:rsidR="00572995" w:rsidRPr="00483EBE" w:rsidRDefault="00572995" w:rsidP="00E8324D">
            <w:pPr>
              <w:pStyle w:val="Tablas"/>
              <w:rPr>
                <w:sz w:val="12"/>
                <w:szCs w:val="12"/>
              </w:rPr>
            </w:pPr>
            <w:r w:rsidRPr="00483EBE">
              <w:rPr>
                <w:sz w:val="12"/>
                <w:szCs w:val="12"/>
              </w:rPr>
              <w:t>$2,703,083</w:t>
            </w:r>
          </w:p>
        </w:tc>
        <w:tc>
          <w:tcPr>
            <w:tcW w:w="0" w:type="auto"/>
            <w:tcBorders>
              <w:top w:val="nil"/>
              <w:left w:val="nil"/>
              <w:bottom w:val="single" w:sz="4" w:space="0" w:color="auto"/>
              <w:right w:val="single" w:sz="4" w:space="0" w:color="auto"/>
            </w:tcBorders>
            <w:shd w:val="clear" w:color="auto" w:fill="auto"/>
            <w:vAlign w:val="center"/>
            <w:hideMark/>
          </w:tcPr>
          <w:p w14:paraId="5DCE5965" w14:textId="77777777" w:rsidR="00572995" w:rsidRPr="00483EBE" w:rsidRDefault="00572995" w:rsidP="00E8324D">
            <w:pPr>
              <w:pStyle w:val="Tablas"/>
              <w:rPr>
                <w:sz w:val="12"/>
                <w:szCs w:val="12"/>
              </w:rPr>
            </w:pPr>
            <w:r w:rsidRPr="00483EBE">
              <w:rPr>
                <w:sz w:val="12"/>
                <w:szCs w:val="12"/>
              </w:rPr>
              <w:t>$4,801</w:t>
            </w:r>
          </w:p>
        </w:tc>
        <w:tc>
          <w:tcPr>
            <w:tcW w:w="0" w:type="auto"/>
            <w:tcBorders>
              <w:top w:val="nil"/>
              <w:left w:val="nil"/>
              <w:bottom w:val="single" w:sz="4" w:space="0" w:color="auto"/>
              <w:right w:val="single" w:sz="4" w:space="0" w:color="auto"/>
            </w:tcBorders>
            <w:shd w:val="clear" w:color="auto" w:fill="auto"/>
            <w:vAlign w:val="center"/>
            <w:hideMark/>
          </w:tcPr>
          <w:p w14:paraId="5048532E" w14:textId="77777777" w:rsidR="00572995" w:rsidRPr="00483EBE" w:rsidRDefault="00572995" w:rsidP="00E8324D">
            <w:pPr>
              <w:pStyle w:val="Tablas"/>
              <w:rPr>
                <w:sz w:val="12"/>
                <w:szCs w:val="12"/>
              </w:rPr>
            </w:pPr>
            <w:r w:rsidRPr="00483EBE">
              <w:rPr>
                <w:sz w:val="12"/>
                <w:szCs w:val="12"/>
              </w:rPr>
              <w:t>$400</w:t>
            </w:r>
          </w:p>
        </w:tc>
        <w:tc>
          <w:tcPr>
            <w:tcW w:w="0" w:type="auto"/>
            <w:tcBorders>
              <w:top w:val="nil"/>
              <w:left w:val="nil"/>
              <w:bottom w:val="single" w:sz="4" w:space="0" w:color="auto"/>
              <w:right w:val="single" w:sz="4" w:space="0" w:color="auto"/>
            </w:tcBorders>
            <w:shd w:val="clear" w:color="auto" w:fill="auto"/>
            <w:vAlign w:val="center"/>
            <w:hideMark/>
          </w:tcPr>
          <w:p w14:paraId="01ABDD3D"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3953124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EFF7B8"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0AFF2FDB" w14:textId="77777777" w:rsidR="00572995" w:rsidRPr="00483EBE" w:rsidRDefault="00572995" w:rsidP="00E8324D">
            <w:pPr>
              <w:pStyle w:val="Tablas"/>
              <w:rPr>
                <w:sz w:val="12"/>
                <w:szCs w:val="12"/>
              </w:rPr>
            </w:pPr>
            <w:r w:rsidRPr="00483EBE">
              <w:rPr>
                <w:sz w:val="12"/>
                <w:szCs w:val="12"/>
              </w:rPr>
              <w:t xml:space="preserve">228 </w:t>
            </w:r>
          </w:p>
        </w:tc>
        <w:tc>
          <w:tcPr>
            <w:tcW w:w="0" w:type="auto"/>
            <w:tcBorders>
              <w:top w:val="nil"/>
              <w:left w:val="nil"/>
              <w:bottom w:val="single" w:sz="4" w:space="0" w:color="auto"/>
              <w:right w:val="single" w:sz="4" w:space="0" w:color="auto"/>
            </w:tcBorders>
            <w:shd w:val="clear" w:color="auto" w:fill="auto"/>
            <w:vAlign w:val="center"/>
            <w:hideMark/>
          </w:tcPr>
          <w:p w14:paraId="7ADB8825" w14:textId="77777777" w:rsidR="00572995" w:rsidRPr="00483EBE" w:rsidRDefault="00572995" w:rsidP="00E8324D">
            <w:pPr>
              <w:pStyle w:val="Tablas"/>
              <w:rPr>
                <w:sz w:val="12"/>
                <w:szCs w:val="12"/>
              </w:rPr>
            </w:pPr>
            <w:r w:rsidRPr="00483EBE">
              <w:rPr>
                <w:sz w:val="12"/>
                <w:szCs w:val="12"/>
              </w:rPr>
              <w:t>$1,191,099</w:t>
            </w:r>
          </w:p>
        </w:tc>
        <w:tc>
          <w:tcPr>
            <w:tcW w:w="0" w:type="auto"/>
            <w:tcBorders>
              <w:top w:val="nil"/>
              <w:left w:val="nil"/>
              <w:bottom w:val="single" w:sz="4" w:space="0" w:color="auto"/>
              <w:right w:val="single" w:sz="4" w:space="0" w:color="auto"/>
            </w:tcBorders>
            <w:shd w:val="clear" w:color="auto" w:fill="auto"/>
            <w:vAlign w:val="center"/>
            <w:hideMark/>
          </w:tcPr>
          <w:p w14:paraId="5302FE5C" w14:textId="77777777" w:rsidR="00572995" w:rsidRPr="00483EBE" w:rsidRDefault="00572995" w:rsidP="00E8324D">
            <w:pPr>
              <w:pStyle w:val="Tablas"/>
              <w:rPr>
                <w:sz w:val="12"/>
                <w:szCs w:val="12"/>
              </w:rPr>
            </w:pPr>
            <w:r w:rsidRPr="00483EBE">
              <w:rPr>
                <w:sz w:val="12"/>
                <w:szCs w:val="12"/>
              </w:rPr>
              <w:t>$5,224</w:t>
            </w:r>
          </w:p>
        </w:tc>
        <w:tc>
          <w:tcPr>
            <w:tcW w:w="0" w:type="auto"/>
            <w:tcBorders>
              <w:top w:val="nil"/>
              <w:left w:val="nil"/>
              <w:bottom w:val="single" w:sz="4" w:space="0" w:color="auto"/>
              <w:right w:val="single" w:sz="4" w:space="0" w:color="auto"/>
            </w:tcBorders>
            <w:shd w:val="clear" w:color="auto" w:fill="auto"/>
            <w:vAlign w:val="center"/>
            <w:hideMark/>
          </w:tcPr>
          <w:p w14:paraId="34E4E045" w14:textId="77777777" w:rsidR="00572995" w:rsidRPr="00483EBE" w:rsidRDefault="00572995" w:rsidP="00E8324D">
            <w:pPr>
              <w:pStyle w:val="Tablas"/>
              <w:rPr>
                <w:sz w:val="12"/>
                <w:szCs w:val="12"/>
              </w:rPr>
            </w:pPr>
            <w:r w:rsidRPr="00483EBE">
              <w:rPr>
                <w:sz w:val="12"/>
                <w:szCs w:val="12"/>
              </w:rPr>
              <w:t>$435</w:t>
            </w:r>
          </w:p>
        </w:tc>
        <w:tc>
          <w:tcPr>
            <w:tcW w:w="0" w:type="auto"/>
            <w:tcBorders>
              <w:top w:val="nil"/>
              <w:left w:val="nil"/>
              <w:bottom w:val="single" w:sz="4" w:space="0" w:color="auto"/>
              <w:right w:val="single" w:sz="4" w:space="0" w:color="auto"/>
            </w:tcBorders>
            <w:shd w:val="clear" w:color="auto" w:fill="auto"/>
            <w:vAlign w:val="center"/>
            <w:hideMark/>
          </w:tcPr>
          <w:p w14:paraId="4B7C9088"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04C1869B" w14:textId="77777777" w:rsidR="00572995" w:rsidRPr="00483EBE" w:rsidRDefault="00572995" w:rsidP="00E8324D">
            <w:pPr>
              <w:pStyle w:val="Tablas"/>
              <w:rPr>
                <w:sz w:val="12"/>
                <w:szCs w:val="12"/>
              </w:rPr>
            </w:pPr>
            <w:r w:rsidRPr="00483EBE">
              <w:rPr>
                <w:sz w:val="12"/>
                <w:szCs w:val="12"/>
              </w:rPr>
              <w:t>SEBD</w:t>
            </w:r>
          </w:p>
        </w:tc>
      </w:tr>
      <w:tr w:rsidR="00572995" w:rsidRPr="00483EBE" w14:paraId="4FB2517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8BBF1E"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0F2FBF43" w14:textId="77777777" w:rsidR="00572995" w:rsidRPr="00483EBE" w:rsidRDefault="00572995" w:rsidP="00E8324D">
            <w:pPr>
              <w:pStyle w:val="Tablas"/>
              <w:rPr>
                <w:sz w:val="12"/>
                <w:szCs w:val="12"/>
              </w:rPr>
            </w:pPr>
            <w:r w:rsidRPr="00483EBE">
              <w:rPr>
                <w:sz w:val="12"/>
                <w:szCs w:val="12"/>
              </w:rPr>
              <w:t xml:space="preserve">533 </w:t>
            </w:r>
          </w:p>
        </w:tc>
        <w:tc>
          <w:tcPr>
            <w:tcW w:w="0" w:type="auto"/>
            <w:tcBorders>
              <w:top w:val="nil"/>
              <w:left w:val="nil"/>
              <w:bottom w:val="single" w:sz="4" w:space="0" w:color="auto"/>
              <w:right w:val="single" w:sz="4" w:space="0" w:color="auto"/>
            </w:tcBorders>
            <w:shd w:val="clear" w:color="auto" w:fill="auto"/>
            <w:vAlign w:val="center"/>
            <w:hideMark/>
          </w:tcPr>
          <w:p w14:paraId="35C92D41" w14:textId="77777777" w:rsidR="00572995" w:rsidRPr="00483EBE" w:rsidRDefault="00572995" w:rsidP="00E8324D">
            <w:pPr>
              <w:pStyle w:val="Tablas"/>
              <w:rPr>
                <w:sz w:val="12"/>
                <w:szCs w:val="12"/>
              </w:rPr>
            </w:pPr>
            <w:r w:rsidRPr="00483EBE">
              <w:rPr>
                <w:sz w:val="12"/>
                <w:szCs w:val="12"/>
              </w:rPr>
              <w:t>$2,636,153</w:t>
            </w:r>
          </w:p>
        </w:tc>
        <w:tc>
          <w:tcPr>
            <w:tcW w:w="0" w:type="auto"/>
            <w:tcBorders>
              <w:top w:val="nil"/>
              <w:left w:val="nil"/>
              <w:bottom w:val="single" w:sz="4" w:space="0" w:color="auto"/>
              <w:right w:val="single" w:sz="4" w:space="0" w:color="auto"/>
            </w:tcBorders>
            <w:shd w:val="clear" w:color="auto" w:fill="auto"/>
            <w:vAlign w:val="center"/>
            <w:hideMark/>
          </w:tcPr>
          <w:p w14:paraId="01D9EE22" w14:textId="77777777" w:rsidR="00572995" w:rsidRPr="00483EBE" w:rsidRDefault="00572995" w:rsidP="00E8324D">
            <w:pPr>
              <w:pStyle w:val="Tablas"/>
              <w:rPr>
                <w:sz w:val="12"/>
                <w:szCs w:val="12"/>
              </w:rPr>
            </w:pPr>
            <w:r w:rsidRPr="00483EBE">
              <w:rPr>
                <w:sz w:val="12"/>
                <w:szCs w:val="12"/>
              </w:rPr>
              <w:t>$4,946</w:t>
            </w:r>
          </w:p>
        </w:tc>
        <w:tc>
          <w:tcPr>
            <w:tcW w:w="0" w:type="auto"/>
            <w:tcBorders>
              <w:top w:val="nil"/>
              <w:left w:val="nil"/>
              <w:bottom w:val="single" w:sz="4" w:space="0" w:color="auto"/>
              <w:right w:val="single" w:sz="4" w:space="0" w:color="auto"/>
            </w:tcBorders>
            <w:shd w:val="clear" w:color="auto" w:fill="auto"/>
            <w:vAlign w:val="center"/>
            <w:hideMark/>
          </w:tcPr>
          <w:p w14:paraId="209147D3" w14:textId="77777777" w:rsidR="00572995" w:rsidRPr="00483EBE" w:rsidRDefault="00572995" w:rsidP="00E8324D">
            <w:pPr>
              <w:pStyle w:val="Tablas"/>
              <w:rPr>
                <w:sz w:val="12"/>
                <w:szCs w:val="12"/>
              </w:rPr>
            </w:pPr>
            <w:r w:rsidRPr="00483EBE">
              <w:rPr>
                <w:sz w:val="12"/>
                <w:szCs w:val="12"/>
              </w:rPr>
              <w:t>$412</w:t>
            </w:r>
          </w:p>
        </w:tc>
        <w:tc>
          <w:tcPr>
            <w:tcW w:w="0" w:type="auto"/>
            <w:tcBorders>
              <w:top w:val="nil"/>
              <w:left w:val="nil"/>
              <w:bottom w:val="single" w:sz="4" w:space="0" w:color="auto"/>
              <w:right w:val="single" w:sz="4" w:space="0" w:color="auto"/>
            </w:tcBorders>
            <w:shd w:val="clear" w:color="auto" w:fill="auto"/>
            <w:vAlign w:val="center"/>
            <w:hideMark/>
          </w:tcPr>
          <w:p w14:paraId="007D2959"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5CA7EE9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78AD43"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7D9BAE31" w14:textId="77777777" w:rsidR="00572995" w:rsidRPr="00483EBE" w:rsidRDefault="00572995" w:rsidP="00E8324D">
            <w:pPr>
              <w:pStyle w:val="Tablas"/>
              <w:rPr>
                <w:sz w:val="12"/>
                <w:szCs w:val="12"/>
              </w:rPr>
            </w:pPr>
            <w:r w:rsidRPr="00483EBE">
              <w:rPr>
                <w:sz w:val="12"/>
                <w:szCs w:val="12"/>
              </w:rPr>
              <w:t xml:space="preserve">202 </w:t>
            </w:r>
          </w:p>
        </w:tc>
        <w:tc>
          <w:tcPr>
            <w:tcW w:w="0" w:type="auto"/>
            <w:tcBorders>
              <w:top w:val="nil"/>
              <w:left w:val="nil"/>
              <w:bottom w:val="single" w:sz="4" w:space="0" w:color="auto"/>
              <w:right w:val="single" w:sz="4" w:space="0" w:color="auto"/>
            </w:tcBorders>
            <w:shd w:val="clear" w:color="auto" w:fill="auto"/>
            <w:vAlign w:val="center"/>
            <w:hideMark/>
          </w:tcPr>
          <w:p w14:paraId="5876793F" w14:textId="77777777" w:rsidR="00572995" w:rsidRPr="00483EBE" w:rsidRDefault="00572995" w:rsidP="00E8324D">
            <w:pPr>
              <w:pStyle w:val="Tablas"/>
              <w:rPr>
                <w:sz w:val="12"/>
                <w:szCs w:val="12"/>
              </w:rPr>
            </w:pPr>
            <w:r w:rsidRPr="00483EBE">
              <w:rPr>
                <w:sz w:val="12"/>
                <w:szCs w:val="12"/>
              </w:rPr>
              <w:t>$1,115,877</w:t>
            </w:r>
          </w:p>
        </w:tc>
        <w:tc>
          <w:tcPr>
            <w:tcW w:w="0" w:type="auto"/>
            <w:tcBorders>
              <w:top w:val="nil"/>
              <w:left w:val="nil"/>
              <w:bottom w:val="single" w:sz="4" w:space="0" w:color="auto"/>
              <w:right w:val="single" w:sz="4" w:space="0" w:color="auto"/>
            </w:tcBorders>
            <w:shd w:val="clear" w:color="auto" w:fill="auto"/>
            <w:vAlign w:val="center"/>
            <w:hideMark/>
          </w:tcPr>
          <w:p w14:paraId="54165202" w14:textId="77777777" w:rsidR="00572995" w:rsidRPr="00483EBE" w:rsidRDefault="00572995" w:rsidP="00E8324D">
            <w:pPr>
              <w:pStyle w:val="Tablas"/>
              <w:rPr>
                <w:sz w:val="12"/>
                <w:szCs w:val="12"/>
              </w:rPr>
            </w:pPr>
            <w:r w:rsidRPr="00483EBE">
              <w:rPr>
                <w:sz w:val="12"/>
                <w:szCs w:val="12"/>
              </w:rPr>
              <w:t>$5,524</w:t>
            </w:r>
          </w:p>
        </w:tc>
        <w:tc>
          <w:tcPr>
            <w:tcW w:w="0" w:type="auto"/>
            <w:tcBorders>
              <w:top w:val="nil"/>
              <w:left w:val="nil"/>
              <w:bottom w:val="single" w:sz="4" w:space="0" w:color="auto"/>
              <w:right w:val="single" w:sz="4" w:space="0" w:color="auto"/>
            </w:tcBorders>
            <w:shd w:val="clear" w:color="auto" w:fill="auto"/>
            <w:vAlign w:val="center"/>
            <w:hideMark/>
          </w:tcPr>
          <w:p w14:paraId="7754F4AF" w14:textId="77777777" w:rsidR="00572995" w:rsidRPr="00483EBE" w:rsidRDefault="00572995" w:rsidP="00E8324D">
            <w:pPr>
              <w:pStyle w:val="Tablas"/>
              <w:rPr>
                <w:sz w:val="12"/>
                <w:szCs w:val="12"/>
              </w:rPr>
            </w:pPr>
            <w:r w:rsidRPr="00483EBE">
              <w:rPr>
                <w:sz w:val="12"/>
                <w:szCs w:val="12"/>
              </w:rPr>
              <w:t>$460</w:t>
            </w:r>
          </w:p>
        </w:tc>
        <w:tc>
          <w:tcPr>
            <w:tcW w:w="0" w:type="auto"/>
            <w:tcBorders>
              <w:top w:val="nil"/>
              <w:left w:val="nil"/>
              <w:bottom w:val="single" w:sz="4" w:space="0" w:color="auto"/>
              <w:right w:val="single" w:sz="4" w:space="0" w:color="auto"/>
            </w:tcBorders>
            <w:shd w:val="clear" w:color="auto" w:fill="auto"/>
            <w:vAlign w:val="center"/>
            <w:hideMark/>
          </w:tcPr>
          <w:p w14:paraId="113BD53D"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3F703BC9" w14:textId="77777777" w:rsidR="00572995" w:rsidRPr="00483EBE" w:rsidRDefault="00572995" w:rsidP="00E8324D">
            <w:pPr>
              <w:pStyle w:val="Tablas"/>
              <w:rPr>
                <w:sz w:val="12"/>
                <w:szCs w:val="12"/>
              </w:rPr>
            </w:pPr>
            <w:r w:rsidRPr="00483EBE">
              <w:rPr>
                <w:sz w:val="12"/>
                <w:szCs w:val="12"/>
              </w:rPr>
              <w:t>SEBD</w:t>
            </w:r>
          </w:p>
        </w:tc>
      </w:tr>
      <w:tr w:rsidR="00572995" w:rsidRPr="00483EBE" w14:paraId="025A203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6EBBB44"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1C7BD74D" w14:textId="77777777" w:rsidR="00572995" w:rsidRPr="00483EBE" w:rsidRDefault="00572995" w:rsidP="00E8324D">
            <w:pPr>
              <w:pStyle w:val="Tablas"/>
              <w:rPr>
                <w:sz w:val="12"/>
                <w:szCs w:val="12"/>
              </w:rPr>
            </w:pPr>
            <w:r w:rsidRPr="00483EBE">
              <w:rPr>
                <w:sz w:val="12"/>
                <w:szCs w:val="12"/>
              </w:rPr>
              <w:t xml:space="preserve">464 </w:t>
            </w:r>
          </w:p>
        </w:tc>
        <w:tc>
          <w:tcPr>
            <w:tcW w:w="0" w:type="auto"/>
            <w:tcBorders>
              <w:top w:val="nil"/>
              <w:left w:val="nil"/>
              <w:bottom w:val="single" w:sz="4" w:space="0" w:color="auto"/>
              <w:right w:val="single" w:sz="4" w:space="0" w:color="auto"/>
            </w:tcBorders>
            <w:shd w:val="clear" w:color="auto" w:fill="auto"/>
            <w:vAlign w:val="center"/>
            <w:hideMark/>
          </w:tcPr>
          <w:p w14:paraId="55FF7645" w14:textId="77777777" w:rsidR="00572995" w:rsidRPr="00483EBE" w:rsidRDefault="00572995" w:rsidP="00E8324D">
            <w:pPr>
              <w:pStyle w:val="Tablas"/>
              <w:rPr>
                <w:sz w:val="12"/>
                <w:szCs w:val="12"/>
              </w:rPr>
            </w:pPr>
            <w:r w:rsidRPr="00483EBE">
              <w:rPr>
                <w:sz w:val="12"/>
                <w:szCs w:val="12"/>
              </w:rPr>
              <w:t>$2,298,382</w:t>
            </w:r>
          </w:p>
        </w:tc>
        <w:tc>
          <w:tcPr>
            <w:tcW w:w="0" w:type="auto"/>
            <w:tcBorders>
              <w:top w:val="nil"/>
              <w:left w:val="nil"/>
              <w:bottom w:val="single" w:sz="4" w:space="0" w:color="auto"/>
              <w:right w:val="single" w:sz="4" w:space="0" w:color="auto"/>
            </w:tcBorders>
            <w:shd w:val="clear" w:color="auto" w:fill="auto"/>
            <w:vAlign w:val="center"/>
            <w:hideMark/>
          </w:tcPr>
          <w:p w14:paraId="446911FA" w14:textId="77777777" w:rsidR="00572995" w:rsidRPr="00483EBE" w:rsidRDefault="00572995" w:rsidP="00E8324D">
            <w:pPr>
              <w:pStyle w:val="Tablas"/>
              <w:rPr>
                <w:sz w:val="12"/>
                <w:szCs w:val="12"/>
              </w:rPr>
            </w:pPr>
            <w:r w:rsidRPr="00483EBE">
              <w:rPr>
                <w:sz w:val="12"/>
                <w:szCs w:val="12"/>
              </w:rPr>
              <w:t>$4,953</w:t>
            </w:r>
          </w:p>
        </w:tc>
        <w:tc>
          <w:tcPr>
            <w:tcW w:w="0" w:type="auto"/>
            <w:tcBorders>
              <w:top w:val="nil"/>
              <w:left w:val="nil"/>
              <w:bottom w:val="single" w:sz="4" w:space="0" w:color="auto"/>
              <w:right w:val="single" w:sz="4" w:space="0" w:color="auto"/>
            </w:tcBorders>
            <w:shd w:val="clear" w:color="auto" w:fill="auto"/>
            <w:vAlign w:val="center"/>
            <w:hideMark/>
          </w:tcPr>
          <w:p w14:paraId="0DE386A7" w14:textId="77777777" w:rsidR="00572995" w:rsidRPr="00483EBE" w:rsidRDefault="00572995" w:rsidP="00E8324D">
            <w:pPr>
              <w:pStyle w:val="Tablas"/>
              <w:rPr>
                <w:sz w:val="12"/>
                <w:szCs w:val="12"/>
              </w:rPr>
            </w:pPr>
            <w:r w:rsidRPr="00483EBE">
              <w:rPr>
                <w:sz w:val="12"/>
                <w:szCs w:val="12"/>
              </w:rPr>
              <w:t>$413</w:t>
            </w:r>
          </w:p>
        </w:tc>
        <w:tc>
          <w:tcPr>
            <w:tcW w:w="0" w:type="auto"/>
            <w:tcBorders>
              <w:top w:val="nil"/>
              <w:left w:val="nil"/>
              <w:bottom w:val="single" w:sz="4" w:space="0" w:color="auto"/>
              <w:right w:val="single" w:sz="4" w:space="0" w:color="auto"/>
            </w:tcBorders>
            <w:shd w:val="clear" w:color="auto" w:fill="auto"/>
            <w:vAlign w:val="center"/>
            <w:hideMark/>
          </w:tcPr>
          <w:p w14:paraId="6CB17E8B"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70509E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DB504E"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BA4B8E4" w14:textId="77777777" w:rsidR="00572995" w:rsidRPr="00483EBE" w:rsidRDefault="00572995" w:rsidP="00E8324D">
            <w:pPr>
              <w:pStyle w:val="Tablas"/>
              <w:rPr>
                <w:sz w:val="12"/>
                <w:szCs w:val="12"/>
              </w:rPr>
            </w:pPr>
            <w:r w:rsidRPr="00483EBE">
              <w:rPr>
                <w:sz w:val="12"/>
                <w:szCs w:val="12"/>
              </w:rPr>
              <w:t xml:space="preserve">164 </w:t>
            </w:r>
          </w:p>
        </w:tc>
        <w:tc>
          <w:tcPr>
            <w:tcW w:w="0" w:type="auto"/>
            <w:tcBorders>
              <w:top w:val="nil"/>
              <w:left w:val="nil"/>
              <w:bottom w:val="single" w:sz="4" w:space="0" w:color="auto"/>
              <w:right w:val="single" w:sz="4" w:space="0" w:color="auto"/>
            </w:tcBorders>
            <w:shd w:val="clear" w:color="auto" w:fill="auto"/>
            <w:vAlign w:val="center"/>
            <w:hideMark/>
          </w:tcPr>
          <w:p w14:paraId="79560CFE" w14:textId="77777777" w:rsidR="00572995" w:rsidRPr="00483EBE" w:rsidRDefault="00572995" w:rsidP="00E8324D">
            <w:pPr>
              <w:pStyle w:val="Tablas"/>
              <w:rPr>
                <w:sz w:val="12"/>
                <w:szCs w:val="12"/>
              </w:rPr>
            </w:pPr>
            <w:r w:rsidRPr="00483EBE">
              <w:rPr>
                <w:sz w:val="12"/>
                <w:szCs w:val="12"/>
              </w:rPr>
              <w:t>$863,112</w:t>
            </w:r>
          </w:p>
        </w:tc>
        <w:tc>
          <w:tcPr>
            <w:tcW w:w="0" w:type="auto"/>
            <w:tcBorders>
              <w:top w:val="nil"/>
              <w:left w:val="nil"/>
              <w:bottom w:val="single" w:sz="4" w:space="0" w:color="auto"/>
              <w:right w:val="single" w:sz="4" w:space="0" w:color="auto"/>
            </w:tcBorders>
            <w:shd w:val="clear" w:color="auto" w:fill="auto"/>
            <w:vAlign w:val="center"/>
            <w:hideMark/>
          </w:tcPr>
          <w:p w14:paraId="753D6A60" w14:textId="77777777" w:rsidR="00572995" w:rsidRPr="00483EBE" w:rsidRDefault="00572995" w:rsidP="00E8324D">
            <w:pPr>
              <w:pStyle w:val="Tablas"/>
              <w:rPr>
                <w:sz w:val="12"/>
                <w:szCs w:val="12"/>
              </w:rPr>
            </w:pPr>
            <w:r w:rsidRPr="00483EBE">
              <w:rPr>
                <w:sz w:val="12"/>
                <w:szCs w:val="12"/>
              </w:rPr>
              <w:t>$5,263</w:t>
            </w:r>
          </w:p>
        </w:tc>
        <w:tc>
          <w:tcPr>
            <w:tcW w:w="0" w:type="auto"/>
            <w:tcBorders>
              <w:top w:val="nil"/>
              <w:left w:val="nil"/>
              <w:bottom w:val="single" w:sz="4" w:space="0" w:color="auto"/>
              <w:right w:val="single" w:sz="4" w:space="0" w:color="auto"/>
            </w:tcBorders>
            <w:shd w:val="clear" w:color="auto" w:fill="auto"/>
            <w:vAlign w:val="center"/>
            <w:hideMark/>
          </w:tcPr>
          <w:p w14:paraId="5026D9B0" w14:textId="77777777" w:rsidR="00572995" w:rsidRPr="00483EBE" w:rsidRDefault="00572995" w:rsidP="00E8324D">
            <w:pPr>
              <w:pStyle w:val="Tablas"/>
              <w:rPr>
                <w:sz w:val="12"/>
                <w:szCs w:val="12"/>
              </w:rPr>
            </w:pPr>
            <w:r w:rsidRPr="00483EBE">
              <w:rPr>
                <w:sz w:val="12"/>
                <w:szCs w:val="12"/>
              </w:rPr>
              <w:t>$439</w:t>
            </w:r>
          </w:p>
        </w:tc>
        <w:tc>
          <w:tcPr>
            <w:tcW w:w="0" w:type="auto"/>
            <w:tcBorders>
              <w:top w:val="nil"/>
              <w:left w:val="nil"/>
              <w:bottom w:val="single" w:sz="4" w:space="0" w:color="auto"/>
              <w:right w:val="single" w:sz="4" w:space="0" w:color="auto"/>
            </w:tcBorders>
            <w:shd w:val="clear" w:color="auto" w:fill="auto"/>
            <w:vAlign w:val="center"/>
            <w:hideMark/>
          </w:tcPr>
          <w:p w14:paraId="7D7A15AB"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4F9E2E11" w14:textId="77777777" w:rsidR="00572995" w:rsidRPr="00483EBE" w:rsidRDefault="00572995" w:rsidP="00E8324D">
            <w:pPr>
              <w:pStyle w:val="Tablas"/>
              <w:rPr>
                <w:sz w:val="12"/>
                <w:szCs w:val="12"/>
              </w:rPr>
            </w:pPr>
            <w:r w:rsidRPr="00483EBE">
              <w:rPr>
                <w:sz w:val="12"/>
                <w:szCs w:val="12"/>
              </w:rPr>
              <w:t>SEBD</w:t>
            </w:r>
          </w:p>
        </w:tc>
      </w:tr>
      <w:tr w:rsidR="00572995" w:rsidRPr="00483EBE" w14:paraId="39EE8B0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928FE2"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4FA6A9E5" w14:textId="77777777" w:rsidR="00572995" w:rsidRPr="00483EBE" w:rsidRDefault="00572995" w:rsidP="00E8324D">
            <w:pPr>
              <w:pStyle w:val="Tablas"/>
              <w:rPr>
                <w:sz w:val="12"/>
                <w:szCs w:val="12"/>
              </w:rPr>
            </w:pPr>
            <w:r w:rsidRPr="00483EBE">
              <w:rPr>
                <w:sz w:val="12"/>
                <w:szCs w:val="12"/>
              </w:rPr>
              <w:t xml:space="preserve">410 </w:t>
            </w:r>
          </w:p>
        </w:tc>
        <w:tc>
          <w:tcPr>
            <w:tcW w:w="0" w:type="auto"/>
            <w:tcBorders>
              <w:top w:val="nil"/>
              <w:left w:val="nil"/>
              <w:bottom w:val="single" w:sz="4" w:space="0" w:color="auto"/>
              <w:right w:val="single" w:sz="4" w:space="0" w:color="auto"/>
            </w:tcBorders>
            <w:shd w:val="clear" w:color="auto" w:fill="auto"/>
            <w:vAlign w:val="center"/>
            <w:hideMark/>
          </w:tcPr>
          <w:p w14:paraId="47D08A09" w14:textId="77777777" w:rsidR="00572995" w:rsidRPr="00483EBE" w:rsidRDefault="00572995" w:rsidP="00E8324D">
            <w:pPr>
              <w:pStyle w:val="Tablas"/>
              <w:rPr>
                <w:sz w:val="12"/>
                <w:szCs w:val="12"/>
              </w:rPr>
            </w:pPr>
            <w:r w:rsidRPr="00483EBE">
              <w:rPr>
                <w:sz w:val="12"/>
                <w:szCs w:val="12"/>
              </w:rPr>
              <w:t>$2,044,266</w:t>
            </w:r>
          </w:p>
        </w:tc>
        <w:tc>
          <w:tcPr>
            <w:tcW w:w="0" w:type="auto"/>
            <w:tcBorders>
              <w:top w:val="nil"/>
              <w:left w:val="nil"/>
              <w:bottom w:val="single" w:sz="4" w:space="0" w:color="auto"/>
              <w:right w:val="single" w:sz="4" w:space="0" w:color="auto"/>
            </w:tcBorders>
            <w:shd w:val="clear" w:color="auto" w:fill="auto"/>
            <w:vAlign w:val="center"/>
            <w:hideMark/>
          </w:tcPr>
          <w:p w14:paraId="264C5EED" w14:textId="77777777" w:rsidR="00572995" w:rsidRPr="00483EBE" w:rsidRDefault="00572995" w:rsidP="00E8324D">
            <w:pPr>
              <w:pStyle w:val="Tablas"/>
              <w:rPr>
                <w:sz w:val="12"/>
                <w:szCs w:val="12"/>
              </w:rPr>
            </w:pPr>
            <w:r w:rsidRPr="00483EBE">
              <w:rPr>
                <w:sz w:val="12"/>
                <w:szCs w:val="12"/>
              </w:rPr>
              <w:t>$4,986</w:t>
            </w:r>
          </w:p>
        </w:tc>
        <w:tc>
          <w:tcPr>
            <w:tcW w:w="0" w:type="auto"/>
            <w:tcBorders>
              <w:top w:val="nil"/>
              <w:left w:val="nil"/>
              <w:bottom w:val="single" w:sz="4" w:space="0" w:color="auto"/>
              <w:right w:val="single" w:sz="4" w:space="0" w:color="auto"/>
            </w:tcBorders>
            <w:shd w:val="clear" w:color="auto" w:fill="auto"/>
            <w:vAlign w:val="center"/>
            <w:hideMark/>
          </w:tcPr>
          <w:p w14:paraId="5AE273E7" w14:textId="77777777" w:rsidR="00572995" w:rsidRPr="00483EBE" w:rsidRDefault="00572995" w:rsidP="00E8324D">
            <w:pPr>
              <w:pStyle w:val="Tablas"/>
              <w:rPr>
                <w:sz w:val="12"/>
                <w:szCs w:val="12"/>
              </w:rPr>
            </w:pPr>
            <w:r w:rsidRPr="00483EBE">
              <w:rPr>
                <w:sz w:val="12"/>
                <w:szCs w:val="12"/>
              </w:rPr>
              <w:t>$416</w:t>
            </w:r>
          </w:p>
        </w:tc>
        <w:tc>
          <w:tcPr>
            <w:tcW w:w="0" w:type="auto"/>
            <w:tcBorders>
              <w:top w:val="nil"/>
              <w:left w:val="nil"/>
              <w:bottom w:val="single" w:sz="4" w:space="0" w:color="auto"/>
              <w:right w:val="single" w:sz="4" w:space="0" w:color="auto"/>
            </w:tcBorders>
            <w:shd w:val="clear" w:color="auto" w:fill="auto"/>
            <w:vAlign w:val="center"/>
            <w:hideMark/>
          </w:tcPr>
          <w:p w14:paraId="3C853B89"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5E49CF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B243E5"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61E38CAB" w14:textId="77777777" w:rsidR="00572995" w:rsidRPr="00483EBE" w:rsidRDefault="00572995" w:rsidP="00E8324D">
            <w:pPr>
              <w:pStyle w:val="Tablas"/>
              <w:rPr>
                <w:sz w:val="12"/>
                <w:szCs w:val="12"/>
              </w:rPr>
            </w:pPr>
            <w:r w:rsidRPr="00483EBE">
              <w:rPr>
                <w:sz w:val="12"/>
                <w:szCs w:val="12"/>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14:paraId="71986C36" w14:textId="77777777" w:rsidR="00572995" w:rsidRPr="00483EBE" w:rsidRDefault="00572995" w:rsidP="00E8324D">
            <w:pPr>
              <w:pStyle w:val="Tablas"/>
              <w:rPr>
                <w:sz w:val="12"/>
                <w:szCs w:val="12"/>
              </w:rPr>
            </w:pPr>
            <w:r w:rsidRPr="00483EBE">
              <w:rPr>
                <w:sz w:val="12"/>
                <w:szCs w:val="12"/>
              </w:rPr>
              <w:t>$601,827</w:t>
            </w:r>
          </w:p>
        </w:tc>
        <w:tc>
          <w:tcPr>
            <w:tcW w:w="0" w:type="auto"/>
            <w:tcBorders>
              <w:top w:val="nil"/>
              <w:left w:val="nil"/>
              <w:bottom w:val="single" w:sz="4" w:space="0" w:color="auto"/>
              <w:right w:val="single" w:sz="4" w:space="0" w:color="auto"/>
            </w:tcBorders>
            <w:shd w:val="clear" w:color="auto" w:fill="auto"/>
            <w:vAlign w:val="center"/>
            <w:hideMark/>
          </w:tcPr>
          <w:p w14:paraId="7F7C49A0" w14:textId="77777777" w:rsidR="00572995" w:rsidRPr="00483EBE" w:rsidRDefault="00572995" w:rsidP="00E8324D">
            <w:pPr>
              <w:pStyle w:val="Tablas"/>
              <w:rPr>
                <w:sz w:val="12"/>
                <w:szCs w:val="12"/>
              </w:rPr>
            </w:pPr>
            <w:r w:rsidRPr="00483EBE">
              <w:rPr>
                <w:sz w:val="12"/>
                <w:szCs w:val="12"/>
              </w:rPr>
              <w:t>$5,015</w:t>
            </w:r>
          </w:p>
        </w:tc>
        <w:tc>
          <w:tcPr>
            <w:tcW w:w="0" w:type="auto"/>
            <w:tcBorders>
              <w:top w:val="nil"/>
              <w:left w:val="nil"/>
              <w:bottom w:val="single" w:sz="4" w:space="0" w:color="auto"/>
              <w:right w:val="single" w:sz="4" w:space="0" w:color="auto"/>
            </w:tcBorders>
            <w:shd w:val="clear" w:color="auto" w:fill="auto"/>
            <w:vAlign w:val="center"/>
            <w:hideMark/>
          </w:tcPr>
          <w:p w14:paraId="5E21829F" w14:textId="77777777" w:rsidR="00572995" w:rsidRPr="00483EBE" w:rsidRDefault="00572995" w:rsidP="00E8324D">
            <w:pPr>
              <w:pStyle w:val="Tablas"/>
              <w:rPr>
                <w:sz w:val="12"/>
                <w:szCs w:val="12"/>
              </w:rPr>
            </w:pPr>
            <w:r w:rsidRPr="00483EBE">
              <w:rPr>
                <w:sz w:val="12"/>
                <w:szCs w:val="12"/>
              </w:rPr>
              <w:t>$418</w:t>
            </w:r>
          </w:p>
        </w:tc>
        <w:tc>
          <w:tcPr>
            <w:tcW w:w="0" w:type="auto"/>
            <w:tcBorders>
              <w:top w:val="nil"/>
              <w:left w:val="nil"/>
              <w:bottom w:val="single" w:sz="4" w:space="0" w:color="auto"/>
              <w:right w:val="single" w:sz="4" w:space="0" w:color="auto"/>
            </w:tcBorders>
            <w:shd w:val="clear" w:color="auto" w:fill="auto"/>
            <w:vAlign w:val="center"/>
            <w:hideMark/>
          </w:tcPr>
          <w:p w14:paraId="469D0592"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10EB9CE4" w14:textId="77777777" w:rsidR="00572995" w:rsidRPr="00483EBE" w:rsidRDefault="00572995" w:rsidP="00E8324D">
            <w:pPr>
              <w:pStyle w:val="Tablas"/>
              <w:rPr>
                <w:sz w:val="12"/>
                <w:szCs w:val="12"/>
              </w:rPr>
            </w:pPr>
            <w:r w:rsidRPr="00483EBE">
              <w:rPr>
                <w:sz w:val="12"/>
                <w:szCs w:val="12"/>
              </w:rPr>
              <w:t>SEBD</w:t>
            </w:r>
          </w:p>
        </w:tc>
      </w:tr>
      <w:tr w:rsidR="00572995" w:rsidRPr="00483EBE" w14:paraId="655706B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5962B8"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32CDD05" w14:textId="77777777" w:rsidR="00572995" w:rsidRPr="00483EBE" w:rsidRDefault="00572995" w:rsidP="00E8324D">
            <w:pPr>
              <w:pStyle w:val="Tablas"/>
              <w:rPr>
                <w:sz w:val="12"/>
                <w:szCs w:val="12"/>
              </w:rPr>
            </w:pPr>
            <w:r w:rsidRPr="00483EBE">
              <w:rPr>
                <w:sz w:val="12"/>
                <w:szCs w:val="12"/>
              </w:rPr>
              <w:t xml:space="preserve">326 </w:t>
            </w:r>
          </w:p>
        </w:tc>
        <w:tc>
          <w:tcPr>
            <w:tcW w:w="0" w:type="auto"/>
            <w:tcBorders>
              <w:top w:val="nil"/>
              <w:left w:val="nil"/>
              <w:bottom w:val="single" w:sz="4" w:space="0" w:color="auto"/>
              <w:right w:val="single" w:sz="4" w:space="0" w:color="auto"/>
            </w:tcBorders>
            <w:shd w:val="clear" w:color="auto" w:fill="auto"/>
            <w:vAlign w:val="center"/>
            <w:hideMark/>
          </w:tcPr>
          <w:p w14:paraId="1B280127" w14:textId="77777777" w:rsidR="00572995" w:rsidRPr="00483EBE" w:rsidRDefault="00572995" w:rsidP="00E8324D">
            <w:pPr>
              <w:pStyle w:val="Tablas"/>
              <w:rPr>
                <w:sz w:val="12"/>
                <w:szCs w:val="12"/>
              </w:rPr>
            </w:pPr>
            <w:r w:rsidRPr="00483EBE">
              <w:rPr>
                <w:sz w:val="12"/>
                <w:szCs w:val="12"/>
              </w:rPr>
              <w:t>$1,568,524</w:t>
            </w:r>
          </w:p>
        </w:tc>
        <w:tc>
          <w:tcPr>
            <w:tcW w:w="0" w:type="auto"/>
            <w:tcBorders>
              <w:top w:val="nil"/>
              <w:left w:val="nil"/>
              <w:bottom w:val="single" w:sz="4" w:space="0" w:color="auto"/>
              <w:right w:val="single" w:sz="4" w:space="0" w:color="auto"/>
            </w:tcBorders>
            <w:shd w:val="clear" w:color="auto" w:fill="auto"/>
            <w:vAlign w:val="center"/>
            <w:hideMark/>
          </w:tcPr>
          <w:p w14:paraId="68C10437" w14:textId="77777777" w:rsidR="00572995" w:rsidRPr="00483EBE" w:rsidRDefault="00572995" w:rsidP="00E8324D">
            <w:pPr>
              <w:pStyle w:val="Tablas"/>
              <w:rPr>
                <w:sz w:val="12"/>
                <w:szCs w:val="12"/>
              </w:rPr>
            </w:pPr>
            <w:r w:rsidRPr="00483EBE">
              <w:rPr>
                <w:sz w:val="12"/>
                <w:szCs w:val="12"/>
              </w:rPr>
              <w:t>$4,811</w:t>
            </w:r>
          </w:p>
        </w:tc>
        <w:tc>
          <w:tcPr>
            <w:tcW w:w="0" w:type="auto"/>
            <w:tcBorders>
              <w:top w:val="nil"/>
              <w:left w:val="nil"/>
              <w:bottom w:val="single" w:sz="4" w:space="0" w:color="auto"/>
              <w:right w:val="single" w:sz="4" w:space="0" w:color="auto"/>
            </w:tcBorders>
            <w:shd w:val="clear" w:color="auto" w:fill="auto"/>
            <w:vAlign w:val="center"/>
            <w:hideMark/>
          </w:tcPr>
          <w:p w14:paraId="4FCBA405" w14:textId="77777777" w:rsidR="00572995" w:rsidRPr="00483EBE" w:rsidRDefault="00572995" w:rsidP="00E8324D">
            <w:pPr>
              <w:pStyle w:val="Tablas"/>
              <w:rPr>
                <w:sz w:val="12"/>
                <w:szCs w:val="12"/>
              </w:rPr>
            </w:pPr>
            <w:r w:rsidRPr="00483EBE">
              <w:rPr>
                <w:sz w:val="12"/>
                <w:szCs w:val="12"/>
              </w:rPr>
              <w:t>$401</w:t>
            </w:r>
          </w:p>
        </w:tc>
        <w:tc>
          <w:tcPr>
            <w:tcW w:w="0" w:type="auto"/>
            <w:tcBorders>
              <w:top w:val="nil"/>
              <w:left w:val="nil"/>
              <w:bottom w:val="single" w:sz="4" w:space="0" w:color="auto"/>
              <w:right w:val="single" w:sz="4" w:space="0" w:color="auto"/>
            </w:tcBorders>
            <w:shd w:val="clear" w:color="auto" w:fill="auto"/>
            <w:vAlign w:val="center"/>
            <w:hideMark/>
          </w:tcPr>
          <w:p w14:paraId="52603F30"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5164F9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C23832"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1AF2AF55" w14:textId="77777777" w:rsidR="00572995" w:rsidRPr="00483EBE" w:rsidRDefault="00572995" w:rsidP="00E8324D">
            <w:pPr>
              <w:pStyle w:val="Tablas"/>
              <w:rPr>
                <w:sz w:val="12"/>
                <w:szCs w:val="12"/>
              </w:rPr>
            </w:pPr>
            <w:r w:rsidRPr="00483EBE">
              <w:rPr>
                <w:sz w:val="12"/>
                <w:szCs w:val="12"/>
              </w:rPr>
              <w:t xml:space="preserve">94 </w:t>
            </w:r>
          </w:p>
        </w:tc>
        <w:tc>
          <w:tcPr>
            <w:tcW w:w="0" w:type="auto"/>
            <w:tcBorders>
              <w:top w:val="nil"/>
              <w:left w:val="nil"/>
              <w:bottom w:val="single" w:sz="4" w:space="0" w:color="auto"/>
              <w:right w:val="single" w:sz="4" w:space="0" w:color="auto"/>
            </w:tcBorders>
            <w:shd w:val="clear" w:color="auto" w:fill="auto"/>
            <w:vAlign w:val="center"/>
            <w:hideMark/>
          </w:tcPr>
          <w:p w14:paraId="6B3D0932" w14:textId="77777777" w:rsidR="00572995" w:rsidRPr="00483EBE" w:rsidRDefault="00572995" w:rsidP="00E8324D">
            <w:pPr>
              <w:pStyle w:val="Tablas"/>
              <w:rPr>
                <w:sz w:val="12"/>
                <w:szCs w:val="12"/>
              </w:rPr>
            </w:pPr>
            <w:r w:rsidRPr="00483EBE">
              <w:rPr>
                <w:sz w:val="12"/>
                <w:szCs w:val="12"/>
              </w:rPr>
              <w:t>$505,855</w:t>
            </w:r>
          </w:p>
        </w:tc>
        <w:tc>
          <w:tcPr>
            <w:tcW w:w="0" w:type="auto"/>
            <w:tcBorders>
              <w:top w:val="nil"/>
              <w:left w:val="nil"/>
              <w:bottom w:val="single" w:sz="4" w:space="0" w:color="auto"/>
              <w:right w:val="single" w:sz="4" w:space="0" w:color="auto"/>
            </w:tcBorders>
            <w:shd w:val="clear" w:color="auto" w:fill="auto"/>
            <w:vAlign w:val="center"/>
            <w:hideMark/>
          </w:tcPr>
          <w:p w14:paraId="1F96C1A5" w14:textId="77777777" w:rsidR="00572995" w:rsidRPr="00483EBE" w:rsidRDefault="00572995" w:rsidP="00E8324D">
            <w:pPr>
              <w:pStyle w:val="Tablas"/>
              <w:rPr>
                <w:sz w:val="12"/>
                <w:szCs w:val="12"/>
              </w:rPr>
            </w:pPr>
            <w:r w:rsidRPr="00483EBE">
              <w:rPr>
                <w:sz w:val="12"/>
                <w:szCs w:val="12"/>
              </w:rPr>
              <w:t>$5,381</w:t>
            </w:r>
          </w:p>
        </w:tc>
        <w:tc>
          <w:tcPr>
            <w:tcW w:w="0" w:type="auto"/>
            <w:tcBorders>
              <w:top w:val="nil"/>
              <w:left w:val="nil"/>
              <w:bottom w:val="single" w:sz="4" w:space="0" w:color="auto"/>
              <w:right w:val="single" w:sz="4" w:space="0" w:color="auto"/>
            </w:tcBorders>
            <w:shd w:val="clear" w:color="auto" w:fill="auto"/>
            <w:vAlign w:val="center"/>
            <w:hideMark/>
          </w:tcPr>
          <w:p w14:paraId="758FA1CB" w14:textId="77777777" w:rsidR="00572995" w:rsidRPr="00483EBE" w:rsidRDefault="00572995" w:rsidP="00E8324D">
            <w:pPr>
              <w:pStyle w:val="Tablas"/>
              <w:rPr>
                <w:sz w:val="12"/>
                <w:szCs w:val="12"/>
              </w:rPr>
            </w:pPr>
            <w:r w:rsidRPr="00483EBE">
              <w:rPr>
                <w:sz w:val="12"/>
                <w:szCs w:val="12"/>
              </w:rPr>
              <w:t>$448</w:t>
            </w:r>
          </w:p>
        </w:tc>
        <w:tc>
          <w:tcPr>
            <w:tcW w:w="0" w:type="auto"/>
            <w:tcBorders>
              <w:top w:val="nil"/>
              <w:left w:val="nil"/>
              <w:bottom w:val="single" w:sz="4" w:space="0" w:color="auto"/>
              <w:right w:val="single" w:sz="4" w:space="0" w:color="auto"/>
            </w:tcBorders>
            <w:shd w:val="clear" w:color="auto" w:fill="auto"/>
            <w:vAlign w:val="center"/>
            <w:hideMark/>
          </w:tcPr>
          <w:p w14:paraId="223ED432"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5F5F47EC" w14:textId="77777777" w:rsidR="00572995" w:rsidRPr="00483EBE" w:rsidRDefault="00572995" w:rsidP="00E8324D">
            <w:pPr>
              <w:pStyle w:val="Tablas"/>
              <w:rPr>
                <w:sz w:val="12"/>
                <w:szCs w:val="12"/>
              </w:rPr>
            </w:pPr>
            <w:r w:rsidRPr="00483EBE">
              <w:rPr>
                <w:sz w:val="12"/>
                <w:szCs w:val="12"/>
              </w:rPr>
              <w:t>SEBD</w:t>
            </w:r>
          </w:p>
        </w:tc>
      </w:tr>
      <w:tr w:rsidR="00572995" w:rsidRPr="00483EBE" w14:paraId="2158641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A8ABF6"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1FD9D948" w14:textId="77777777" w:rsidR="00572995" w:rsidRPr="00483EBE" w:rsidRDefault="00572995" w:rsidP="00E8324D">
            <w:pPr>
              <w:pStyle w:val="Tablas"/>
              <w:rPr>
                <w:sz w:val="12"/>
                <w:szCs w:val="12"/>
              </w:rPr>
            </w:pPr>
            <w:r w:rsidRPr="00483EBE">
              <w:rPr>
                <w:sz w:val="12"/>
                <w:szCs w:val="12"/>
              </w:rPr>
              <w:t xml:space="preserve">292 </w:t>
            </w:r>
          </w:p>
        </w:tc>
        <w:tc>
          <w:tcPr>
            <w:tcW w:w="0" w:type="auto"/>
            <w:tcBorders>
              <w:top w:val="nil"/>
              <w:left w:val="nil"/>
              <w:bottom w:val="single" w:sz="4" w:space="0" w:color="auto"/>
              <w:right w:val="single" w:sz="4" w:space="0" w:color="auto"/>
            </w:tcBorders>
            <w:shd w:val="clear" w:color="auto" w:fill="auto"/>
            <w:vAlign w:val="center"/>
            <w:hideMark/>
          </w:tcPr>
          <w:p w14:paraId="03715BA1" w14:textId="77777777" w:rsidR="00572995" w:rsidRPr="00483EBE" w:rsidRDefault="00572995" w:rsidP="00E8324D">
            <w:pPr>
              <w:pStyle w:val="Tablas"/>
              <w:rPr>
                <w:sz w:val="12"/>
                <w:szCs w:val="12"/>
              </w:rPr>
            </w:pPr>
            <w:r w:rsidRPr="00483EBE">
              <w:rPr>
                <w:sz w:val="12"/>
                <w:szCs w:val="12"/>
              </w:rPr>
              <w:t>$1,332,745</w:t>
            </w:r>
          </w:p>
        </w:tc>
        <w:tc>
          <w:tcPr>
            <w:tcW w:w="0" w:type="auto"/>
            <w:tcBorders>
              <w:top w:val="nil"/>
              <w:left w:val="nil"/>
              <w:bottom w:val="single" w:sz="4" w:space="0" w:color="auto"/>
              <w:right w:val="single" w:sz="4" w:space="0" w:color="auto"/>
            </w:tcBorders>
            <w:shd w:val="clear" w:color="auto" w:fill="auto"/>
            <w:vAlign w:val="center"/>
            <w:hideMark/>
          </w:tcPr>
          <w:p w14:paraId="2ED4D301" w14:textId="77777777" w:rsidR="00572995" w:rsidRPr="00483EBE" w:rsidRDefault="00572995" w:rsidP="00E8324D">
            <w:pPr>
              <w:pStyle w:val="Tablas"/>
              <w:rPr>
                <w:sz w:val="12"/>
                <w:szCs w:val="12"/>
              </w:rPr>
            </w:pPr>
            <w:r w:rsidRPr="00483EBE">
              <w:rPr>
                <w:sz w:val="12"/>
                <w:szCs w:val="12"/>
              </w:rPr>
              <w:t>$4,564</w:t>
            </w:r>
          </w:p>
        </w:tc>
        <w:tc>
          <w:tcPr>
            <w:tcW w:w="0" w:type="auto"/>
            <w:tcBorders>
              <w:top w:val="nil"/>
              <w:left w:val="nil"/>
              <w:bottom w:val="single" w:sz="4" w:space="0" w:color="auto"/>
              <w:right w:val="single" w:sz="4" w:space="0" w:color="auto"/>
            </w:tcBorders>
            <w:shd w:val="clear" w:color="auto" w:fill="auto"/>
            <w:vAlign w:val="center"/>
            <w:hideMark/>
          </w:tcPr>
          <w:p w14:paraId="35AFAAF3" w14:textId="77777777" w:rsidR="00572995" w:rsidRPr="00483EBE" w:rsidRDefault="00572995" w:rsidP="00E8324D">
            <w:pPr>
              <w:pStyle w:val="Tablas"/>
              <w:rPr>
                <w:sz w:val="12"/>
                <w:szCs w:val="12"/>
              </w:rPr>
            </w:pPr>
            <w:r w:rsidRPr="00483EBE">
              <w:rPr>
                <w:sz w:val="12"/>
                <w:szCs w:val="12"/>
              </w:rPr>
              <w:t>$380</w:t>
            </w:r>
          </w:p>
        </w:tc>
        <w:tc>
          <w:tcPr>
            <w:tcW w:w="0" w:type="auto"/>
            <w:tcBorders>
              <w:top w:val="nil"/>
              <w:left w:val="nil"/>
              <w:bottom w:val="single" w:sz="4" w:space="0" w:color="auto"/>
              <w:right w:val="single" w:sz="4" w:space="0" w:color="auto"/>
            </w:tcBorders>
            <w:shd w:val="clear" w:color="auto" w:fill="auto"/>
            <w:vAlign w:val="center"/>
            <w:hideMark/>
          </w:tcPr>
          <w:p w14:paraId="2F3E0119"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78BCE73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FFC9C2"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4CEBCCC0" w14:textId="77777777" w:rsidR="00572995" w:rsidRPr="00483EBE" w:rsidRDefault="00572995" w:rsidP="00E8324D">
            <w:pPr>
              <w:pStyle w:val="Tablas"/>
              <w:rPr>
                <w:sz w:val="12"/>
                <w:szCs w:val="12"/>
              </w:rPr>
            </w:pPr>
            <w:r w:rsidRPr="00483EBE">
              <w:rPr>
                <w:sz w:val="12"/>
                <w:szCs w:val="12"/>
              </w:rPr>
              <w:t xml:space="preserve">63 </w:t>
            </w:r>
          </w:p>
        </w:tc>
        <w:tc>
          <w:tcPr>
            <w:tcW w:w="0" w:type="auto"/>
            <w:tcBorders>
              <w:top w:val="nil"/>
              <w:left w:val="nil"/>
              <w:bottom w:val="single" w:sz="4" w:space="0" w:color="auto"/>
              <w:right w:val="single" w:sz="4" w:space="0" w:color="auto"/>
            </w:tcBorders>
            <w:shd w:val="clear" w:color="auto" w:fill="auto"/>
            <w:vAlign w:val="center"/>
            <w:hideMark/>
          </w:tcPr>
          <w:p w14:paraId="0D1AC137" w14:textId="77777777" w:rsidR="00572995" w:rsidRPr="00483EBE" w:rsidRDefault="00572995" w:rsidP="00E8324D">
            <w:pPr>
              <w:pStyle w:val="Tablas"/>
              <w:rPr>
                <w:sz w:val="12"/>
                <w:szCs w:val="12"/>
              </w:rPr>
            </w:pPr>
            <w:r w:rsidRPr="00483EBE">
              <w:rPr>
                <w:sz w:val="12"/>
                <w:szCs w:val="12"/>
              </w:rPr>
              <w:t>$355,300</w:t>
            </w:r>
          </w:p>
        </w:tc>
        <w:tc>
          <w:tcPr>
            <w:tcW w:w="0" w:type="auto"/>
            <w:tcBorders>
              <w:top w:val="nil"/>
              <w:left w:val="nil"/>
              <w:bottom w:val="single" w:sz="4" w:space="0" w:color="auto"/>
              <w:right w:val="single" w:sz="4" w:space="0" w:color="auto"/>
            </w:tcBorders>
            <w:shd w:val="clear" w:color="auto" w:fill="auto"/>
            <w:vAlign w:val="center"/>
            <w:hideMark/>
          </w:tcPr>
          <w:p w14:paraId="56730ED4" w14:textId="77777777" w:rsidR="00572995" w:rsidRPr="00483EBE" w:rsidRDefault="00572995" w:rsidP="00E8324D">
            <w:pPr>
              <w:pStyle w:val="Tablas"/>
              <w:rPr>
                <w:sz w:val="12"/>
                <w:szCs w:val="12"/>
              </w:rPr>
            </w:pPr>
            <w:r w:rsidRPr="00483EBE">
              <w:rPr>
                <w:sz w:val="12"/>
                <w:szCs w:val="12"/>
              </w:rPr>
              <w:t>$5,640</w:t>
            </w:r>
          </w:p>
        </w:tc>
        <w:tc>
          <w:tcPr>
            <w:tcW w:w="0" w:type="auto"/>
            <w:tcBorders>
              <w:top w:val="nil"/>
              <w:left w:val="nil"/>
              <w:bottom w:val="single" w:sz="4" w:space="0" w:color="auto"/>
              <w:right w:val="single" w:sz="4" w:space="0" w:color="auto"/>
            </w:tcBorders>
            <w:shd w:val="clear" w:color="auto" w:fill="auto"/>
            <w:vAlign w:val="center"/>
            <w:hideMark/>
          </w:tcPr>
          <w:p w14:paraId="170CCF88" w14:textId="77777777" w:rsidR="00572995" w:rsidRPr="00483EBE" w:rsidRDefault="00572995" w:rsidP="00E8324D">
            <w:pPr>
              <w:pStyle w:val="Tablas"/>
              <w:rPr>
                <w:sz w:val="12"/>
                <w:szCs w:val="12"/>
              </w:rPr>
            </w:pPr>
            <w:r w:rsidRPr="00483EBE">
              <w:rPr>
                <w:sz w:val="12"/>
                <w:szCs w:val="12"/>
              </w:rPr>
              <w:t>$470</w:t>
            </w:r>
          </w:p>
        </w:tc>
        <w:tc>
          <w:tcPr>
            <w:tcW w:w="0" w:type="auto"/>
            <w:tcBorders>
              <w:top w:val="nil"/>
              <w:left w:val="nil"/>
              <w:bottom w:val="single" w:sz="4" w:space="0" w:color="auto"/>
              <w:right w:val="single" w:sz="4" w:space="0" w:color="auto"/>
            </w:tcBorders>
            <w:shd w:val="clear" w:color="auto" w:fill="auto"/>
            <w:vAlign w:val="center"/>
            <w:hideMark/>
          </w:tcPr>
          <w:p w14:paraId="61825930"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60A47CE6" w14:textId="77777777" w:rsidR="00572995" w:rsidRPr="00483EBE" w:rsidRDefault="00572995" w:rsidP="00E8324D">
            <w:pPr>
              <w:pStyle w:val="Tablas"/>
              <w:rPr>
                <w:sz w:val="12"/>
                <w:szCs w:val="12"/>
              </w:rPr>
            </w:pPr>
            <w:r w:rsidRPr="00483EBE">
              <w:rPr>
                <w:sz w:val="12"/>
                <w:szCs w:val="12"/>
              </w:rPr>
              <w:t>SEBD</w:t>
            </w:r>
          </w:p>
        </w:tc>
      </w:tr>
      <w:tr w:rsidR="00572995" w:rsidRPr="00483EBE" w14:paraId="740EC1F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0391DA"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EFF4272" w14:textId="77777777" w:rsidR="00572995" w:rsidRPr="00483EBE" w:rsidRDefault="00572995" w:rsidP="00E8324D">
            <w:pPr>
              <w:pStyle w:val="Tablas"/>
              <w:rPr>
                <w:sz w:val="12"/>
                <w:szCs w:val="12"/>
              </w:rPr>
            </w:pPr>
            <w:r w:rsidRPr="00483EBE">
              <w:rPr>
                <w:sz w:val="12"/>
                <w:szCs w:val="12"/>
              </w:rPr>
              <w:t xml:space="preserve">242 </w:t>
            </w:r>
          </w:p>
        </w:tc>
        <w:tc>
          <w:tcPr>
            <w:tcW w:w="0" w:type="auto"/>
            <w:tcBorders>
              <w:top w:val="nil"/>
              <w:left w:val="nil"/>
              <w:bottom w:val="single" w:sz="4" w:space="0" w:color="auto"/>
              <w:right w:val="single" w:sz="4" w:space="0" w:color="auto"/>
            </w:tcBorders>
            <w:shd w:val="clear" w:color="auto" w:fill="auto"/>
            <w:vAlign w:val="center"/>
            <w:hideMark/>
          </w:tcPr>
          <w:p w14:paraId="61A4D89E" w14:textId="77777777" w:rsidR="00572995" w:rsidRPr="00483EBE" w:rsidRDefault="00572995" w:rsidP="00E8324D">
            <w:pPr>
              <w:pStyle w:val="Tablas"/>
              <w:rPr>
                <w:sz w:val="12"/>
                <w:szCs w:val="12"/>
              </w:rPr>
            </w:pPr>
            <w:r w:rsidRPr="00483EBE">
              <w:rPr>
                <w:sz w:val="12"/>
                <w:szCs w:val="12"/>
              </w:rPr>
              <w:t>$1,107,726</w:t>
            </w:r>
          </w:p>
        </w:tc>
        <w:tc>
          <w:tcPr>
            <w:tcW w:w="0" w:type="auto"/>
            <w:tcBorders>
              <w:top w:val="nil"/>
              <w:left w:val="nil"/>
              <w:bottom w:val="single" w:sz="4" w:space="0" w:color="auto"/>
              <w:right w:val="single" w:sz="4" w:space="0" w:color="auto"/>
            </w:tcBorders>
            <w:shd w:val="clear" w:color="auto" w:fill="auto"/>
            <w:vAlign w:val="center"/>
            <w:hideMark/>
          </w:tcPr>
          <w:p w14:paraId="0C171100" w14:textId="77777777" w:rsidR="00572995" w:rsidRPr="00483EBE" w:rsidRDefault="00572995" w:rsidP="00E8324D">
            <w:pPr>
              <w:pStyle w:val="Tablas"/>
              <w:rPr>
                <w:sz w:val="12"/>
                <w:szCs w:val="12"/>
              </w:rPr>
            </w:pPr>
            <w:r w:rsidRPr="00483EBE">
              <w:rPr>
                <w:sz w:val="12"/>
                <w:szCs w:val="12"/>
              </w:rPr>
              <w:t>$4,577</w:t>
            </w:r>
          </w:p>
        </w:tc>
        <w:tc>
          <w:tcPr>
            <w:tcW w:w="0" w:type="auto"/>
            <w:tcBorders>
              <w:top w:val="nil"/>
              <w:left w:val="nil"/>
              <w:bottom w:val="single" w:sz="4" w:space="0" w:color="auto"/>
              <w:right w:val="single" w:sz="4" w:space="0" w:color="auto"/>
            </w:tcBorders>
            <w:shd w:val="clear" w:color="auto" w:fill="auto"/>
            <w:vAlign w:val="center"/>
            <w:hideMark/>
          </w:tcPr>
          <w:p w14:paraId="6BF3DA2E" w14:textId="77777777" w:rsidR="00572995" w:rsidRPr="00483EBE" w:rsidRDefault="00572995" w:rsidP="00E8324D">
            <w:pPr>
              <w:pStyle w:val="Tablas"/>
              <w:rPr>
                <w:sz w:val="12"/>
                <w:szCs w:val="12"/>
              </w:rPr>
            </w:pPr>
            <w:r w:rsidRPr="00483EBE">
              <w:rPr>
                <w:sz w:val="12"/>
                <w:szCs w:val="12"/>
              </w:rPr>
              <w:t>$381</w:t>
            </w:r>
          </w:p>
        </w:tc>
        <w:tc>
          <w:tcPr>
            <w:tcW w:w="0" w:type="auto"/>
            <w:tcBorders>
              <w:top w:val="nil"/>
              <w:left w:val="nil"/>
              <w:bottom w:val="single" w:sz="4" w:space="0" w:color="auto"/>
              <w:right w:val="single" w:sz="4" w:space="0" w:color="auto"/>
            </w:tcBorders>
            <w:shd w:val="clear" w:color="auto" w:fill="auto"/>
            <w:vAlign w:val="center"/>
            <w:hideMark/>
          </w:tcPr>
          <w:p w14:paraId="050604DC"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52F51FF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0D95CB2"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4DC5D116"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38F30A37" w14:textId="77777777" w:rsidR="00572995" w:rsidRPr="00483EBE" w:rsidRDefault="00572995" w:rsidP="00E8324D">
            <w:pPr>
              <w:pStyle w:val="Tablas"/>
              <w:rPr>
                <w:sz w:val="12"/>
                <w:szCs w:val="12"/>
              </w:rPr>
            </w:pPr>
            <w:r w:rsidRPr="00483EBE">
              <w:rPr>
                <w:sz w:val="12"/>
                <w:szCs w:val="12"/>
              </w:rPr>
              <w:t>$142,974</w:t>
            </w:r>
          </w:p>
        </w:tc>
        <w:tc>
          <w:tcPr>
            <w:tcW w:w="0" w:type="auto"/>
            <w:tcBorders>
              <w:top w:val="nil"/>
              <w:left w:val="nil"/>
              <w:bottom w:val="single" w:sz="4" w:space="0" w:color="auto"/>
              <w:right w:val="single" w:sz="4" w:space="0" w:color="auto"/>
            </w:tcBorders>
            <w:shd w:val="clear" w:color="auto" w:fill="auto"/>
            <w:vAlign w:val="center"/>
            <w:hideMark/>
          </w:tcPr>
          <w:p w14:paraId="5EDBB5EC" w14:textId="77777777" w:rsidR="00572995" w:rsidRPr="00483EBE" w:rsidRDefault="00572995" w:rsidP="00E8324D">
            <w:pPr>
              <w:pStyle w:val="Tablas"/>
              <w:rPr>
                <w:sz w:val="12"/>
                <w:szCs w:val="12"/>
              </w:rPr>
            </w:pPr>
            <w:r w:rsidRPr="00483EBE">
              <w:rPr>
                <w:sz w:val="12"/>
                <w:szCs w:val="12"/>
              </w:rPr>
              <w:t>$5,295</w:t>
            </w:r>
          </w:p>
        </w:tc>
        <w:tc>
          <w:tcPr>
            <w:tcW w:w="0" w:type="auto"/>
            <w:tcBorders>
              <w:top w:val="nil"/>
              <w:left w:val="nil"/>
              <w:bottom w:val="single" w:sz="4" w:space="0" w:color="auto"/>
              <w:right w:val="single" w:sz="4" w:space="0" w:color="auto"/>
            </w:tcBorders>
            <w:shd w:val="clear" w:color="auto" w:fill="auto"/>
            <w:vAlign w:val="center"/>
            <w:hideMark/>
          </w:tcPr>
          <w:p w14:paraId="2DDF05B0" w14:textId="77777777" w:rsidR="00572995" w:rsidRPr="00483EBE" w:rsidRDefault="00572995" w:rsidP="00E8324D">
            <w:pPr>
              <w:pStyle w:val="Tablas"/>
              <w:rPr>
                <w:sz w:val="12"/>
                <w:szCs w:val="12"/>
              </w:rPr>
            </w:pPr>
            <w:r w:rsidRPr="00483EBE">
              <w:rPr>
                <w:sz w:val="12"/>
                <w:szCs w:val="12"/>
              </w:rPr>
              <w:t>$441</w:t>
            </w:r>
          </w:p>
        </w:tc>
        <w:tc>
          <w:tcPr>
            <w:tcW w:w="0" w:type="auto"/>
            <w:tcBorders>
              <w:top w:val="nil"/>
              <w:left w:val="nil"/>
              <w:bottom w:val="single" w:sz="4" w:space="0" w:color="auto"/>
              <w:right w:val="single" w:sz="4" w:space="0" w:color="auto"/>
            </w:tcBorders>
            <w:shd w:val="clear" w:color="auto" w:fill="auto"/>
            <w:vAlign w:val="center"/>
            <w:hideMark/>
          </w:tcPr>
          <w:p w14:paraId="5FE9FA71"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2E39A229" w14:textId="77777777" w:rsidR="00572995" w:rsidRPr="00483EBE" w:rsidRDefault="00572995" w:rsidP="00E8324D">
            <w:pPr>
              <w:pStyle w:val="Tablas"/>
              <w:rPr>
                <w:sz w:val="12"/>
                <w:szCs w:val="12"/>
              </w:rPr>
            </w:pPr>
            <w:r w:rsidRPr="00483EBE">
              <w:rPr>
                <w:sz w:val="12"/>
                <w:szCs w:val="12"/>
              </w:rPr>
              <w:t>SEBD</w:t>
            </w:r>
          </w:p>
        </w:tc>
      </w:tr>
      <w:tr w:rsidR="00572995" w:rsidRPr="00483EBE" w14:paraId="3BB02F6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339D48"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825C5DF" w14:textId="77777777" w:rsidR="00572995" w:rsidRPr="00483EBE" w:rsidRDefault="00572995" w:rsidP="00E8324D">
            <w:pPr>
              <w:pStyle w:val="Tablas"/>
              <w:rPr>
                <w:sz w:val="12"/>
                <w:szCs w:val="12"/>
              </w:rPr>
            </w:pPr>
            <w:r w:rsidRPr="00483EBE">
              <w:rPr>
                <w:sz w:val="12"/>
                <w:szCs w:val="12"/>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C24D973" w14:textId="77777777" w:rsidR="00572995" w:rsidRPr="00483EBE" w:rsidRDefault="00572995" w:rsidP="00E8324D">
            <w:pPr>
              <w:pStyle w:val="Tablas"/>
              <w:rPr>
                <w:sz w:val="12"/>
                <w:szCs w:val="12"/>
              </w:rPr>
            </w:pPr>
            <w:r w:rsidRPr="00483EBE">
              <w:rPr>
                <w:sz w:val="12"/>
                <w:szCs w:val="12"/>
              </w:rPr>
              <w:t>$946,930</w:t>
            </w:r>
          </w:p>
        </w:tc>
        <w:tc>
          <w:tcPr>
            <w:tcW w:w="0" w:type="auto"/>
            <w:tcBorders>
              <w:top w:val="nil"/>
              <w:left w:val="nil"/>
              <w:bottom w:val="single" w:sz="4" w:space="0" w:color="auto"/>
              <w:right w:val="single" w:sz="4" w:space="0" w:color="auto"/>
            </w:tcBorders>
            <w:shd w:val="clear" w:color="auto" w:fill="auto"/>
            <w:vAlign w:val="center"/>
            <w:hideMark/>
          </w:tcPr>
          <w:p w14:paraId="6CB6D7A8" w14:textId="77777777" w:rsidR="00572995" w:rsidRPr="00483EBE" w:rsidRDefault="00572995" w:rsidP="00E8324D">
            <w:pPr>
              <w:pStyle w:val="Tablas"/>
              <w:rPr>
                <w:sz w:val="12"/>
                <w:szCs w:val="12"/>
              </w:rPr>
            </w:pPr>
            <w:r w:rsidRPr="00483EBE">
              <w:rPr>
                <w:sz w:val="12"/>
                <w:szCs w:val="12"/>
              </w:rPr>
              <w:t>$4,735</w:t>
            </w:r>
          </w:p>
        </w:tc>
        <w:tc>
          <w:tcPr>
            <w:tcW w:w="0" w:type="auto"/>
            <w:tcBorders>
              <w:top w:val="nil"/>
              <w:left w:val="nil"/>
              <w:bottom w:val="single" w:sz="4" w:space="0" w:color="auto"/>
              <w:right w:val="single" w:sz="4" w:space="0" w:color="auto"/>
            </w:tcBorders>
            <w:shd w:val="clear" w:color="auto" w:fill="auto"/>
            <w:vAlign w:val="center"/>
            <w:hideMark/>
          </w:tcPr>
          <w:p w14:paraId="3D7C41CA" w14:textId="77777777" w:rsidR="00572995" w:rsidRPr="00483EBE" w:rsidRDefault="00572995" w:rsidP="00E8324D">
            <w:pPr>
              <w:pStyle w:val="Tablas"/>
              <w:rPr>
                <w:sz w:val="12"/>
                <w:szCs w:val="12"/>
              </w:rPr>
            </w:pPr>
            <w:r w:rsidRPr="00483EBE">
              <w:rPr>
                <w:sz w:val="12"/>
                <w:szCs w:val="12"/>
              </w:rPr>
              <w:t>$395</w:t>
            </w:r>
          </w:p>
        </w:tc>
        <w:tc>
          <w:tcPr>
            <w:tcW w:w="0" w:type="auto"/>
            <w:tcBorders>
              <w:top w:val="nil"/>
              <w:left w:val="nil"/>
              <w:bottom w:val="single" w:sz="4" w:space="0" w:color="auto"/>
              <w:right w:val="single" w:sz="4" w:space="0" w:color="auto"/>
            </w:tcBorders>
            <w:shd w:val="clear" w:color="auto" w:fill="auto"/>
            <w:vAlign w:val="center"/>
            <w:hideMark/>
          </w:tcPr>
          <w:p w14:paraId="62F4C2AA"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62DCDD4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E20FD39"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629F6226"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178541F8" w14:textId="77777777" w:rsidR="00572995" w:rsidRPr="00483EBE" w:rsidRDefault="00572995" w:rsidP="00E8324D">
            <w:pPr>
              <w:pStyle w:val="Tablas"/>
              <w:rPr>
                <w:sz w:val="12"/>
                <w:szCs w:val="12"/>
              </w:rPr>
            </w:pPr>
            <w:r w:rsidRPr="00483EBE">
              <w:rPr>
                <w:sz w:val="12"/>
                <w:szCs w:val="12"/>
              </w:rPr>
              <w:t>$164,099</w:t>
            </w:r>
          </w:p>
        </w:tc>
        <w:tc>
          <w:tcPr>
            <w:tcW w:w="0" w:type="auto"/>
            <w:tcBorders>
              <w:top w:val="nil"/>
              <w:left w:val="nil"/>
              <w:bottom w:val="single" w:sz="4" w:space="0" w:color="auto"/>
              <w:right w:val="single" w:sz="4" w:space="0" w:color="auto"/>
            </w:tcBorders>
            <w:shd w:val="clear" w:color="auto" w:fill="auto"/>
            <w:vAlign w:val="center"/>
            <w:hideMark/>
          </w:tcPr>
          <w:p w14:paraId="6E408BBA" w14:textId="77777777" w:rsidR="00572995" w:rsidRPr="00483EBE" w:rsidRDefault="00572995" w:rsidP="00E8324D">
            <w:pPr>
              <w:pStyle w:val="Tablas"/>
              <w:rPr>
                <w:sz w:val="12"/>
                <w:szCs w:val="12"/>
              </w:rPr>
            </w:pPr>
            <w:r w:rsidRPr="00483EBE">
              <w:rPr>
                <w:sz w:val="12"/>
                <w:szCs w:val="12"/>
              </w:rPr>
              <w:t>$5,470</w:t>
            </w:r>
          </w:p>
        </w:tc>
        <w:tc>
          <w:tcPr>
            <w:tcW w:w="0" w:type="auto"/>
            <w:tcBorders>
              <w:top w:val="nil"/>
              <w:left w:val="nil"/>
              <w:bottom w:val="single" w:sz="4" w:space="0" w:color="auto"/>
              <w:right w:val="single" w:sz="4" w:space="0" w:color="auto"/>
            </w:tcBorders>
            <w:shd w:val="clear" w:color="auto" w:fill="auto"/>
            <w:vAlign w:val="center"/>
            <w:hideMark/>
          </w:tcPr>
          <w:p w14:paraId="3D3D4719" w14:textId="77777777" w:rsidR="00572995" w:rsidRPr="00483EBE" w:rsidRDefault="00572995" w:rsidP="00E8324D">
            <w:pPr>
              <w:pStyle w:val="Tablas"/>
              <w:rPr>
                <w:sz w:val="12"/>
                <w:szCs w:val="12"/>
              </w:rPr>
            </w:pPr>
            <w:r w:rsidRPr="00483EBE">
              <w:rPr>
                <w:sz w:val="12"/>
                <w:szCs w:val="12"/>
              </w:rPr>
              <w:t>$456</w:t>
            </w:r>
          </w:p>
        </w:tc>
        <w:tc>
          <w:tcPr>
            <w:tcW w:w="0" w:type="auto"/>
            <w:tcBorders>
              <w:top w:val="nil"/>
              <w:left w:val="nil"/>
              <w:bottom w:val="single" w:sz="4" w:space="0" w:color="auto"/>
              <w:right w:val="single" w:sz="4" w:space="0" w:color="auto"/>
            </w:tcBorders>
            <w:shd w:val="clear" w:color="auto" w:fill="auto"/>
            <w:vAlign w:val="center"/>
            <w:hideMark/>
          </w:tcPr>
          <w:p w14:paraId="72DD4C8A"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2ECE4EC2" w14:textId="77777777" w:rsidR="00572995" w:rsidRPr="00483EBE" w:rsidRDefault="00572995" w:rsidP="00E8324D">
            <w:pPr>
              <w:pStyle w:val="Tablas"/>
              <w:rPr>
                <w:sz w:val="12"/>
                <w:szCs w:val="12"/>
              </w:rPr>
            </w:pPr>
            <w:r w:rsidRPr="00483EBE">
              <w:rPr>
                <w:sz w:val="12"/>
                <w:szCs w:val="12"/>
              </w:rPr>
              <w:t>SEBD</w:t>
            </w:r>
          </w:p>
        </w:tc>
      </w:tr>
      <w:tr w:rsidR="00572995" w:rsidRPr="00483EBE" w14:paraId="34A9A0F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1188FAF"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64D2F06" w14:textId="77777777" w:rsidR="00572995" w:rsidRPr="00483EBE" w:rsidRDefault="00572995" w:rsidP="00E8324D">
            <w:pPr>
              <w:pStyle w:val="Tablas"/>
              <w:rPr>
                <w:sz w:val="12"/>
                <w:szCs w:val="12"/>
              </w:rPr>
            </w:pPr>
            <w:r w:rsidRPr="00483EBE">
              <w:rPr>
                <w:sz w:val="12"/>
                <w:szCs w:val="12"/>
              </w:rPr>
              <w:t xml:space="preserve">209 </w:t>
            </w:r>
          </w:p>
        </w:tc>
        <w:tc>
          <w:tcPr>
            <w:tcW w:w="0" w:type="auto"/>
            <w:tcBorders>
              <w:top w:val="nil"/>
              <w:left w:val="nil"/>
              <w:bottom w:val="single" w:sz="4" w:space="0" w:color="auto"/>
              <w:right w:val="single" w:sz="4" w:space="0" w:color="auto"/>
            </w:tcBorders>
            <w:shd w:val="clear" w:color="auto" w:fill="auto"/>
            <w:vAlign w:val="center"/>
            <w:hideMark/>
          </w:tcPr>
          <w:p w14:paraId="6A11DC28" w14:textId="77777777" w:rsidR="00572995" w:rsidRPr="00483EBE" w:rsidRDefault="00572995" w:rsidP="00E8324D">
            <w:pPr>
              <w:pStyle w:val="Tablas"/>
              <w:rPr>
                <w:sz w:val="12"/>
                <w:szCs w:val="12"/>
              </w:rPr>
            </w:pPr>
            <w:r w:rsidRPr="00483EBE">
              <w:rPr>
                <w:sz w:val="12"/>
                <w:szCs w:val="12"/>
              </w:rPr>
              <w:t>$1,010,945</w:t>
            </w:r>
          </w:p>
        </w:tc>
        <w:tc>
          <w:tcPr>
            <w:tcW w:w="0" w:type="auto"/>
            <w:tcBorders>
              <w:top w:val="nil"/>
              <w:left w:val="nil"/>
              <w:bottom w:val="single" w:sz="4" w:space="0" w:color="auto"/>
              <w:right w:val="single" w:sz="4" w:space="0" w:color="auto"/>
            </w:tcBorders>
            <w:shd w:val="clear" w:color="auto" w:fill="auto"/>
            <w:vAlign w:val="center"/>
            <w:hideMark/>
          </w:tcPr>
          <w:p w14:paraId="4A37E8B6" w14:textId="77777777" w:rsidR="00572995" w:rsidRPr="00483EBE" w:rsidRDefault="00572995" w:rsidP="00E8324D">
            <w:pPr>
              <w:pStyle w:val="Tablas"/>
              <w:rPr>
                <w:sz w:val="12"/>
                <w:szCs w:val="12"/>
              </w:rPr>
            </w:pPr>
            <w:r w:rsidRPr="00483EBE">
              <w:rPr>
                <w:sz w:val="12"/>
                <w:szCs w:val="12"/>
              </w:rPr>
              <w:t>$4,837</w:t>
            </w:r>
          </w:p>
        </w:tc>
        <w:tc>
          <w:tcPr>
            <w:tcW w:w="0" w:type="auto"/>
            <w:tcBorders>
              <w:top w:val="nil"/>
              <w:left w:val="nil"/>
              <w:bottom w:val="single" w:sz="4" w:space="0" w:color="auto"/>
              <w:right w:val="single" w:sz="4" w:space="0" w:color="auto"/>
            </w:tcBorders>
            <w:shd w:val="clear" w:color="auto" w:fill="auto"/>
            <w:vAlign w:val="center"/>
            <w:hideMark/>
          </w:tcPr>
          <w:p w14:paraId="5DE76376" w14:textId="77777777" w:rsidR="00572995" w:rsidRPr="00483EBE" w:rsidRDefault="00572995" w:rsidP="00E8324D">
            <w:pPr>
              <w:pStyle w:val="Tablas"/>
              <w:rPr>
                <w:sz w:val="12"/>
                <w:szCs w:val="12"/>
              </w:rPr>
            </w:pPr>
            <w:r w:rsidRPr="00483EBE">
              <w:rPr>
                <w:sz w:val="12"/>
                <w:szCs w:val="12"/>
              </w:rPr>
              <w:t>$403</w:t>
            </w:r>
          </w:p>
        </w:tc>
        <w:tc>
          <w:tcPr>
            <w:tcW w:w="0" w:type="auto"/>
            <w:tcBorders>
              <w:top w:val="nil"/>
              <w:left w:val="nil"/>
              <w:bottom w:val="single" w:sz="4" w:space="0" w:color="auto"/>
              <w:right w:val="single" w:sz="4" w:space="0" w:color="auto"/>
            </w:tcBorders>
            <w:shd w:val="clear" w:color="auto" w:fill="auto"/>
            <w:vAlign w:val="center"/>
            <w:hideMark/>
          </w:tcPr>
          <w:p w14:paraId="10DF7B70"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688F3BC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F5DF38"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48814694"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227D7070" w14:textId="77777777" w:rsidR="00572995" w:rsidRPr="00483EBE" w:rsidRDefault="00572995" w:rsidP="00E8324D">
            <w:pPr>
              <w:pStyle w:val="Tablas"/>
              <w:rPr>
                <w:sz w:val="12"/>
                <w:szCs w:val="12"/>
              </w:rPr>
            </w:pPr>
            <w:r w:rsidRPr="00483EBE">
              <w:rPr>
                <w:sz w:val="12"/>
                <w:szCs w:val="12"/>
              </w:rPr>
              <w:t>$122,466</w:t>
            </w:r>
          </w:p>
        </w:tc>
        <w:tc>
          <w:tcPr>
            <w:tcW w:w="0" w:type="auto"/>
            <w:tcBorders>
              <w:top w:val="nil"/>
              <w:left w:val="nil"/>
              <w:bottom w:val="single" w:sz="4" w:space="0" w:color="auto"/>
              <w:right w:val="single" w:sz="4" w:space="0" w:color="auto"/>
            </w:tcBorders>
            <w:shd w:val="clear" w:color="auto" w:fill="auto"/>
            <w:vAlign w:val="center"/>
            <w:hideMark/>
          </w:tcPr>
          <w:p w14:paraId="414F35E7" w14:textId="77777777" w:rsidR="00572995" w:rsidRPr="00483EBE" w:rsidRDefault="00572995" w:rsidP="00E8324D">
            <w:pPr>
              <w:pStyle w:val="Tablas"/>
              <w:rPr>
                <w:sz w:val="12"/>
                <w:szCs w:val="12"/>
              </w:rPr>
            </w:pPr>
            <w:r w:rsidRPr="00483EBE">
              <w:rPr>
                <w:sz w:val="12"/>
                <w:szCs w:val="12"/>
              </w:rPr>
              <w:t>$4,223</w:t>
            </w:r>
          </w:p>
        </w:tc>
        <w:tc>
          <w:tcPr>
            <w:tcW w:w="0" w:type="auto"/>
            <w:tcBorders>
              <w:top w:val="nil"/>
              <w:left w:val="nil"/>
              <w:bottom w:val="single" w:sz="4" w:space="0" w:color="auto"/>
              <w:right w:val="single" w:sz="4" w:space="0" w:color="auto"/>
            </w:tcBorders>
            <w:shd w:val="clear" w:color="auto" w:fill="auto"/>
            <w:vAlign w:val="center"/>
            <w:hideMark/>
          </w:tcPr>
          <w:p w14:paraId="16D3C81F" w14:textId="77777777" w:rsidR="00572995" w:rsidRPr="00483EBE" w:rsidRDefault="00572995" w:rsidP="00E8324D">
            <w:pPr>
              <w:pStyle w:val="Tablas"/>
              <w:rPr>
                <w:sz w:val="12"/>
                <w:szCs w:val="12"/>
              </w:rPr>
            </w:pPr>
            <w:r w:rsidRPr="00483EBE">
              <w:rPr>
                <w:sz w:val="12"/>
                <w:szCs w:val="12"/>
              </w:rPr>
              <w:t>$352</w:t>
            </w:r>
          </w:p>
        </w:tc>
        <w:tc>
          <w:tcPr>
            <w:tcW w:w="0" w:type="auto"/>
            <w:tcBorders>
              <w:top w:val="nil"/>
              <w:left w:val="nil"/>
              <w:bottom w:val="single" w:sz="4" w:space="0" w:color="auto"/>
              <w:right w:val="single" w:sz="4" w:space="0" w:color="auto"/>
            </w:tcBorders>
            <w:shd w:val="clear" w:color="auto" w:fill="auto"/>
            <w:vAlign w:val="center"/>
            <w:hideMark/>
          </w:tcPr>
          <w:p w14:paraId="55B101A3"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0298A2C9" w14:textId="77777777" w:rsidR="00572995" w:rsidRPr="00483EBE" w:rsidRDefault="00572995" w:rsidP="00E8324D">
            <w:pPr>
              <w:pStyle w:val="Tablas"/>
              <w:rPr>
                <w:sz w:val="12"/>
                <w:szCs w:val="12"/>
              </w:rPr>
            </w:pPr>
            <w:r w:rsidRPr="00483EBE">
              <w:rPr>
                <w:sz w:val="12"/>
                <w:szCs w:val="12"/>
              </w:rPr>
              <w:t>SEBD</w:t>
            </w:r>
          </w:p>
        </w:tc>
      </w:tr>
      <w:tr w:rsidR="00572995" w:rsidRPr="00483EBE" w14:paraId="1316FCF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90A9BA"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4ACC236E" w14:textId="77777777" w:rsidR="00572995" w:rsidRPr="00483EBE" w:rsidRDefault="00572995" w:rsidP="00E8324D">
            <w:pPr>
              <w:pStyle w:val="Tablas"/>
              <w:rPr>
                <w:sz w:val="12"/>
                <w:szCs w:val="12"/>
              </w:rPr>
            </w:pPr>
            <w:r w:rsidRPr="00483EBE">
              <w:rPr>
                <w:sz w:val="12"/>
                <w:szCs w:val="12"/>
              </w:rPr>
              <w:t xml:space="preserve">134 </w:t>
            </w:r>
          </w:p>
        </w:tc>
        <w:tc>
          <w:tcPr>
            <w:tcW w:w="0" w:type="auto"/>
            <w:tcBorders>
              <w:top w:val="nil"/>
              <w:left w:val="nil"/>
              <w:bottom w:val="single" w:sz="4" w:space="0" w:color="auto"/>
              <w:right w:val="single" w:sz="4" w:space="0" w:color="auto"/>
            </w:tcBorders>
            <w:shd w:val="clear" w:color="auto" w:fill="auto"/>
            <w:vAlign w:val="center"/>
            <w:hideMark/>
          </w:tcPr>
          <w:p w14:paraId="14780B28" w14:textId="77777777" w:rsidR="00572995" w:rsidRPr="00483EBE" w:rsidRDefault="00572995" w:rsidP="00E8324D">
            <w:pPr>
              <w:pStyle w:val="Tablas"/>
              <w:rPr>
                <w:sz w:val="12"/>
                <w:szCs w:val="12"/>
              </w:rPr>
            </w:pPr>
            <w:r w:rsidRPr="00483EBE">
              <w:rPr>
                <w:sz w:val="12"/>
                <w:szCs w:val="12"/>
              </w:rPr>
              <w:t>$667,366</w:t>
            </w:r>
          </w:p>
        </w:tc>
        <w:tc>
          <w:tcPr>
            <w:tcW w:w="0" w:type="auto"/>
            <w:tcBorders>
              <w:top w:val="nil"/>
              <w:left w:val="nil"/>
              <w:bottom w:val="single" w:sz="4" w:space="0" w:color="auto"/>
              <w:right w:val="single" w:sz="4" w:space="0" w:color="auto"/>
            </w:tcBorders>
            <w:shd w:val="clear" w:color="auto" w:fill="auto"/>
            <w:vAlign w:val="center"/>
            <w:hideMark/>
          </w:tcPr>
          <w:p w14:paraId="5C50A8FD" w14:textId="77777777" w:rsidR="00572995" w:rsidRPr="00483EBE" w:rsidRDefault="00572995" w:rsidP="00E8324D">
            <w:pPr>
              <w:pStyle w:val="Tablas"/>
              <w:rPr>
                <w:sz w:val="12"/>
                <w:szCs w:val="12"/>
              </w:rPr>
            </w:pPr>
            <w:r w:rsidRPr="00483EBE">
              <w:rPr>
                <w:sz w:val="12"/>
                <w:szCs w:val="12"/>
              </w:rPr>
              <w:t>$4,980</w:t>
            </w:r>
          </w:p>
        </w:tc>
        <w:tc>
          <w:tcPr>
            <w:tcW w:w="0" w:type="auto"/>
            <w:tcBorders>
              <w:top w:val="nil"/>
              <w:left w:val="nil"/>
              <w:bottom w:val="single" w:sz="4" w:space="0" w:color="auto"/>
              <w:right w:val="single" w:sz="4" w:space="0" w:color="auto"/>
            </w:tcBorders>
            <w:shd w:val="clear" w:color="auto" w:fill="auto"/>
            <w:vAlign w:val="center"/>
            <w:hideMark/>
          </w:tcPr>
          <w:p w14:paraId="1D6FD93D" w14:textId="77777777" w:rsidR="00572995" w:rsidRPr="00483EBE" w:rsidRDefault="00572995" w:rsidP="00E8324D">
            <w:pPr>
              <w:pStyle w:val="Tablas"/>
              <w:rPr>
                <w:sz w:val="12"/>
                <w:szCs w:val="12"/>
              </w:rPr>
            </w:pPr>
            <w:r w:rsidRPr="00483EBE">
              <w:rPr>
                <w:sz w:val="12"/>
                <w:szCs w:val="12"/>
              </w:rPr>
              <w:t>$415</w:t>
            </w:r>
          </w:p>
        </w:tc>
        <w:tc>
          <w:tcPr>
            <w:tcW w:w="0" w:type="auto"/>
            <w:tcBorders>
              <w:top w:val="nil"/>
              <w:left w:val="nil"/>
              <w:bottom w:val="single" w:sz="4" w:space="0" w:color="auto"/>
              <w:right w:val="single" w:sz="4" w:space="0" w:color="auto"/>
            </w:tcBorders>
            <w:shd w:val="clear" w:color="auto" w:fill="auto"/>
            <w:vAlign w:val="center"/>
            <w:hideMark/>
          </w:tcPr>
          <w:p w14:paraId="66EDBF24"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49CABAF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729ADA"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24AB54DE"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BE3A0EA" w14:textId="77777777" w:rsidR="00572995" w:rsidRPr="00483EBE" w:rsidRDefault="00572995" w:rsidP="00E8324D">
            <w:pPr>
              <w:pStyle w:val="Tablas"/>
              <w:rPr>
                <w:sz w:val="12"/>
                <w:szCs w:val="12"/>
              </w:rPr>
            </w:pPr>
            <w:r w:rsidRPr="00483EBE">
              <w:rPr>
                <w:sz w:val="12"/>
                <w:szCs w:val="12"/>
              </w:rPr>
              <w:t>$17,427</w:t>
            </w:r>
          </w:p>
        </w:tc>
        <w:tc>
          <w:tcPr>
            <w:tcW w:w="0" w:type="auto"/>
            <w:tcBorders>
              <w:top w:val="nil"/>
              <w:left w:val="nil"/>
              <w:bottom w:val="single" w:sz="4" w:space="0" w:color="auto"/>
              <w:right w:val="single" w:sz="4" w:space="0" w:color="auto"/>
            </w:tcBorders>
            <w:shd w:val="clear" w:color="auto" w:fill="auto"/>
            <w:vAlign w:val="center"/>
            <w:hideMark/>
          </w:tcPr>
          <w:p w14:paraId="46A1154D" w14:textId="77777777" w:rsidR="00572995" w:rsidRPr="00483EBE" w:rsidRDefault="00572995" w:rsidP="00E8324D">
            <w:pPr>
              <w:pStyle w:val="Tablas"/>
              <w:rPr>
                <w:sz w:val="12"/>
                <w:szCs w:val="12"/>
              </w:rPr>
            </w:pPr>
            <w:r w:rsidRPr="00483EBE">
              <w:rPr>
                <w:sz w:val="12"/>
                <w:szCs w:val="12"/>
              </w:rPr>
              <w:t>$4,357</w:t>
            </w:r>
          </w:p>
        </w:tc>
        <w:tc>
          <w:tcPr>
            <w:tcW w:w="0" w:type="auto"/>
            <w:tcBorders>
              <w:top w:val="nil"/>
              <w:left w:val="nil"/>
              <w:bottom w:val="single" w:sz="4" w:space="0" w:color="auto"/>
              <w:right w:val="single" w:sz="4" w:space="0" w:color="auto"/>
            </w:tcBorders>
            <w:shd w:val="clear" w:color="auto" w:fill="auto"/>
            <w:vAlign w:val="center"/>
            <w:hideMark/>
          </w:tcPr>
          <w:p w14:paraId="2CBAF680" w14:textId="77777777" w:rsidR="00572995" w:rsidRPr="00483EBE" w:rsidRDefault="00572995" w:rsidP="00E8324D">
            <w:pPr>
              <w:pStyle w:val="Tablas"/>
              <w:rPr>
                <w:sz w:val="12"/>
                <w:szCs w:val="12"/>
              </w:rPr>
            </w:pPr>
            <w:r w:rsidRPr="00483EBE">
              <w:rPr>
                <w:sz w:val="12"/>
                <w:szCs w:val="12"/>
              </w:rPr>
              <w:t>$363</w:t>
            </w:r>
          </w:p>
        </w:tc>
        <w:tc>
          <w:tcPr>
            <w:tcW w:w="0" w:type="auto"/>
            <w:tcBorders>
              <w:top w:val="nil"/>
              <w:left w:val="nil"/>
              <w:bottom w:val="single" w:sz="4" w:space="0" w:color="auto"/>
              <w:right w:val="single" w:sz="4" w:space="0" w:color="auto"/>
            </w:tcBorders>
            <w:shd w:val="clear" w:color="auto" w:fill="auto"/>
            <w:vAlign w:val="center"/>
            <w:hideMark/>
          </w:tcPr>
          <w:p w14:paraId="1B8F69F0"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67DFE311" w14:textId="77777777" w:rsidR="00572995" w:rsidRPr="00483EBE" w:rsidRDefault="00572995" w:rsidP="00E8324D">
            <w:pPr>
              <w:pStyle w:val="Tablas"/>
              <w:rPr>
                <w:sz w:val="12"/>
                <w:szCs w:val="12"/>
              </w:rPr>
            </w:pPr>
            <w:r w:rsidRPr="00483EBE">
              <w:rPr>
                <w:sz w:val="12"/>
                <w:szCs w:val="12"/>
              </w:rPr>
              <w:t>SEBD</w:t>
            </w:r>
          </w:p>
        </w:tc>
      </w:tr>
      <w:tr w:rsidR="00572995" w:rsidRPr="00483EBE" w14:paraId="0A7045C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F23D08"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2F1C3E70" w14:textId="77777777" w:rsidR="00572995" w:rsidRPr="00483EBE" w:rsidRDefault="00572995" w:rsidP="00E8324D">
            <w:pPr>
              <w:pStyle w:val="Tablas"/>
              <w:rPr>
                <w:sz w:val="12"/>
                <w:szCs w:val="12"/>
              </w:rPr>
            </w:pPr>
            <w:r w:rsidRPr="00483EBE">
              <w:rPr>
                <w:sz w:val="12"/>
                <w:szCs w:val="12"/>
              </w:rPr>
              <w:t xml:space="preserve">113 </w:t>
            </w:r>
          </w:p>
        </w:tc>
        <w:tc>
          <w:tcPr>
            <w:tcW w:w="0" w:type="auto"/>
            <w:tcBorders>
              <w:top w:val="nil"/>
              <w:left w:val="nil"/>
              <w:bottom w:val="single" w:sz="4" w:space="0" w:color="auto"/>
              <w:right w:val="single" w:sz="4" w:space="0" w:color="auto"/>
            </w:tcBorders>
            <w:shd w:val="clear" w:color="auto" w:fill="auto"/>
            <w:vAlign w:val="center"/>
            <w:hideMark/>
          </w:tcPr>
          <w:p w14:paraId="69942321" w14:textId="77777777" w:rsidR="00572995" w:rsidRPr="00483EBE" w:rsidRDefault="00572995" w:rsidP="00E8324D">
            <w:pPr>
              <w:pStyle w:val="Tablas"/>
              <w:rPr>
                <w:sz w:val="12"/>
                <w:szCs w:val="12"/>
              </w:rPr>
            </w:pPr>
            <w:r w:rsidRPr="00483EBE">
              <w:rPr>
                <w:sz w:val="12"/>
                <w:szCs w:val="12"/>
              </w:rPr>
              <w:t>$556,177</w:t>
            </w:r>
          </w:p>
        </w:tc>
        <w:tc>
          <w:tcPr>
            <w:tcW w:w="0" w:type="auto"/>
            <w:tcBorders>
              <w:top w:val="nil"/>
              <w:left w:val="nil"/>
              <w:bottom w:val="single" w:sz="4" w:space="0" w:color="auto"/>
              <w:right w:val="single" w:sz="4" w:space="0" w:color="auto"/>
            </w:tcBorders>
            <w:shd w:val="clear" w:color="auto" w:fill="auto"/>
            <w:vAlign w:val="center"/>
            <w:hideMark/>
          </w:tcPr>
          <w:p w14:paraId="73149E06" w14:textId="77777777" w:rsidR="00572995" w:rsidRPr="00483EBE" w:rsidRDefault="00572995" w:rsidP="00E8324D">
            <w:pPr>
              <w:pStyle w:val="Tablas"/>
              <w:rPr>
                <w:sz w:val="12"/>
                <w:szCs w:val="12"/>
              </w:rPr>
            </w:pPr>
            <w:r w:rsidRPr="00483EBE">
              <w:rPr>
                <w:sz w:val="12"/>
                <w:szCs w:val="12"/>
              </w:rPr>
              <w:t>$4,922</w:t>
            </w:r>
          </w:p>
        </w:tc>
        <w:tc>
          <w:tcPr>
            <w:tcW w:w="0" w:type="auto"/>
            <w:tcBorders>
              <w:top w:val="nil"/>
              <w:left w:val="nil"/>
              <w:bottom w:val="single" w:sz="4" w:space="0" w:color="auto"/>
              <w:right w:val="single" w:sz="4" w:space="0" w:color="auto"/>
            </w:tcBorders>
            <w:shd w:val="clear" w:color="auto" w:fill="auto"/>
            <w:vAlign w:val="center"/>
            <w:hideMark/>
          </w:tcPr>
          <w:p w14:paraId="78FF41BD" w14:textId="77777777" w:rsidR="00572995" w:rsidRPr="00483EBE" w:rsidRDefault="00572995" w:rsidP="00E8324D">
            <w:pPr>
              <w:pStyle w:val="Tablas"/>
              <w:rPr>
                <w:sz w:val="12"/>
                <w:szCs w:val="12"/>
              </w:rPr>
            </w:pPr>
            <w:r w:rsidRPr="00483EBE">
              <w:rPr>
                <w:sz w:val="12"/>
                <w:szCs w:val="12"/>
              </w:rPr>
              <w:t>$410</w:t>
            </w:r>
          </w:p>
        </w:tc>
        <w:tc>
          <w:tcPr>
            <w:tcW w:w="0" w:type="auto"/>
            <w:tcBorders>
              <w:top w:val="nil"/>
              <w:left w:val="nil"/>
              <w:bottom w:val="single" w:sz="4" w:space="0" w:color="auto"/>
              <w:right w:val="single" w:sz="4" w:space="0" w:color="auto"/>
            </w:tcBorders>
            <w:shd w:val="clear" w:color="auto" w:fill="auto"/>
            <w:vAlign w:val="center"/>
            <w:hideMark/>
          </w:tcPr>
          <w:p w14:paraId="7389EFB6"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0DBE034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D91168F"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521B3C4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9E4187A" w14:textId="77777777" w:rsidR="00572995" w:rsidRPr="00483EBE" w:rsidRDefault="00572995" w:rsidP="00E8324D">
            <w:pPr>
              <w:pStyle w:val="Tablas"/>
              <w:rPr>
                <w:sz w:val="12"/>
                <w:szCs w:val="12"/>
              </w:rPr>
            </w:pPr>
            <w:r w:rsidRPr="00483EBE">
              <w:rPr>
                <w:sz w:val="12"/>
                <w:szCs w:val="12"/>
              </w:rPr>
              <w:t>$21,494</w:t>
            </w:r>
          </w:p>
        </w:tc>
        <w:tc>
          <w:tcPr>
            <w:tcW w:w="0" w:type="auto"/>
            <w:tcBorders>
              <w:top w:val="nil"/>
              <w:left w:val="nil"/>
              <w:bottom w:val="single" w:sz="4" w:space="0" w:color="auto"/>
              <w:right w:val="single" w:sz="4" w:space="0" w:color="auto"/>
            </w:tcBorders>
            <w:shd w:val="clear" w:color="auto" w:fill="auto"/>
            <w:vAlign w:val="center"/>
            <w:hideMark/>
          </w:tcPr>
          <w:p w14:paraId="3E8BF25D" w14:textId="77777777" w:rsidR="00572995" w:rsidRPr="00483EBE" w:rsidRDefault="00572995" w:rsidP="00E8324D">
            <w:pPr>
              <w:pStyle w:val="Tablas"/>
              <w:rPr>
                <w:sz w:val="12"/>
                <w:szCs w:val="12"/>
              </w:rPr>
            </w:pPr>
            <w:r w:rsidRPr="00483EBE">
              <w:rPr>
                <w:sz w:val="12"/>
                <w:szCs w:val="12"/>
              </w:rPr>
              <w:t>$5,374</w:t>
            </w:r>
          </w:p>
        </w:tc>
        <w:tc>
          <w:tcPr>
            <w:tcW w:w="0" w:type="auto"/>
            <w:tcBorders>
              <w:top w:val="nil"/>
              <w:left w:val="nil"/>
              <w:bottom w:val="single" w:sz="4" w:space="0" w:color="auto"/>
              <w:right w:val="single" w:sz="4" w:space="0" w:color="auto"/>
            </w:tcBorders>
            <w:shd w:val="clear" w:color="auto" w:fill="auto"/>
            <w:vAlign w:val="center"/>
            <w:hideMark/>
          </w:tcPr>
          <w:p w14:paraId="19DD9EF2" w14:textId="77777777" w:rsidR="00572995" w:rsidRPr="00483EBE" w:rsidRDefault="00572995" w:rsidP="00E8324D">
            <w:pPr>
              <w:pStyle w:val="Tablas"/>
              <w:rPr>
                <w:sz w:val="12"/>
                <w:szCs w:val="12"/>
              </w:rPr>
            </w:pPr>
            <w:r w:rsidRPr="00483EBE">
              <w:rPr>
                <w:sz w:val="12"/>
                <w:szCs w:val="12"/>
              </w:rPr>
              <w:t>$448</w:t>
            </w:r>
          </w:p>
        </w:tc>
        <w:tc>
          <w:tcPr>
            <w:tcW w:w="0" w:type="auto"/>
            <w:tcBorders>
              <w:top w:val="nil"/>
              <w:left w:val="nil"/>
              <w:bottom w:val="single" w:sz="4" w:space="0" w:color="auto"/>
              <w:right w:val="single" w:sz="4" w:space="0" w:color="auto"/>
            </w:tcBorders>
            <w:shd w:val="clear" w:color="auto" w:fill="auto"/>
            <w:vAlign w:val="center"/>
            <w:hideMark/>
          </w:tcPr>
          <w:p w14:paraId="6627767D"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12F98BAE" w14:textId="77777777" w:rsidR="00572995" w:rsidRPr="00483EBE" w:rsidRDefault="00572995" w:rsidP="00E8324D">
            <w:pPr>
              <w:pStyle w:val="Tablas"/>
              <w:rPr>
                <w:sz w:val="12"/>
                <w:szCs w:val="12"/>
              </w:rPr>
            </w:pPr>
            <w:r w:rsidRPr="00483EBE">
              <w:rPr>
                <w:sz w:val="12"/>
                <w:szCs w:val="12"/>
              </w:rPr>
              <w:t>SEBD</w:t>
            </w:r>
          </w:p>
        </w:tc>
      </w:tr>
      <w:tr w:rsidR="00572995" w:rsidRPr="00483EBE" w14:paraId="74CAAE3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031227C"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8049DF4" w14:textId="77777777" w:rsidR="00572995" w:rsidRPr="00483EBE" w:rsidRDefault="00572995" w:rsidP="00E8324D">
            <w:pPr>
              <w:pStyle w:val="Tablas"/>
              <w:rPr>
                <w:sz w:val="12"/>
                <w:szCs w:val="12"/>
              </w:rPr>
            </w:pPr>
            <w:r w:rsidRPr="00483EBE">
              <w:rPr>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14:paraId="742C683D" w14:textId="77777777" w:rsidR="00572995" w:rsidRPr="00483EBE" w:rsidRDefault="00572995" w:rsidP="00E8324D">
            <w:pPr>
              <w:pStyle w:val="Tablas"/>
              <w:rPr>
                <w:sz w:val="12"/>
                <w:szCs w:val="12"/>
              </w:rPr>
            </w:pPr>
            <w:r w:rsidRPr="00483EBE">
              <w:rPr>
                <w:sz w:val="12"/>
                <w:szCs w:val="12"/>
              </w:rPr>
              <w:t>$265,111</w:t>
            </w:r>
          </w:p>
        </w:tc>
        <w:tc>
          <w:tcPr>
            <w:tcW w:w="0" w:type="auto"/>
            <w:tcBorders>
              <w:top w:val="nil"/>
              <w:left w:val="nil"/>
              <w:bottom w:val="single" w:sz="4" w:space="0" w:color="auto"/>
              <w:right w:val="single" w:sz="4" w:space="0" w:color="auto"/>
            </w:tcBorders>
            <w:shd w:val="clear" w:color="auto" w:fill="auto"/>
            <w:vAlign w:val="center"/>
            <w:hideMark/>
          </w:tcPr>
          <w:p w14:paraId="66A7DAC1" w14:textId="77777777" w:rsidR="00572995" w:rsidRPr="00483EBE" w:rsidRDefault="00572995" w:rsidP="00E8324D">
            <w:pPr>
              <w:pStyle w:val="Tablas"/>
              <w:rPr>
                <w:sz w:val="12"/>
                <w:szCs w:val="12"/>
              </w:rPr>
            </w:pPr>
            <w:r w:rsidRPr="00483EBE">
              <w:rPr>
                <w:sz w:val="12"/>
                <w:szCs w:val="12"/>
              </w:rPr>
              <w:t>$4,419</w:t>
            </w:r>
          </w:p>
        </w:tc>
        <w:tc>
          <w:tcPr>
            <w:tcW w:w="0" w:type="auto"/>
            <w:tcBorders>
              <w:top w:val="nil"/>
              <w:left w:val="nil"/>
              <w:bottom w:val="single" w:sz="4" w:space="0" w:color="auto"/>
              <w:right w:val="single" w:sz="4" w:space="0" w:color="auto"/>
            </w:tcBorders>
            <w:shd w:val="clear" w:color="auto" w:fill="auto"/>
            <w:vAlign w:val="center"/>
            <w:hideMark/>
          </w:tcPr>
          <w:p w14:paraId="507FFBD9" w14:textId="77777777" w:rsidR="00572995" w:rsidRPr="00483EBE" w:rsidRDefault="00572995" w:rsidP="00E8324D">
            <w:pPr>
              <w:pStyle w:val="Tablas"/>
              <w:rPr>
                <w:sz w:val="12"/>
                <w:szCs w:val="12"/>
              </w:rPr>
            </w:pPr>
            <w:r w:rsidRPr="00483EBE">
              <w:rPr>
                <w:sz w:val="12"/>
                <w:szCs w:val="12"/>
              </w:rPr>
              <w:t>$368</w:t>
            </w:r>
          </w:p>
        </w:tc>
        <w:tc>
          <w:tcPr>
            <w:tcW w:w="0" w:type="auto"/>
            <w:tcBorders>
              <w:top w:val="nil"/>
              <w:left w:val="nil"/>
              <w:bottom w:val="single" w:sz="4" w:space="0" w:color="auto"/>
              <w:right w:val="single" w:sz="4" w:space="0" w:color="auto"/>
            </w:tcBorders>
            <w:shd w:val="clear" w:color="auto" w:fill="auto"/>
            <w:vAlign w:val="center"/>
            <w:hideMark/>
          </w:tcPr>
          <w:p w14:paraId="58ED9696"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2DB6E1C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BFFFDE9"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06BCA81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E894909" w14:textId="77777777" w:rsidR="00572995" w:rsidRPr="00483EBE" w:rsidRDefault="00572995" w:rsidP="00E8324D">
            <w:pPr>
              <w:pStyle w:val="Tablas"/>
              <w:rPr>
                <w:sz w:val="12"/>
                <w:szCs w:val="12"/>
              </w:rPr>
            </w:pPr>
            <w:r w:rsidRPr="00483EBE">
              <w:rPr>
                <w:sz w:val="12"/>
                <w:szCs w:val="12"/>
              </w:rPr>
              <w:t>$4,471</w:t>
            </w:r>
          </w:p>
        </w:tc>
        <w:tc>
          <w:tcPr>
            <w:tcW w:w="0" w:type="auto"/>
            <w:tcBorders>
              <w:top w:val="nil"/>
              <w:left w:val="nil"/>
              <w:bottom w:val="single" w:sz="4" w:space="0" w:color="auto"/>
              <w:right w:val="single" w:sz="4" w:space="0" w:color="auto"/>
            </w:tcBorders>
            <w:shd w:val="clear" w:color="auto" w:fill="auto"/>
            <w:vAlign w:val="center"/>
            <w:hideMark/>
          </w:tcPr>
          <w:p w14:paraId="43C3871B" w14:textId="77777777" w:rsidR="00572995" w:rsidRPr="00483EBE" w:rsidRDefault="00572995" w:rsidP="00E8324D">
            <w:pPr>
              <w:pStyle w:val="Tablas"/>
              <w:rPr>
                <w:sz w:val="12"/>
                <w:szCs w:val="12"/>
              </w:rPr>
            </w:pPr>
            <w:r w:rsidRPr="00483EBE">
              <w:rPr>
                <w:sz w:val="12"/>
                <w:szCs w:val="12"/>
              </w:rPr>
              <w:t>$4,471</w:t>
            </w:r>
          </w:p>
        </w:tc>
        <w:tc>
          <w:tcPr>
            <w:tcW w:w="0" w:type="auto"/>
            <w:tcBorders>
              <w:top w:val="nil"/>
              <w:left w:val="nil"/>
              <w:bottom w:val="single" w:sz="4" w:space="0" w:color="auto"/>
              <w:right w:val="single" w:sz="4" w:space="0" w:color="auto"/>
            </w:tcBorders>
            <w:shd w:val="clear" w:color="auto" w:fill="auto"/>
            <w:vAlign w:val="center"/>
            <w:hideMark/>
          </w:tcPr>
          <w:p w14:paraId="3F22F06C" w14:textId="77777777" w:rsidR="00572995" w:rsidRPr="00483EBE" w:rsidRDefault="00572995" w:rsidP="00E8324D">
            <w:pPr>
              <w:pStyle w:val="Tablas"/>
              <w:rPr>
                <w:sz w:val="12"/>
                <w:szCs w:val="12"/>
              </w:rPr>
            </w:pPr>
            <w:r w:rsidRPr="00483EBE">
              <w:rPr>
                <w:sz w:val="12"/>
                <w:szCs w:val="12"/>
              </w:rPr>
              <w:t>$373</w:t>
            </w:r>
          </w:p>
        </w:tc>
        <w:tc>
          <w:tcPr>
            <w:tcW w:w="0" w:type="auto"/>
            <w:tcBorders>
              <w:top w:val="nil"/>
              <w:left w:val="nil"/>
              <w:bottom w:val="single" w:sz="4" w:space="0" w:color="auto"/>
              <w:right w:val="single" w:sz="4" w:space="0" w:color="auto"/>
            </w:tcBorders>
            <w:shd w:val="clear" w:color="auto" w:fill="auto"/>
            <w:vAlign w:val="center"/>
            <w:hideMark/>
          </w:tcPr>
          <w:p w14:paraId="3A6E425D"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32F4CF8A" w14:textId="77777777" w:rsidR="00572995" w:rsidRPr="00483EBE" w:rsidRDefault="00572995" w:rsidP="00E8324D">
            <w:pPr>
              <w:pStyle w:val="Tablas"/>
              <w:rPr>
                <w:sz w:val="12"/>
                <w:szCs w:val="12"/>
              </w:rPr>
            </w:pPr>
            <w:r w:rsidRPr="00483EBE">
              <w:rPr>
                <w:sz w:val="12"/>
                <w:szCs w:val="12"/>
              </w:rPr>
              <w:t>SEBD</w:t>
            </w:r>
          </w:p>
        </w:tc>
      </w:tr>
      <w:tr w:rsidR="00572995" w:rsidRPr="00483EBE" w14:paraId="5DCC2F7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E8B0A1E" w14:textId="77777777" w:rsidR="00572995" w:rsidRPr="00483EBE" w:rsidRDefault="00572995" w:rsidP="00E8324D">
            <w:pPr>
              <w:pStyle w:val="Tablas"/>
              <w:rPr>
                <w:sz w:val="12"/>
                <w:szCs w:val="12"/>
              </w:rPr>
            </w:pPr>
            <w:r w:rsidRPr="00483EBE">
              <w:rPr>
                <w:sz w:val="12"/>
                <w:szCs w:val="12"/>
              </w:rPr>
              <w:lastRenderedPageBreak/>
              <w:t>94</w:t>
            </w:r>
          </w:p>
        </w:tc>
        <w:tc>
          <w:tcPr>
            <w:tcW w:w="0" w:type="auto"/>
            <w:tcBorders>
              <w:top w:val="nil"/>
              <w:left w:val="nil"/>
              <w:bottom w:val="single" w:sz="4" w:space="0" w:color="auto"/>
              <w:right w:val="single" w:sz="4" w:space="0" w:color="auto"/>
            </w:tcBorders>
            <w:shd w:val="clear" w:color="auto" w:fill="auto"/>
            <w:vAlign w:val="center"/>
            <w:hideMark/>
          </w:tcPr>
          <w:p w14:paraId="570FDDF7" w14:textId="77777777" w:rsidR="00572995" w:rsidRPr="00483EBE" w:rsidRDefault="00572995" w:rsidP="00E8324D">
            <w:pPr>
              <w:pStyle w:val="Tablas"/>
              <w:rPr>
                <w:sz w:val="12"/>
                <w:szCs w:val="12"/>
              </w:rPr>
            </w:pPr>
            <w:r w:rsidRPr="00483EBE">
              <w:rPr>
                <w:sz w:val="12"/>
                <w:szCs w:val="12"/>
              </w:rPr>
              <w:t xml:space="preserve">47 </w:t>
            </w:r>
          </w:p>
        </w:tc>
        <w:tc>
          <w:tcPr>
            <w:tcW w:w="0" w:type="auto"/>
            <w:tcBorders>
              <w:top w:val="nil"/>
              <w:left w:val="nil"/>
              <w:bottom w:val="single" w:sz="4" w:space="0" w:color="auto"/>
              <w:right w:val="single" w:sz="4" w:space="0" w:color="auto"/>
            </w:tcBorders>
            <w:shd w:val="clear" w:color="auto" w:fill="auto"/>
            <w:vAlign w:val="center"/>
            <w:hideMark/>
          </w:tcPr>
          <w:p w14:paraId="16C327FF" w14:textId="77777777" w:rsidR="00572995" w:rsidRPr="00483EBE" w:rsidRDefault="00572995" w:rsidP="00E8324D">
            <w:pPr>
              <w:pStyle w:val="Tablas"/>
              <w:rPr>
                <w:sz w:val="12"/>
                <w:szCs w:val="12"/>
              </w:rPr>
            </w:pPr>
            <w:r w:rsidRPr="00483EBE">
              <w:rPr>
                <w:sz w:val="12"/>
                <w:szCs w:val="12"/>
              </w:rPr>
              <w:t>$183,732</w:t>
            </w:r>
          </w:p>
        </w:tc>
        <w:tc>
          <w:tcPr>
            <w:tcW w:w="0" w:type="auto"/>
            <w:tcBorders>
              <w:top w:val="nil"/>
              <w:left w:val="nil"/>
              <w:bottom w:val="single" w:sz="4" w:space="0" w:color="auto"/>
              <w:right w:val="single" w:sz="4" w:space="0" w:color="auto"/>
            </w:tcBorders>
            <w:shd w:val="clear" w:color="auto" w:fill="auto"/>
            <w:vAlign w:val="center"/>
            <w:hideMark/>
          </w:tcPr>
          <w:p w14:paraId="57E21E41" w14:textId="77777777" w:rsidR="00572995" w:rsidRPr="00483EBE" w:rsidRDefault="00572995" w:rsidP="00E8324D">
            <w:pPr>
              <w:pStyle w:val="Tablas"/>
              <w:rPr>
                <w:sz w:val="12"/>
                <w:szCs w:val="12"/>
              </w:rPr>
            </w:pPr>
            <w:r w:rsidRPr="00483EBE">
              <w:rPr>
                <w:sz w:val="12"/>
                <w:szCs w:val="12"/>
              </w:rPr>
              <w:t>$3,909</w:t>
            </w:r>
          </w:p>
        </w:tc>
        <w:tc>
          <w:tcPr>
            <w:tcW w:w="0" w:type="auto"/>
            <w:tcBorders>
              <w:top w:val="nil"/>
              <w:left w:val="nil"/>
              <w:bottom w:val="single" w:sz="4" w:space="0" w:color="auto"/>
              <w:right w:val="single" w:sz="4" w:space="0" w:color="auto"/>
            </w:tcBorders>
            <w:shd w:val="clear" w:color="auto" w:fill="auto"/>
            <w:vAlign w:val="center"/>
            <w:hideMark/>
          </w:tcPr>
          <w:p w14:paraId="18AF7B6F" w14:textId="77777777" w:rsidR="00572995" w:rsidRPr="00483EBE" w:rsidRDefault="00572995" w:rsidP="00E8324D">
            <w:pPr>
              <w:pStyle w:val="Tablas"/>
              <w:rPr>
                <w:sz w:val="12"/>
                <w:szCs w:val="12"/>
              </w:rPr>
            </w:pPr>
            <w:r w:rsidRPr="00483EBE">
              <w:rPr>
                <w:sz w:val="12"/>
                <w:szCs w:val="12"/>
              </w:rPr>
              <w:t>$326</w:t>
            </w:r>
          </w:p>
        </w:tc>
        <w:tc>
          <w:tcPr>
            <w:tcW w:w="0" w:type="auto"/>
            <w:tcBorders>
              <w:top w:val="nil"/>
              <w:left w:val="nil"/>
              <w:bottom w:val="single" w:sz="4" w:space="0" w:color="auto"/>
              <w:right w:val="single" w:sz="4" w:space="0" w:color="auto"/>
            </w:tcBorders>
            <w:shd w:val="clear" w:color="auto" w:fill="auto"/>
            <w:vAlign w:val="center"/>
            <w:hideMark/>
          </w:tcPr>
          <w:p w14:paraId="1F1F004E"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035B85E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2CD964"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789CAF6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E033AEC" w14:textId="77777777" w:rsidR="00572995" w:rsidRPr="00483EBE" w:rsidRDefault="00572995" w:rsidP="00E8324D">
            <w:pPr>
              <w:pStyle w:val="Tablas"/>
              <w:rPr>
                <w:sz w:val="12"/>
                <w:szCs w:val="12"/>
              </w:rPr>
            </w:pPr>
            <w:r w:rsidRPr="00483EBE">
              <w:rPr>
                <w:sz w:val="12"/>
                <w:szCs w:val="12"/>
              </w:rPr>
              <w:t>$3,763</w:t>
            </w:r>
          </w:p>
        </w:tc>
        <w:tc>
          <w:tcPr>
            <w:tcW w:w="0" w:type="auto"/>
            <w:tcBorders>
              <w:top w:val="nil"/>
              <w:left w:val="nil"/>
              <w:bottom w:val="single" w:sz="4" w:space="0" w:color="auto"/>
              <w:right w:val="single" w:sz="4" w:space="0" w:color="auto"/>
            </w:tcBorders>
            <w:shd w:val="clear" w:color="auto" w:fill="auto"/>
            <w:vAlign w:val="center"/>
            <w:hideMark/>
          </w:tcPr>
          <w:p w14:paraId="4CF8447A" w14:textId="77777777" w:rsidR="00572995" w:rsidRPr="00483EBE" w:rsidRDefault="00572995" w:rsidP="00E8324D">
            <w:pPr>
              <w:pStyle w:val="Tablas"/>
              <w:rPr>
                <w:sz w:val="12"/>
                <w:szCs w:val="12"/>
              </w:rPr>
            </w:pPr>
            <w:r w:rsidRPr="00483EBE">
              <w:rPr>
                <w:sz w:val="12"/>
                <w:szCs w:val="12"/>
              </w:rPr>
              <w:t>$3,763</w:t>
            </w:r>
          </w:p>
        </w:tc>
        <w:tc>
          <w:tcPr>
            <w:tcW w:w="0" w:type="auto"/>
            <w:tcBorders>
              <w:top w:val="nil"/>
              <w:left w:val="nil"/>
              <w:bottom w:val="single" w:sz="4" w:space="0" w:color="auto"/>
              <w:right w:val="single" w:sz="4" w:space="0" w:color="auto"/>
            </w:tcBorders>
            <w:shd w:val="clear" w:color="auto" w:fill="auto"/>
            <w:vAlign w:val="center"/>
            <w:hideMark/>
          </w:tcPr>
          <w:p w14:paraId="6B67E6DE" w14:textId="77777777" w:rsidR="00572995" w:rsidRPr="00483EBE" w:rsidRDefault="00572995" w:rsidP="00E8324D">
            <w:pPr>
              <w:pStyle w:val="Tablas"/>
              <w:rPr>
                <w:sz w:val="12"/>
                <w:szCs w:val="12"/>
              </w:rPr>
            </w:pPr>
            <w:r w:rsidRPr="00483EBE">
              <w:rPr>
                <w:sz w:val="12"/>
                <w:szCs w:val="12"/>
              </w:rPr>
              <w:t>$314</w:t>
            </w:r>
          </w:p>
        </w:tc>
        <w:tc>
          <w:tcPr>
            <w:tcW w:w="0" w:type="auto"/>
            <w:tcBorders>
              <w:top w:val="nil"/>
              <w:left w:val="nil"/>
              <w:bottom w:val="single" w:sz="4" w:space="0" w:color="auto"/>
              <w:right w:val="single" w:sz="4" w:space="0" w:color="auto"/>
            </w:tcBorders>
            <w:shd w:val="clear" w:color="auto" w:fill="auto"/>
            <w:vAlign w:val="center"/>
            <w:hideMark/>
          </w:tcPr>
          <w:p w14:paraId="0C10B7BB"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786535C1" w14:textId="77777777" w:rsidR="00572995" w:rsidRPr="00483EBE" w:rsidRDefault="00572995" w:rsidP="00E8324D">
            <w:pPr>
              <w:pStyle w:val="Tablas"/>
              <w:rPr>
                <w:sz w:val="12"/>
                <w:szCs w:val="12"/>
              </w:rPr>
            </w:pPr>
            <w:r w:rsidRPr="00483EBE">
              <w:rPr>
                <w:sz w:val="12"/>
                <w:szCs w:val="12"/>
              </w:rPr>
              <w:t>SEBD</w:t>
            </w:r>
          </w:p>
        </w:tc>
      </w:tr>
      <w:tr w:rsidR="00572995" w:rsidRPr="00483EBE" w14:paraId="6CDA9F9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46AA58"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1B01ED4E" w14:textId="77777777" w:rsidR="00572995" w:rsidRPr="00483EBE" w:rsidRDefault="00572995" w:rsidP="00E8324D">
            <w:pPr>
              <w:pStyle w:val="Tablas"/>
              <w:rPr>
                <w:sz w:val="12"/>
                <w:szCs w:val="12"/>
              </w:rPr>
            </w:pPr>
            <w:r w:rsidRPr="00483EBE">
              <w:rPr>
                <w:sz w:val="12"/>
                <w:szCs w:val="12"/>
              </w:rPr>
              <w:t xml:space="preserve">53 </w:t>
            </w:r>
          </w:p>
        </w:tc>
        <w:tc>
          <w:tcPr>
            <w:tcW w:w="0" w:type="auto"/>
            <w:tcBorders>
              <w:top w:val="nil"/>
              <w:left w:val="nil"/>
              <w:bottom w:val="single" w:sz="4" w:space="0" w:color="auto"/>
              <w:right w:val="single" w:sz="4" w:space="0" w:color="auto"/>
            </w:tcBorders>
            <w:shd w:val="clear" w:color="auto" w:fill="auto"/>
            <w:vAlign w:val="center"/>
            <w:hideMark/>
          </w:tcPr>
          <w:p w14:paraId="33F97C37" w14:textId="77777777" w:rsidR="00572995" w:rsidRPr="00483EBE" w:rsidRDefault="00572995" w:rsidP="00E8324D">
            <w:pPr>
              <w:pStyle w:val="Tablas"/>
              <w:rPr>
                <w:sz w:val="12"/>
                <w:szCs w:val="12"/>
              </w:rPr>
            </w:pPr>
            <w:r w:rsidRPr="00483EBE">
              <w:rPr>
                <w:sz w:val="12"/>
                <w:szCs w:val="12"/>
              </w:rPr>
              <w:t>$192,502</w:t>
            </w:r>
          </w:p>
        </w:tc>
        <w:tc>
          <w:tcPr>
            <w:tcW w:w="0" w:type="auto"/>
            <w:tcBorders>
              <w:top w:val="nil"/>
              <w:left w:val="nil"/>
              <w:bottom w:val="single" w:sz="4" w:space="0" w:color="auto"/>
              <w:right w:val="single" w:sz="4" w:space="0" w:color="auto"/>
            </w:tcBorders>
            <w:shd w:val="clear" w:color="auto" w:fill="auto"/>
            <w:vAlign w:val="center"/>
            <w:hideMark/>
          </w:tcPr>
          <w:p w14:paraId="051F0A46" w14:textId="77777777" w:rsidR="00572995" w:rsidRPr="00483EBE" w:rsidRDefault="00572995" w:rsidP="00E8324D">
            <w:pPr>
              <w:pStyle w:val="Tablas"/>
              <w:rPr>
                <w:sz w:val="12"/>
                <w:szCs w:val="12"/>
              </w:rPr>
            </w:pPr>
            <w:r w:rsidRPr="00483EBE">
              <w:rPr>
                <w:sz w:val="12"/>
                <w:szCs w:val="12"/>
              </w:rPr>
              <w:t>$3,632</w:t>
            </w:r>
          </w:p>
        </w:tc>
        <w:tc>
          <w:tcPr>
            <w:tcW w:w="0" w:type="auto"/>
            <w:tcBorders>
              <w:top w:val="nil"/>
              <w:left w:val="nil"/>
              <w:bottom w:val="single" w:sz="4" w:space="0" w:color="auto"/>
              <w:right w:val="single" w:sz="4" w:space="0" w:color="auto"/>
            </w:tcBorders>
            <w:shd w:val="clear" w:color="auto" w:fill="auto"/>
            <w:vAlign w:val="center"/>
            <w:hideMark/>
          </w:tcPr>
          <w:p w14:paraId="12D9CD10" w14:textId="77777777" w:rsidR="00572995" w:rsidRPr="00483EBE" w:rsidRDefault="00572995" w:rsidP="00E8324D">
            <w:pPr>
              <w:pStyle w:val="Tablas"/>
              <w:rPr>
                <w:sz w:val="12"/>
                <w:szCs w:val="12"/>
              </w:rPr>
            </w:pPr>
            <w:r w:rsidRPr="00483EBE">
              <w:rPr>
                <w:sz w:val="12"/>
                <w:szCs w:val="12"/>
              </w:rPr>
              <w:t>$303</w:t>
            </w:r>
          </w:p>
        </w:tc>
        <w:tc>
          <w:tcPr>
            <w:tcW w:w="0" w:type="auto"/>
            <w:tcBorders>
              <w:top w:val="nil"/>
              <w:left w:val="nil"/>
              <w:bottom w:val="single" w:sz="4" w:space="0" w:color="auto"/>
              <w:right w:val="single" w:sz="4" w:space="0" w:color="auto"/>
            </w:tcBorders>
            <w:shd w:val="clear" w:color="auto" w:fill="auto"/>
            <w:vAlign w:val="center"/>
            <w:hideMark/>
          </w:tcPr>
          <w:p w14:paraId="489CAA0A"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3D34298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2B2A52"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3403375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A6E3315" w14:textId="77777777" w:rsidR="00572995" w:rsidRPr="00483EBE" w:rsidRDefault="00572995" w:rsidP="00E8324D">
            <w:pPr>
              <w:pStyle w:val="Tablas"/>
              <w:rPr>
                <w:sz w:val="12"/>
                <w:szCs w:val="12"/>
              </w:rPr>
            </w:pPr>
            <w:r w:rsidRPr="00483EBE">
              <w:rPr>
                <w:sz w:val="12"/>
                <w:szCs w:val="12"/>
              </w:rPr>
              <w:t>$2,624</w:t>
            </w:r>
          </w:p>
        </w:tc>
        <w:tc>
          <w:tcPr>
            <w:tcW w:w="0" w:type="auto"/>
            <w:tcBorders>
              <w:top w:val="nil"/>
              <w:left w:val="nil"/>
              <w:bottom w:val="single" w:sz="4" w:space="0" w:color="auto"/>
              <w:right w:val="single" w:sz="4" w:space="0" w:color="auto"/>
            </w:tcBorders>
            <w:shd w:val="clear" w:color="auto" w:fill="auto"/>
            <w:vAlign w:val="center"/>
            <w:hideMark/>
          </w:tcPr>
          <w:p w14:paraId="70AA94DA" w14:textId="77777777" w:rsidR="00572995" w:rsidRPr="00483EBE" w:rsidRDefault="00572995" w:rsidP="00E8324D">
            <w:pPr>
              <w:pStyle w:val="Tablas"/>
              <w:rPr>
                <w:sz w:val="12"/>
                <w:szCs w:val="12"/>
              </w:rPr>
            </w:pPr>
            <w:r w:rsidRPr="00483EBE">
              <w:rPr>
                <w:sz w:val="12"/>
                <w:szCs w:val="12"/>
              </w:rPr>
              <w:t>$2,624</w:t>
            </w:r>
          </w:p>
        </w:tc>
        <w:tc>
          <w:tcPr>
            <w:tcW w:w="0" w:type="auto"/>
            <w:tcBorders>
              <w:top w:val="nil"/>
              <w:left w:val="nil"/>
              <w:bottom w:val="single" w:sz="4" w:space="0" w:color="auto"/>
              <w:right w:val="single" w:sz="4" w:space="0" w:color="auto"/>
            </w:tcBorders>
            <w:shd w:val="clear" w:color="auto" w:fill="auto"/>
            <w:vAlign w:val="center"/>
            <w:hideMark/>
          </w:tcPr>
          <w:p w14:paraId="5B1D6282" w14:textId="77777777" w:rsidR="00572995" w:rsidRPr="00483EBE" w:rsidRDefault="00572995" w:rsidP="00E8324D">
            <w:pPr>
              <w:pStyle w:val="Tablas"/>
              <w:rPr>
                <w:sz w:val="12"/>
                <w:szCs w:val="12"/>
              </w:rPr>
            </w:pPr>
            <w:r w:rsidRPr="00483EBE">
              <w:rPr>
                <w:sz w:val="12"/>
                <w:szCs w:val="12"/>
              </w:rPr>
              <w:t>$219</w:t>
            </w:r>
          </w:p>
        </w:tc>
        <w:tc>
          <w:tcPr>
            <w:tcW w:w="0" w:type="auto"/>
            <w:tcBorders>
              <w:top w:val="nil"/>
              <w:left w:val="nil"/>
              <w:bottom w:val="single" w:sz="4" w:space="0" w:color="auto"/>
              <w:right w:val="single" w:sz="4" w:space="0" w:color="auto"/>
            </w:tcBorders>
            <w:shd w:val="clear" w:color="auto" w:fill="auto"/>
            <w:vAlign w:val="center"/>
            <w:hideMark/>
          </w:tcPr>
          <w:p w14:paraId="1159040C"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1EFD0CA4" w14:textId="77777777" w:rsidR="00572995" w:rsidRPr="00483EBE" w:rsidRDefault="00572995" w:rsidP="00E8324D">
            <w:pPr>
              <w:pStyle w:val="Tablas"/>
              <w:rPr>
                <w:sz w:val="12"/>
                <w:szCs w:val="12"/>
              </w:rPr>
            </w:pPr>
            <w:r w:rsidRPr="00483EBE">
              <w:rPr>
                <w:sz w:val="12"/>
                <w:szCs w:val="12"/>
              </w:rPr>
              <w:t>SEBD</w:t>
            </w:r>
          </w:p>
        </w:tc>
      </w:tr>
      <w:tr w:rsidR="00572995" w:rsidRPr="00483EBE" w14:paraId="7E5B09B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29E7B6"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54AAE1E5" w14:textId="77777777" w:rsidR="00572995" w:rsidRPr="00483EBE" w:rsidRDefault="00572995" w:rsidP="00E8324D">
            <w:pPr>
              <w:pStyle w:val="Tablas"/>
              <w:rPr>
                <w:sz w:val="12"/>
                <w:szCs w:val="12"/>
              </w:rPr>
            </w:pPr>
            <w:r w:rsidRPr="00483EBE">
              <w:rPr>
                <w:sz w:val="12"/>
                <w:szCs w:val="12"/>
              </w:rPr>
              <w:t xml:space="preserve">53 </w:t>
            </w:r>
          </w:p>
        </w:tc>
        <w:tc>
          <w:tcPr>
            <w:tcW w:w="0" w:type="auto"/>
            <w:tcBorders>
              <w:top w:val="nil"/>
              <w:left w:val="nil"/>
              <w:bottom w:val="single" w:sz="4" w:space="0" w:color="auto"/>
              <w:right w:val="single" w:sz="4" w:space="0" w:color="auto"/>
            </w:tcBorders>
            <w:shd w:val="clear" w:color="auto" w:fill="auto"/>
            <w:vAlign w:val="center"/>
            <w:hideMark/>
          </w:tcPr>
          <w:p w14:paraId="3AA8F18C" w14:textId="77777777" w:rsidR="00572995" w:rsidRPr="00483EBE" w:rsidRDefault="00572995" w:rsidP="00E8324D">
            <w:pPr>
              <w:pStyle w:val="Tablas"/>
              <w:rPr>
                <w:sz w:val="12"/>
                <w:szCs w:val="12"/>
              </w:rPr>
            </w:pPr>
            <w:r w:rsidRPr="00483EBE">
              <w:rPr>
                <w:sz w:val="12"/>
                <w:szCs w:val="12"/>
              </w:rPr>
              <w:t>$178,866</w:t>
            </w:r>
          </w:p>
        </w:tc>
        <w:tc>
          <w:tcPr>
            <w:tcW w:w="0" w:type="auto"/>
            <w:tcBorders>
              <w:top w:val="nil"/>
              <w:left w:val="nil"/>
              <w:bottom w:val="single" w:sz="4" w:space="0" w:color="auto"/>
              <w:right w:val="single" w:sz="4" w:space="0" w:color="auto"/>
            </w:tcBorders>
            <w:shd w:val="clear" w:color="auto" w:fill="auto"/>
            <w:vAlign w:val="center"/>
            <w:hideMark/>
          </w:tcPr>
          <w:p w14:paraId="7E475C26" w14:textId="77777777" w:rsidR="00572995" w:rsidRPr="00483EBE" w:rsidRDefault="00572995" w:rsidP="00E8324D">
            <w:pPr>
              <w:pStyle w:val="Tablas"/>
              <w:rPr>
                <w:sz w:val="12"/>
                <w:szCs w:val="12"/>
              </w:rPr>
            </w:pPr>
            <w:r w:rsidRPr="00483EBE">
              <w:rPr>
                <w:sz w:val="12"/>
                <w:szCs w:val="12"/>
              </w:rPr>
              <w:t>$3,375</w:t>
            </w:r>
          </w:p>
        </w:tc>
        <w:tc>
          <w:tcPr>
            <w:tcW w:w="0" w:type="auto"/>
            <w:tcBorders>
              <w:top w:val="nil"/>
              <w:left w:val="nil"/>
              <w:bottom w:val="single" w:sz="4" w:space="0" w:color="auto"/>
              <w:right w:val="single" w:sz="4" w:space="0" w:color="auto"/>
            </w:tcBorders>
            <w:shd w:val="clear" w:color="auto" w:fill="auto"/>
            <w:vAlign w:val="center"/>
            <w:hideMark/>
          </w:tcPr>
          <w:p w14:paraId="12A72B46" w14:textId="77777777" w:rsidR="00572995" w:rsidRPr="00483EBE" w:rsidRDefault="00572995" w:rsidP="00E8324D">
            <w:pPr>
              <w:pStyle w:val="Tablas"/>
              <w:rPr>
                <w:sz w:val="12"/>
                <w:szCs w:val="12"/>
              </w:rPr>
            </w:pPr>
            <w:r w:rsidRPr="00483EBE">
              <w:rPr>
                <w:sz w:val="12"/>
                <w:szCs w:val="12"/>
              </w:rPr>
              <w:t>$281</w:t>
            </w:r>
          </w:p>
        </w:tc>
        <w:tc>
          <w:tcPr>
            <w:tcW w:w="0" w:type="auto"/>
            <w:tcBorders>
              <w:top w:val="nil"/>
              <w:left w:val="nil"/>
              <w:bottom w:val="single" w:sz="4" w:space="0" w:color="auto"/>
              <w:right w:val="single" w:sz="4" w:space="0" w:color="auto"/>
            </w:tcBorders>
            <w:shd w:val="clear" w:color="auto" w:fill="auto"/>
            <w:vAlign w:val="center"/>
            <w:hideMark/>
          </w:tcPr>
          <w:p w14:paraId="3233CD82"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085FCD1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4BD587"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1E4B84A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22C774C"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0EE971C8"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2CBED0F6"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2F6335E6" w14:textId="77777777" w:rsidR="00572995" w:rsidRPr="00483EBE" w:rsidRDefault="00572995" w:rsidP="00E8324D">
            <w:pPr>
              <w:pStyle w:val="Tablas"/>
              <w:rPr>
                <w:sz w:val="12"/>
                <w:szCs w:val="12"/>
              </w:rPr>
            </w:pPr>
            <w:r w:rsidRPr="00483EBE">
              <w:rPr>
                <w:sz w:val="12"/>
                <w:szCs w:val="12"/>
              </w:rPr>
              <w:t>ANTICIPADA HASTA 1992</w:t>
            </w:r>
          </w:p>
        </w:tc>
        <w:tc>
          <w:tcPr>
            <w:tcW w:w="582" w:type="dxa"/>
            <w:tcBorders>
              <w:top w:val="nil"/>
              <w:left w:val="nil"/>
              <w:bottom w:val="single" w:sz="4" w:space="0" w:color="auto"/>
              <w:right w:val="single" w:sz="8" w:space="0" w:color="auto"/>
            </w:tcBorders>
            <w:shd w:val="clear" w:color="auto" w:fill="auto"/>
            <w:vAlign w:val="center"/>
            <w:hideMark/>
          </w:tcPr>
          <w:p w14:paraId="0C178BCE" w14:textId="77777777" w:rsidR="00572995" w:rsidRPr="00483EBE" w:rsidRDefault="00572995" w:rsidP="00E8324D">
            <w:pPr>
              <w:pStyle w:val="Tablas"/>
              <w:rPr>
                <w:sz w:val="12"/>
                <w:szCs w:val="12"/>
              </w:rPr>
            </w:pPr>
            <w:r w:rsidRPr="00483EBE">
              <w:rPr>
                <w:sz w:val="12"/>
                <w:szCs w:val="12"/>
              </w:rPr>
              <w:t>SEBD</w:t>
            </w:r>
          </w:p>
        </w:tc>
      </w:tr>
      <w:tr w:rsidR="00572995" w:rsidRPr="00483EBE" w14:paraId="2CB7A34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591A8CD"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40056DCE"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2B524D8E" w14:textId="77777777" w:rsidR="00572995" w:rsidRPr="00483EBE" w:rsidRDefault="00572995" w:rsidP="00E8324D">
            <w:pPr>
              <w:pStyle w:val="Tablas"/>
              <w:rPr>
                <w:sz w:val="12"/>
                <w:szCs w:val="12"/>
              </w:rPr>
            </w:pPr>
            <w:r w:rsidRPr="00483EBE">
              <w:rPr>
                <w:sz w:val="12"/>
                <w:szCs w:val="12"/>
              </w:rPr>
              <w:t>$117,290</w:t>
            </w:r>
          </w:p>
        </w:tc>
        <w:tc>
          <w:tcPr>
            <w:tcW w:w="0" w:type="auto"/>
            <w:tcBorders>
              <w:top w:val="nil"/>
              <w:left w:val="nil"/>
              <w:bottom w:val="single" w:sz="4" w:space="0" w:color="auto"/>
              <w:right w:val="single" w:sz="4" w:space="0" w:color="auto"/>
            </w:tcBorders>
            <w:shd w:val="clear" w:color="auto" w:fill="auto"/>
            <w:vAlign w:val="center"/>
            <w:hideMark/>
          </w:tcPr>
          <w:p w14:paraId="0F7612A3" w14:textId="77777777" w:rsidR="00572995" w:rsidRPr="00483EBE" w:rsidRDefault="00572995" w:rsidP="00E8324D">
            <w:pPr>
              <w:pStyle w:val="Tablas"/>
              <w:rPr>
                <w:sz w:val="12"/>
                <w:szCs w:val="12"/>
              </w:rPr>
            </w:pPr>
            <w:r w:rsidRPr="00483EBE">
              <w:rPr>
                <w:sz w:val="12"/>
                <w:szCs w:val="12"/>
              </w:rPr>
              <w:t>$3,170</w:t>
            </w:r>
          </w:p>
        </w:tc>
        <w:tc>
          <w:tcPr>
            <w:tcW w:w="0" w:type="auto"/>
            <w:tcBorders>
              <w:top w:val="nil"/>
              <w:left w:val="nil"/>
              <w:bottom w:val="single" w:sz="4" w:space="0" w:color="auto"/>
              <w:right w:val="single" w:sz="4" w:space="0" w:color="auto"/>
            </w:tcBorders>
            <w:shd w:val="clear" w:color="auto" w:fill="auto"/>
            <w:vAlign w:val="center"/>
            <w:hideMark/>
          </w:tcPr>
          <w:p w14:paraId="3FB5A6B8"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36C9C0D4"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74F752A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2A3E4F"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22A549B9" w14:textId="77777777" w:rsidR="00572995" w:rsidRPr="00483EBE" w:rsidRDefault="00572995" w:rsidP="00E8324D">
            <w:pPr>
              <w:pStyle w:val="Tablas"/>
              <w:rPr>
                <w:sz w:val="12"/>
                <w:szCs w:val="12"/>
              </w:rPr>
            </w:pPr>
            <w:r w:rsidRPr="00483EBE">
              <w:rPr>
                <w:sz w:val="12"/>
                <w:szCs w:val="12"/>
              </w:rPr>
              <w:t xml:space="preserve">164 </w:t>
            </w:r>
          </w:p>
        </w:tc>
        <w:tc>
          <w:tcPr>
            <w:tcW w:w="0" w:type="auto"/>
            <w:tcBorders>
              <w:top w:val="nil"/>
              <w:left w:val="nil"/>
              <w:bottom w:val="single" w:sz="4" w:space="0" w:color="auto"/>
              <w:right w:val="single" w:sz="4" w:space="0" w:color="auto"/>
            </w:tcBorders>
            <w:shd w:val="clear" w:color="auto" w:fill="auto"/>
            <w:vAlign w:val="center"/>
            <w:hideMark/>
          </w:tcPr>
          <w:p w14:paraId="3A09FCB3" w14:textId="77777777" w:rsidR="00572995" w:rsidRPr="00483EBE" w:rsidRDefault="00572995" w:rsidP="00E8324D">
            <w:pPr>
              <w:pStyle w:val="Tablas"/>
              <w:rPr>
                <w:sz w:val="12"/>
                <w:szCs w:val="12"/>
              </w:rPr>
            </w:pPr>
            <w:r w:rsidRPr="00483EBE">
              <w:rPr>
                <w:sz w:val="12"/>
                <w:szCs w:val="12"/>
              </w:rPr>
              <w:t>$444,331</w:t>
            </w:r>
          </w:p>
        </w:tc>
        <w:tc>
          <w:tcPr>
            <w:tcW w:w="0" w:type="auto"/>
            <w:tcBorders>
              <w:top w:val="nil"/>
              <w:left w:val="nil"/>
              <w:bottom w:val="single" w:sz="4" w:space="0" w:color="auto"/>
              <w:right w:val="single" w:sz="4" w:space="0" w:color="auto"/>
            </w:tcBorders>
            <w:shd w:val="clear" w:color="auto" w:fill="auto"/>
            <w:vAlign w:val="center"/>
            <w:hideMark/>
          </w:tcPr>
          <w:p w14:paraId="2C30253D" w14:textId="77777777" w:rsidR="00572995" w:rsidRPr="00483EBE" w:rsidRDefault="00572995" w:rsidP="00E8324D">
            <w:pPr>
              <w:pStyle w:val="Tablas"/>
              <w:rPr>
                <w:sz w:val="12"/>
                <w:szCs w:val="12"/>
              </w:rPr>
            </w:pPr>
            <w:r w:rsidRPr="00483EBE">
              <w:rPr>
                <w:sz w:val="12"/>
                <w:szCs w:val="12"/>
              </w:rPr>
              <w:t>$2,709</w:t>
            </w:r>
          </w:p>
        </w:tc>
        <w:tc>
          <w:tcPr>
            <w:tcW w:w="0" w:type="auto"/>
            <w:tcBorders>
              <w:top w:val="nil"/>
              <w:left w:val="nil"/>
              <w:bottom w:val="single" w:sz="4" w:space="0" w:color="auto"/>
              <w:right w:val="single" w:sz="4" w:space="0" w:color="auto"/>
            </w:tcBorders>
            <w:shd w:val="clear" w:color="auto" w:fill="auto"/>
            <w:vAlign w:val="center"/>
            <w:hideMark/>
          </w:tcPr>
          <w:p w14:paraId="4E115034" w14:textId="77777777" w:rsidR="00572995" w:rsidRPr="00483EBE" w:rsidRDefault="00572995" w:rsidP="00E8324D">
            <w:pPr>
              <w:pStyle w:val="Tablas"/>
              <w:rPr>
                <w:sz w:val="12"/>
                <w:szCs w:val="12"/>
              </w:rPr>
            </w:pPr>
            <w:r w:rsidRPr="00483EBE">
              <w:rPr>
                <w:sz w:val="12"/>
                <w:szCs w:val="12"/>
              </w:rPr>
              <w:t>$226</w:t>
            </w:r>
          </w:p>
        </w:tc>
        <w:tc>
          <w:tcPr>
            <w:tcW w:w="0" w:type="auto"/>
            <w:tcBorders>
              <w:top w:val="nil"/>
              <w:left w:val="nil"/>
              <w:bottom w:val="single" w:sz="4" w:space="0" w:color="auto"/>
              <w:right w:val="single" w:sz="4" w:space="0" w:color="auto"/>
            </w:tcBorders>
            <w:shd w:val="clear" w:color="auto" w:fill="auto"/>
            <w:vAlign w:val="center"/>
            <w:hideMark/>
          </w:tcPr>
          <w:p w14:paraId="093EB9D4"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466BB2D0" w14:textId="77777777" w:rsidR="00572995" w:rsidRPr="00483EBE" w:rsidRDefault="00572995" w:rsidP="00E8324D">
            <w:pPr>
              <w:pStyle w:val="Tablas"/>
              <w:rPr>
                <w:sz w:val="12"/>
                <w:szCs w:val="12"/>
              </w:rPr>
            </w:pPr>
            <w:r w:rsidRPr="00483EBE">
              <w:rPr>
                <w:sz w:val="12"/>
                <w:szCs w:val="12"/>
              </w:rPr>
              <w:t>SEBD</w:t>
            </w:r>
          </w:p>
        </w:tc>
      </w:tr>
      <w:tr w:rsidR="00572995" w:rsidRPr="00483EBE" w14:paraId="0C5DF35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BFF290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26D64D76"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06665FC4" w14:textId="77777777" w:rsidR="00572995" w:rsidRPr="00483EBE" w:rsidRDefault="00572995" w:rsidP="00E8324D">
            <w:pPr>
              <w:pStyle w:val="Tablas"/>
              <w:rPr>
                <w:sz w:val="12"/>
                <w:szCs w:val="12"/>
              </w:rPr>
            </w:pPr>
            <w:r w:rsidRPr="00483EBE">
              <w:rPr>
                <w:sz w:val="12"/>
                <w:szCs w:val="12"/>
              </w:rPr>
              <w:t>$99,276</w:t>
            </w:r>
          </w:p>
        </w:tc>
        <w:tc>
          <w:tcPr>
            <w:tcW w:w="0" w:type="auto"/>
            <w:tcBorders>
              <w:top w:val="nil"/>
              <w:left w:val="nil"/>
              <w:bottom w:val="single" w:sz="4" w:space="0" w:color="auto"/>
              <w:right w:val="single" w:sz="4" w:space="0" w:color="auto"/>
            </w:tcBorders>
            <w:shd w:val="clear" w:color="auto" w:fill="auto"/>
            <w:vAlign w:val="center"/>
            <w:hideMark/>
          </w:tcPr>
          <w:p w14:paraId="2074A903" w14:textId="77777777" w:rsidR="00572995" w:rsidRPr="00483EBE" w:rsidRDefault="00572995" w:rsidP="00E8324D">
            <w:pPr>
              <w:pStyle w:val="Tablas"/>
              <w:rPr>
                <w:sz w:val="12"/>
                <w:szCs w:val="12"/>
              </w:rPr>
            </w:pPr>
            <w:r w:rsidRPr="00483EBE">
              <w:rPr>
                <w:sz w:val="12"/>
                <w:szCs w:val="12"/>
              </w:rPr>
              <w:t>$3,008</w:t>
            </w:r>
          </w:p>
        </w:tc>
        <w:tc>
          <w:tcPr>
            <w:tcW w:w="0" w:type="auto"/>
            <w:tcBorders>
              <w:top w:val="nil"/>
              <w:left w:val="nil"/>
              <w:bottom w:val="single" w:sz="4" w:space="0" w:color="auto"/>
              <w:right w:val="single" w:sz="4" w:space="0" w:color="auto"/>
            </w:tcBorders>
            <w:shd w:val="clear" w:color="auto" w:fill="auto"/>
            <w:vAlign w:val="center"/>
            <w:hideMark/>
          </w:tcPr>
          <w:p w14:paraId="3684A485"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19A84049"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66B6EC4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9490F5"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6889BCF3" w14:textId="77777777" w:rsidR="00572995" w:rsidRPr="00483EBE" w:rsidRDefault="00572995" w:rsidP="00E8324D">
            <w:pPr>
              <w:pStyle w:val="Tablas"/>
              <w:rPr>
                <w:sz w:val="12"/>
                <w:szCs w:val="12"/>
              </w:rPr>
            </w:pPr>
            <w:r w:rsidRPr="00483EBE">
              <w:rPr>
                <w:sz w:val="12"/>
                <w:szCs w:val="12"/>
              </w:rPr>
              <w:t xml:space="preserve">344 </w:t>
            </w:r>
          </w:p>
        </w:tc>
        <w:tc>
          <w:tcPr>
            <w:tcW w:w="0" w:type="auto"/>
            <w:tcBorders>
              <w:top w:val="nil"/>
              <w:left w:val="nil"/>
              <w:bottom w:val="single" w:sz="4" w:space="0" w:color="auto"/>
              <w:right w:val="single" w:sz="4" w:space="0" w:color="auto"/>
            </w:tcBorders>
            <w:shd w:val="clear" w:color="auto" w:fill="auto"/>
            <w:vAlign w:val="center"/>
            <w:hideMark/>
          </w:tcPr>
          <w:p w14:paraId="0722AE17" w14:textId="77777777" w:rsidR="00572995" w:rsidRPr="00483EBE" w:rsidRDefault="00572995" w:rsidP="00E8324D">
            <w:pPr>
              <w:pStyle w:val="Tablas"/>
              <w:rPr>
                <w:sz w:val="12"/>
                <w:szCs w:val="12"/>
              </w:rPr>
            </w:pPr>
            <w:r w:rsidRPr="00483EBE">
              <w:rPr>
                <w:sz w:val="12"/>
                <w:szCs w:val="12"/>
              </w:rPr>
              <w:t>$980,871</w:t>
            </w:r>
          </w:p>
        </w:tc>
        <w:tc>
          <w:tcPr>
            <w:tcW w:w="0" w:type="auto"/>
            <w:tcBorders>
              <w:top w:val="nil"/>
              <w:left w:val="nil"/>
              <w:bottom w:val="single" w:sz="4" w:space="0" w:color="auto"/>
              <w:right w:val="single" w:sz="4" w:space="0" w:color="auto"/>
            </w:tcBorders>
            <w:shd w:val="clear" w:color="auto" w:fill="auto"/>
            <w:vAlign w:val="center"/>
            <w:hideMark/>
          </w:tcPr>
          <w:p w14:paraId="587D6CD7" w14:textId="77777777" w:rsidR="00572995" w:rsidRPr="00483EBE" w:rsidRDefault="00572995" w:rsidP="00E8324D">
            <w:pPr>
              <w:pStyle w:val="Tablas"/>
              <w:rPr>
                <w:sz w:val="12"/>
                <w:szCs w:val="12"/>
              </w:rPr>
            </w:pPr>
            <w:r w:rsidRPr="00483EBE">
              <w:rPr>
                <w:sz w:val="12"/>
                <w:szCs w:val="12"/>
              </w:rPr>
              <w:t>$2,851</w:t>
            </w:r>
          </w:p>
        </w:tc>
        <w:tc>
          <w:tcPr>
            <w:tcW w:w="0" w:type="auto"/>
            <w:tcBorders>
              <w:top w:val="nil"/>
              <w:left w:val="nil"/>
              <w:bottom w:val="single" w:sz="4" w:space="0" w:color="auto"/>
              <w:right w:val="single" w:sz="4" w:space="0" w:color="auto"/>
            </w:tcBorders>
            <w:shd w:val="clear" w:color="auto" w:fill="auto"/>
            <w:vAlign w:val="center"/>
            <w:hideMark/>
          </w:tcPr>
          <w:p w14:paraId="5EC54EB1"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5268CD4B"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19988CCA" w14:textId="77777777" w:rsidR="00572995" w:rsidRPr="00483EBE" w:rsidRDefault="00572995" w:rsidP="00E8324D">
            <w:pPr>
              <w:pStyle w:val="Tablas"/>
              <w:rPr>
                <w:sz w:val="12"/>
                <w:szCs w:val="12"/>
              </w:rPr>
            </w:pPr>
            <w:r w:rsidRPr="00483EBE">
              <w:rPr>
                <w:sz w:val="12"/>
                <w:szCs w:val="12"/>
              </w:rPr>
              <w:t>SEBD</w:t>
            </w:r>
          </w:p>
        </w:tc>
      </w:tr>
      <w:tr w:rsidR="00572995" w:rsidRPr="00483EBE" w14:paraId="2366B92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B4DB8F6"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3FBD731C"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61F5C66C" w14:textId="77777777" w:rsidR="00572995" w:rsidRPr="00483EBE" w:rsidRDefault="00572995" w:rsidP="00E8324D">
            <w:pPr>
              <w:pStyle w:val="Tablas"/>
              <w:rPr>
                <w:sz w:val="12"/>
                <w:szCs w:val="12"/>
              </w:rPr>
            </w:pPr>
            <w:r w:rsidRPr="00483EBE">
              <w:rPr>
                <w:sz w:val="12"/>
                <w:szCs w:val="12"/>
              </w:rPr>
              <w:t>$24,171</w:t>
            </w:r>
          </w:p>
        </w:tc>
        <w:tc>
          <w:tcPr>
            <w:tcW w:w="0" w:type="auto"/>
            <w:tcBorders>
              <w:top w:val="nil"/>
              <w:left w:val="nil"/>
              <w:bottom w:val="single" w:sz="4" w:space="0" w:color="auto"/>
              <w:right w:val="single" w:sz="4" w:space="0" w:color="auto"/>
            </w:tcBorders>
            <w:shd w:val="clear" w:color="auto" w:fill="auto"/>
            <w:vAlign w:val="center"/>
            <w:hideMark/>
          </w:tcPr>
          <w:p w14:paraId="2CCA017D" w14:textId="77777777" w:rsidR="00572995" w:rsidRPr="00483EBE" w:rsidRDefault="00572995" w:rsidP="00E8324D">
            <w:pPr>
              <w:pStyle w:val="Tablas"/>
              <w:rPr>
                <w:sz w:val="12"/>
                <w:szCs w:val="12"/>
              </w:rPr>
            </w:pPr>
            <w:r w:rsidRPr="00483EBE">
              <w:rPr>
                <w:sz w:val="12"/>
                <w:szCs w:val="12"/>
              </w:rPr>
              <w:t>$2,686</w:t>
            </w:r>
          </w:p>
        </w:tc>
        <w:tc>
          <w:tcPr>
            <w:tcW w:w="0" w:type="auto"/>
            <w:tcBorders>
              <w:top w:val="nil"/>
              <w:left w:val="nil"/>
              <w:bottom w:val="single" w:sz="4" w:space="0" w:color="auto"/>
              <w:right w:val="single" w:sz="4" w:space="0" w:color="auto"/>
            </w:tcBorders>
            <w:shd w:val="clear" w:color="auto" w:fill="auto"/>
            <w:vAlign w:val="center"/>
            <w:hideMark/>
          </w:tcPr>
          <w:p w14:paraId="5CA7F399" w14:textId="77777777" w:rsidR="00572995" w:rsidRPr="00483EBE" w:rsidRDefault="00572995" w:rsidP="00E8324D">
            <w:pPr>
              <w:pStyle w:val="Tablas"/>
              <w:rPr>
                <w:sz w:val="12"/>
                <w:szCs w:val="12"/>
              </w:rPr>
            </w:pPr>
            <w:r w:rsidRPr="00483EBE">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32391098"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523E732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D49A80"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3737F997" w14:textId="77777777" w:rsidR="00572995" w:rsidRPr="00483EBE" w:rsidRDefault="00572995" w:rsidP="00E8324D">
            <w:pPr>
              <w:pStyle w:val="Tablas"/>
              <w:rPr>
                <w:sz w:val="12"/>
                <w:szCs w:val="12"/>
              </w:rPr>
            </w:pPr>
            <w:r w:rsidRPr="00483EBE">
              <w:rPr>
                <w:sz w:val="12"/>
                <w:szCs w:val="12"/>
              </w:rPr>
              <w:t xml:space="preserve">308 </w:t>
            </w:r>
          </w:p>
        </w:tc>
        <w:tc>
          <w:tcPr>
            <w:tcW w:w="0" w:type="auto"/>
            <w:tcBorders>
              <w:top w:val="nil"/>
              <w:left w:val="nil"/>
              <w:bottom w:val="single" w:sz="4" w:space="0" w:color="auto"/>
              <w:right w:val="single" w:sz="4" w:space="0" w:color="auto"/>
            </w:tcBorders>
            <w:shd w:val="clear" w:color="auto" w:fill="auto"/>
            <w:vAlign w:val="center"/>
            <w:hideMark/>
          </w:tcPr>
          <w:p w14:paraId="796EEE91" w14:textId="77777777" w:rsidR="00572995" w:rsidRPr="00483EBE" w:rsidRDefault="00572995" w:rsidP="00E8324D">
            <w:pPr>
              <w:pStyle w:val="Tablas"/>
              <w:rPr>
                <w:sz w:val="12"/>
                <w:szCs w:val="12"/>
              </w:rPr>
            </w:pPr>
            <w:r w:rsidRPr="00483EBE">
              <w:rPr>
                <w:sz w:val="12"/>
                <w:szCs w:val="12"/>
              </w:rPr>
              <w:t>$940,717</w:t>
            </w:r>
          </w:p>
        </w:tc>
        <w:tc>
          <w:tcPr>
            <w:tcW w:w="0" w:type="auto"/>
            <w:tcBorders>
              <w:top w:val="nil"/>
              <w:left w:val="nil"/>
              <w:bottom w:val="single" w:sz="4" w:space="0" w:color="auto"/>
              <w:right w:val="single" w:sz="4" w:space="0" w:color="auto"/>
            </w:tcBorders>
            <w:shd w:val="clear" w:color="auto" w:fill="auto"/>
            <w:vAlign w:val="center"/>
            <w:hideMark/>
          </w:tcPr>
          <w:p w14:paraId="2FC33347" w14:textId="77777777" w:rsidR="00572995" w:rsidRPr="00483EBE" w:rsidRDefault="00572995" w:rsidP="00E8324D">
            <w:pPr>
              <w:pStyle w:val="Tablas"/>
              <w:rPr>
                <w:sz w:val="12"/>
                <w:szCs w:val="12"/>
              </w:rPr>
            </w:pPr>
            <w:r w:rsidRPr="00483EBE">
              <w:rPr>
                <w:sz w:val="12"/>
                <w:szCs w:val="12"/>
              </w:rPr>
              <w:t>$3,054</w:t>
            </w:r>
          </w:p>
        </w:tc>
        <w:tc>
          <w:tcPr>
            <w:tcW w:w="0" w:type="auto"/>
            <w:tcBorders>
              <w:top w:val="nil"/>
              <w:left w:val="nil"/>
              <w:bottom w:val="single" w:sz="4" w:space="0" w:color="auto"/>
              <w:right w:val="single" w:sz="4" w:space="0" w:color="auto"/>
            </w:tcBorders>
            <w:shd w:val="clear" w:color="auto" w:fill="auto"/>
            <w:vAlign w:val="center"/>
            <w:hideMark/>
          </w:tcPr>
          <w:p w14:paraId="6E92F558" w14:textId="77777777" w:rsidR="00572995" w:rsidRPr="00483EBE" w:rsidRDefault="00572995" w:rsidP="00E8324D">
            <w:pPr>
              <w:pStyle w:val="Tablas"/>
              <w:rPr>
                <w:sz w:val="12"/>
                <w:szCs w:val="12"/>
              </w:rPr>
            </w:pPr>
            <w:r w:rsidRPr="00483EBE">
              <w:rPr>
                <w:sz w:val="12"/>
                <w:szCs w:val="12"/>
              </w:rPr>
              <w:t>$255</w:t>
            </w:r>
          </w:p>
        </w:tc>
        <w:tc>
          <w:tcPr>
            <w:tcW w:w="0" w:type="auto"/>
            <w:tcBorders>
              <w:top w:val="nil"/>
              <w:left w:val="nil"/>
              <w:bottom w:val="single" w:sz="4" w:space="0" w:color="auto"/>
              <w:right w:val="single" w:sz="4" w:space="0" w:color="auto"/>
            </w:tcBorders>
            <w:shd w:val="clear" w:color="auto" w:fill="auto"/>
            <w:vAlign w:val="center"/>
            <w:hideMark/>
          </w:tcPr>
          <w:p w14:paraId="16DB26E9"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70706885" w14:textId="77777777" w:rsidR="00572995" w:rsidRPr="00483EBE" w:rsidRDefault="00572995" w:rsidP="00E8324D">
            <w:pPr>
              <w:pStyle w:val="Tablas"/>
              <w:rPr>
                <w:sz w:val="12"/>
                <w:szCs w:val="12"/>
              </w:rPr>
            </w:pPr>
            <w:r w:rsidRPr="00483EBE">
              <w:rPr>
                <w:sz w:val="12"/>
                <w:szCs w:val="12"/>
              </w:rPr>
              <w:t>SEBD</w:t>
            </w:r>
          </w:p>
        </w:tc>
      </w:tr>
      <w:tr w:rsidR="00572995" w:rsidRPr="00483EBE" w14:paraId="2263FA6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6D9799D"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501B4637"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41617F14" w14:textId="77777777" w:rsidR="00572995" w:rsidRPr="00483EBE" w:rsidRDefault="00572995" w:rsidP="00E8324D">
            <w:pPr>
              <w:pStyle w:val="Tablas"/>
              <w:rPr>
                <w:sz w:val="12"/>
                <w:szCs w:val="12"/>
              </w:rPr>
            </w:pPr>
            <w:r w:rsidRPr="00483EBE">
              <w:rPr>
                <w:sz w:val="12"/>
                <w:szCs w:val="12"/>
              </w:rPr>
              <w:t>$21,165</w:t>
            </w:r>
          </w:p>
        </w:tc>
        <w:tc>
          <w:tcPr>
            <w:tcW w:w="0" w:type="auto"/>
            <w:tcBorders>
              <w:top w:val="nil"/>
              <w:left w:val="nil"/>
              <w:bottom w:val="single" w:sz="4" w:space="0" w:color="auto"/>
              <w:right w:val="single" w:sz="4" w:space="0" w:color="auto"/>
            </w:tcBorders>
            <w:shd w:val="clear" w:color="auto" w:fill="auto"/>
            <w:vAlign w:val="center"/>
            <w:hideMark/>
          </w:tcPr>
          <w:p w14:paraId="5454E699" w14:textId="77777777" w:rsidR="00572995" w:rsidRPr="00483EBE" w:rsidRDefault="00572995" w:rsidP="00E8324D">
            <w:pPr>
              <w:pStyle w:val="Tablas"/>
              <w:rPr>
                <w:sz w:val="12"/>
                <w:szCs w:val="12"/>
              </w:rPr>
            </w:pPr>
            <w:r w:rsidRPr="00483EBE">
              <w:rPr>
                <w:sz w:val="12"/>
                <w:szCs w:val="12"/>
              </w:rPr>
              <w:t>$3,024</w:t>
            </w:r>
          </w:p>
        </w:tc>
        <w:tc>
          <w:tcPr>
            <w:tcW w:w="0" w:type="auto"/>
            <w:tcBorders>
              <w:top w:val="nil"/>
              <w:left w:val="nil"/>
              <w:bottom w:val="single" w:sz="4" w:space="0" w:color="auto"/>
              <w:right w:val="single" w:sz="4" w:space="0" w:color="auto"/>
            </w:tcBorders>
            <w:shd w:val="clear" w:color="auto" w:fill="auto"/>
            <w:vAlign w:val="center"/>
            <w:hideMark/>
          </w:tcPr>
          <w:p w14:paraId="581F6E99" w14:textId="77777777" w:rsidR="00572995" w:rsidRPr="00483EBE" w:rsidRDefault="00572995" w:rsidP="00E8324D">
            <w:pPr>
              <w:pStyle w:val="Tablas"/>
              <w:rPr>
                <w:sz w:val="12"/>
                <w:szCs w:val="12"/>
              </w:rPr>
            </w:pPr>
            <w:r w:rsidRPr="00483EBE">
              <w:rPr>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48E2B674"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3C7E55E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B38AD7"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63E22BDA" w14:textId="77777777" w:rsidR="00572995" w:rsidRPr="00483EBE" w:rsidRDefault="00572995" w:rsidP="00E8324D">
            <w:pPr>
              <w:pStyle w:val="Tablas"/>
              <w:rPr>
                <w:sz w:val="12"/>
                <w:szCs w:val="12"/>
              </w:rPr>
            </w:pPr>
            <w:r w:rsidRPr="00483EBE">
              <w:rPr>
                <w:sz w:val="12"/>
                <w:szCs w:val="12"/>
              </w:rPr>
              <w:t xml:space="preserve">277 </w:t>
            </w:r>
          </w:p>
        </w:tc>
        <w:tc>
          <w:tcPr>
            <w:tcW w:w="0" w:type="auto"/>
            <w:tcBorders>
              <w:top w:val="nil"/>
              <w:left w:val="nil"/>
              <w:bottom w:val="single" w:sz="4" w:space="0" w:color="auto"/>
              <w:right w:val="single" w:sz="4" w:space="0" w:color="auto"/>
            </w:tcBorders>
            <w:shd w:val="clear" w:color="auto" w:fill="auto"/>
            <w:vAlign w:val="center"/>
            <w:hideMark/>
          </w:tcPr>
          <w:p w14:paraId="76B92A8D" w14:textId="77777777" w:rsidR="00572995" w:rsidRPr="00483EBE" w:rsidRDefault="00572995" w:rsidP="00E8324D">
            <w:pPr>
              <w:pStyle w:val="Tablas"/>
              <w:rPr>
                <w:sz w:val="12"/>
                <w:szCs w:val="12"/>
              </w:rPr>
            </w:pPr>
            <w:r w:rsidRPr="00483EBE">
              <w:rPr>
                <w:sz w:val="12"/>
                <w:szCs w:val="12"/>
              </w:rPr>
              <w:t>$864,942</w:t>
            </w:r>
          </w:p>
        </w:tc>
        <w:tc>
          <w:tcPr>
            <w:tcW w:w="0" w:type="auto"/>
            <w:tcBorders>
              <w:top w:val="nil"/>
              <w:left w:val="nil"/>
              <w:bottom w:val="single" w:sz="4" w:space="0" w:color="auto"/>
              <w:right w:val="single" w:sz="4" w:space="0" w:color="auto"/>
            </w:tcBorders>
            <w:shd w:val="clear" w:color="auto" w:fill="auto"/>
            <w:vAlign w:val="center"/>
            <w:hideMark/>
          </w:tcPr>
          <w:p w14:paraId="38A253B1" w14:textId="77777777" w:rsidR="00572995" w:rsidRPr="00483EBE" w:rsidRDefault="00572995" w:rsidP="00E8324D">
            <w:pPr>
              <w:pStyle w:val="Tablas"/>
              <w:rPr>
                <w:sz w:val="12"/>
                <w:szCs w:val="12"/>
              </w:rPr>
            </w:pPr>
            <w:r w:rsidRPr="00483EBE">
              <w:rPr>
                <w:sz w:val="12"/>
                <w:szCs w:val="12"/>
              </w:rPr>
              <w:t>$3,123</w:t>
            </w:r>
          </w:p>
        </w:tc>
        <w:tc>
          <w:tcPr>
            <w:tcW w:w="0" w:type="auto"/>
            <w:tcBorders>
              <w:top w:val="nil"/>
              <w:left w:val="nil"/>
              <w:bottom w:val="single" w:sz="4" w:space="0" w:color="auto"/>
              <w:right w:val="single" w:sz="4" w:space="0" w:color="auto"/>
            </w:tcBorders>
            <w:shd w:val="clear" w:color="auto" w:fill="auto"/>
            <w:vAlign w:val="center"/>
            <w:hideMark/>
          </w:tcPr>
          <w:p w14:paraId="46717981"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0A4F194A"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1789F40B" w14:textId="77777777" w:rsidR="00572995" w:rsidRPr="00483EBE" w:rsidRDefault="00572995" w:rsidP="00E8324D">
            <w:pPr>
              <w:pStyle w:val="Tablas"/>
              <w:rPr>
                <w:sz w:val="12"/>
                <w:szCs w:val="12"/>
              </w:rPr>
            </w:pPr>
            <w:r w:rsidRPr="00483EBE">
              <w:rPr>
                <w:sz w:val="12"/>
                <w:szCs w:val="12"/>
              </w:rPr>
              <w:t>SEBD</w:t>
            </w:r>
          </w:p>
        </w:tc>
      </w:tr>
      <w:tr w:rsidR="00572995" w:rsidRPr="00483EBE" w14:paraId="0DDDF46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8A01EE"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7978F05B"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FA9DEA7" w14:textId="77777777" w:rsidR="00572995" w:rsidRPr="00483EBE" w:rsidRDefault="00572995" w:rsidP="00E8324D">
            <w:pPr>
              <w:pStyle w:val="Tablas"/>
              <w:rPr>
                <w:sz w:val="12"/>
                <w:szCs w:val="12"/>
              </w:rPr>
            </w:pPr>
            <w:r w:rsidRPr="00483EBE">
              <w:rPr>
                <w:sz w:val="12"/>
                <w:szCs w:val="12"/>
              </w:rPr>
              <w:t>$9,366</w:t>
            </w:r>
          </w:p>
        </w:tc>
        <w:tc>
          <w:tcPr>
            <w:tcW w:w="0" w:type="auto"/>
            <w:tcBorders>
              <w:top w:val="nil"/>
              <w:left w:val="nil"/>
              <w:bottom w:val="single" w:sz="4" w:space="0" w:color="auto"/>
              <w:right w:val="single" w:sz="4" w:space="0" w:color="auto"/>
            </w:tcBorders>
            <w:shd w:val="clear" w:color="auto" w:fill="auto"/>
            <w:vAlign w:val="center"/>
            <w:hideMark/>
          </w:tcPr>
          <w:p w14:paraId="22CF6F6E" w14:textId="77777777" w:rsidR="00572995" w:rsidRPr="00483EBE" w:rsidRDefault="00572995" w:rsidP="00E8324D">
            <w:pPr>
              <w:pStyle w:val="Tablas"/>
              <w:rPr>
                <w:sz w:val="12"/>
                <w:szCs w:val="12"/>
              </w:rPr>
            </w:pPr>
            <w:r w:rsidRPr="00483EBE">
              <w:rPr>
                <w:sz w:val="12"/>
                <w:szCs w:val="12"/>
              </w:rPr>
              <w:t>$2,341</w:t>
            </w:r>
          </w:p>
        </w:tc>
        <w:tc>
          <w:tcPr>
            <w:tcW w:w="0" w:type="auto"/>
            <w:tcBorders>
              <w:top w:val="nil"/>
              <w:left w:val="nil"/>
              <w:bottom w:val="single" w:sz="4" w:space="0" w:color="auto"/>
              <w:right w:val="single" w:sz="4" w:space="0" w:color="auto"/>
            </w:tcBorders>
            <w:shd w:val="clear" w:color="auto" w:fill="auto"/>
            <w:vAlign w:val="center"/>
            <w:hideMark/>
          </w:tcPr>
          <w:p w14:paraId="0AF2A2BC"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1959BC9F" w14:textId="77777777" w:rsidR="00572995" w:rsidRPr="00483EBE" w:rsidRDefault="00572995" w:rsidP="00E8324D">
            <w:pPr>
              <w:pStyle w:val="Tablas"/>
              <w:rPr>
                <w:sz w:val="12"/>
                <w:szCs w:val="12"/>
              </w:rPr>
            </w:pPr>
            <w:r w:rsidRPr="00483EBE">
              <w:rPr>
                <w:sz w:val="12"/>
                <w:szCs w:val="12"/>
              </w:rPr>
              <w:t>ANTICIPADA HASTA 1992</w:t>
            </w:r>
          </w:p>
        </w:tc>
        <w:tc>
          <w:tcPr>
            <w:tcW w:w="0" w:type="auto"/>
            <w:tcBorders>
              <w:top w:val="nil"/>
              <w:left w:val="nil"/>
              <w:bottom w:val="single" w:sz="4" w:space="0" w:color="auto"/>
              <w:right w:val="nil"/>
            </w:tcBorders>
            <w:shd w:val="clear" w:color="auto" w:fill="auto"/>
            <w:vAlign w:val="center"/>
            <w:hideMark/>
          </w:tcPr>
          <w:p w14:paraId="22A5EDB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9C4F2E"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5196742C" w14:textId="77777777" w:rsidR="00572995" w:rsidRPr="00483EBE" w:rsidRDefault="00572995" w:rsidP="00E8324D">
            <w:pPr>
              <w:pStyle w:val="Tablas"/>
              <w:rPr>
                <w:sz w:val="12"/>
                <w:szCs w:val="12"/>
              </w:rPr>
            </w:pPr>
            <w:r w:rsidRPr="00483EBE">
              <w:rPr>
                <w:sz w:val="12"/>
                <w:szCs w:val="12"/>
              </w:rPr>
              <w:t xml:space="preserve">249 </w:t>
            </w:r>
          </w:p>
        </w:tc>
        <w:tc>
          <w:tcPr>
            <w:tcW w:w="0" w:type="auto"/>
            <w:tcBorders>
              <w:top w:val="nil"/>
              <w:left w:val="nil"/>
              <w:bottom w:val="single" w:sz="4" w:space="0" w:color="auto"/>
              <w:right w:val="single" w:sz="4" w:space="0" w:color="auto"/>
            </w:tcBorders>
            <w:shd w:val="clear" w:color="auto" w:fill="auto"/>
            <w:vAlign w:val="center"/>
            <w:hideMark/>
          </w:tcPr>
          <w:p w14:paraId="13F39B5F" w14:textId="77777777" w:rsidR="00572995" w:rsidRPr="00483EBE" w:rsidRDefault="00572995" w:rsidP="00E8324D">
            <w:pPr>
              <w:pStyle w:val="Tablas"/>
              <w:rPr>
                <w:sz w:val="12"/>
                <w:szCs w:val="12"/>
              </w:rPr>
            </w:pPr>
            <w:r w:rsidRPr="00483EBE">
              <w:rPr>
                <w:sz w:val="12"/>
                <w:szCs w:val="12"/>
              </w:rPr>
              <w:t>$694,517</w:t>
            </w:r>
          </w:p>
        </w:tc>
        <w:tc>
          <w:tcPr>
            <w:tcW w:w="0" w:type="auto"/>
            <w:tcBorders>
              <w:top w:val="nil"/>
              <w:left w:val="nil"/>
              <w:bottom w:val="single" w:sz="4" w:space="0" w:color="auto"/>
              <w:right w:val="single" w:sz="4" w:space="0" w:color="auto"/>
            </w:tcBorders>
            <w:shd w:val="clear" w:color="auto" w:fill="auto"/>
            <w:vAlign w:val="center"/>
            <w:hideMark/>
          </w:tcPr>
          <w:p w14:paraId="039C47C2" w14:textId="77777777" w:rsidR="00572995" w:rsidRPr="00483EBE" w:rsidRDefault="00572995" w:rsidP="00E8324D">
            <w:pPr>
              <w:pStyle w:val="Tablas"/>
              <w:rPr>
                <w:sz w:val="12"/>
                <w:szCs w:val="12"/>
              </w:rPr>
            </w:pPr>
            <w:r w:rsidRPr="00483EBE">
              <w:rPr>
                <w:sz w:val="12"/>
                <w:szCs w:val="12"/>
              </w:rPr>
              <w:t>$2,789</w:t>
            </w:r>
          </w:p>
        </w:tc>
        <w:tc>
          <w:tcPr>
            <w:tcW w:w="0" w:type="auto"/>
            <w:tcBorders>
              <w:top w:val="nil"/>
              <w:left w:val="nil"/>
              <w:bottom w:val="single" w:sz="4" w:space="0" w:color="auto"/>
              <w:right w:val="single" w:sz="4" w:space="0" w:color="auto"/>
            </w:tcBorders>
            <w:shd w:val="clear" w:color="auto" w:fill="auto"/>
            <w:vAlign w:val="center"/>
            <w:hideMark/>
          </w:tcPr>
          <w:p w14:paraId="1D799274" w14:textId="77777777" w:rsidR="00572995" w:rsidRPr="00483EBE" w:rsidRDefault="00572995" w:rsidP="00E8324D">
            <w:pPr>
              <w:pStyle w:val="Tablas"/>
              <w:rPr>
                <w:sz w:val="12"/>
                <w:szCs w:val="12"/>
              </w:rPr>
            </w:pPr>
            <w:r w:rsidRPr="00483EBE">
              <w:rPr>
                <w:sz w:val="12"/>
                <w:szCs w:val="12"/>
              </w:rPr>
              <w:t>$232</w:t>
            </w:r>
          </w:p>
        </w:tc>
        <w:tc>
          <w:tcPr>
            <w:tcW w:w="0" w:type="auto"/>
            <w:tcBorders>
              <w:top w:val="nil"/>
              <w:left w:val="nil"/>
              <w:bottom w:val="single" w:sz="4" w:space="0" w:color="auto"/>
              <w:right w:val="single" w:sz="4" w:space="0" w:color="auto"/>
            </w:tcBorders>
            <w:shd w:val="clear" w:color="auto" w:fill="auto"/>
            <w:vAlign w:val="center"/>
            <w:hideMark/>
          </w:tcPr>
          <w:p w14:paraId="5BF42FB9"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41D7C644" w14:textId="77777777" w:rsidR="00572995" w:rsidRPr="00483EBE" w:rsidRDefault="00572995" w:rsidP="00E8324D">
            <w:pPr>
              <w:pStyle w:val="Tablas"/>
              <w:rPr>
                <w:sz w:val="12"/>
                <w:szCs w:val="12"/>
              </w:rPr>
            </w:pPr>
            <w:r w:rsidRPr="00483EBE">
              <w:rPr>
                <w:sz w:val="12"/>
                <w:szCs w:val="12"/>
              </w:rPr>
              <w:t>SEBD</w:t>
            </w:r>
          </w:p>
        </w:tc>
      </w:tr>
      <w:tr w:rsidR="00572995" w:rsidRPr="00483EBE" w14:paraId="5F06FA2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6F6A549"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0F2F9107" w14:textId="77777777" w:rsidR="00572995" w:rsidRPr="00483EBE" w:rsidRDefault="00572995" w:rsidP="00E8324D">
            <w:pPr>
              <w:pStyle w:val="Tablas"/>
              <w:rPr>
                <w:sz w:val="12"/>
                <w:szCs w:val="12"/>
              </w:rPr>
            </w:pPr>
            <w:r w:rsidRPr="00483EBE">
              <w:rPr>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14:paraId="2EDB732A" w14:textId="77777777" w:rsidR="00572995" w:rsidRPr="00483EBE" w:rsidRDefault="00572995" w:rsidP="00E8324D">
            <w:pPr>
              <w:pStyle w:val="Tablas"/>
              <w:rPr>
                <w:sz w:val="12"/>
                <w:szCs w:val="12"/>
              </w:rPr>
            </w:pPr>
            <w:r w:rsidRPr="00483EBE">
              <w:rPr>
                <w:sz w:val="12"/>
                <w:szCs w:val="12"/>
              </w:rPr>
              <w:t>$142,156</w:t>
            </w:r>
          </w:p>
        </w:tc>
        <w:tc>
          <w:tcPr>
            <w:tcW w:w="0" w:type="auto"/>
            <w:tcBorders>
              <w:top w:val="nil"/>
              <w:left w:val="nil"/>
              <w:bottom w:val="single" w:sz="4" w:space="0" w:color="auto"/>
              <w:right w:val="single" w:sz="4" w:space="0" w:color="auto"/>
            </w:tcBorders>
            <w:shd w:val="clear" w:color="auto" w:fill="auto"/>
            <w:vAlign w:val="center"/>
            <w:hideMark/>
          </w:tcPr>
          <w:p w14:paraId="33DDDFE2" w14:textId="77777777" w:rsidR="00572995" w:rsidRPr="00483EBE" w:rsidRDefault="00572995" w:rsidP="00E8324D">
            <w:pPr>
              <w:pStyle w:val="Tablas"/>
              <w:rPr>
                <w:sz w:val="12"/>
                <w:szCs w:val="12"/>
              </w:rPr>
            </w:pPr>
            <w:r w:rsidRPr="00483EBE">
              <w:rPr>
                <w:sz w:val="12"/>
                <w:szCs w:val="12"/>
              </w:rPr>
              <w:t>$2,369</w:t>
            </w:r>
          </w:p>
        </w:tc>
        <w:tc>
          <w:tcPr>
            <w:tcW w:w="0" w:type="auto"/>
            <w:tcBorders>
              <w:top w:val="nil"/>
              <w:left w:val="nil"/>
              <w:bottom w:val="single" w:sz="4" w:space="0" w:color="auto"/>
              <w:right w:val="single" w:sz="4" w:space="0" w:color="auto"/>
            </w:tcBorders>
            <w:shd w:val="clear" w:color="auto" w:fill="auto"/>
            <w:vAlign w:val="center"/>
            <w:hideMark/>
          </w:tcPr>
          <w:p w14:paraId="61E2C1D5" w14:textId="77777777" w:rsidR="00572995" w:rsidRPr="00483EBE" w:rsidRDefault="00572995" w:rsidP="00E8324D">
            <w:pPr>
              <w:pStyle w:val="Tablas"/>
              <w:rPr>
                <w:sz w:val="12"/>
                <w:szCs w:val="12"/>
              </w:rPr>
            </w:pPr>
            <w:r w:rsidRPr="00483EBE">
              <w:rPr>
                <w:sz w:val="12"/>
                <w:szCs w:val="12"/>
              </w:rPr>
              <w:t>$197</w:t>
            </w:r>
          </w:p>
        </w:tc>
        <w:tc>
          <w:tcPr>
            <w:tcW w:w="0" w:type="auto"/>
            <w:tcBorders>
              <w:top w:val="nil"/>
              <w:left w:val="nil"/>
              <w:bottom w:val="single" w:sz="4" w:space="0" w:color="auto"/>
              <w:right w:val="single" w:sz="4" w:space="0" w:color="auto"/>
            </w:tcBorders>
            <w:shd w:val="clear" w:color="auto" w:fill="auto"/>
            <w:vAlign w:val="center"/>
            <w:hideMark/>
          </w:tcPr>
          <w:p w14:paraId="5332F553"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64FA4F0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1B6FCF5"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14134A67" w14:textId="77777777" w:rsidR="00572995" w:rsidRPr="00483EBE" w:rsidRDefault="00572995" w:rsidP="00E8324D">
            <w:pPr>
              <w:pStyle w:val="Tablas"/>
              <w:rPr>
                <w:sz w:val="12"/>
                <w:szCs w:val="12"/>
              </w:rPr>
            </w:pPr>
            <w:r w:rsidRPr="00483EBE">
              <w:rPr>
                <w:sz w:val="12"/>
                <w:szCs w:val="12"/>
              </w:rPr>
              <w:t xml:space="preserve">235 </w:t>
            </w:r>
          </w:p>
        </w:tc>
        <w:tc>
          <w:tcPr>
            <w:tcW w:w="0" w:type="auto"/>
            <w:tcBorders>
              <w:top w:val="nil"/>
              <w:left w:val="nil"/>
              <w:bottom w:val="single" w:sz="4" w:space="0" w:color="auto"/>
              <w:right w:val="single" w:sz="4" w:space="0" w:color="auto"/>
            </w:tcBorders>
            <w:shd w:val="clear" w:color="auto" w:fill="auto"/>
            <w:vAlign w:val="center"/>
            <w:hideMark/>
          </w:tcPr>
          <w:p w14:paraId="431A0D96" w14:textId="77777777" w:rsidR="00572995" w:rsidRPr="00483EBE" w:rsidRDefault="00572995" w:rsidP="00E8324D">
            <w:pPr>
              <w:pStyle w:val="Tablas"/>
              <w:rPr>
                <w:sz w:val="12"/>
                <w:szCs w:val="12"/>
              </w:rPr>
            </w:pPr>
            <w:r w:rsidRPr="00483EBE">
              <w:rPr>
                <w:sz w:val="12"/>
                <w:szCs w:val="12"/>
              </w:rPr>
              <w:t>$679,065</w:t>
            </w:r>
          </w:p>
        </w:tc>
        <w:tc>
          <w:tcPr>
            <w:tcW w:w="0" w:type="auto"/>
            <w:tcBorders>
              <w:top w:val="nil"/>
              <w:left w:val="nil"/>
              <w:bottom w:val="single" w:sz="4" w:space="0" w:color="auto"/>
              <w:right w:val="single" w:sz="4" w:space="0" w:color="auto"/>
            </w:tcBorders>
            <w:shd w:val="clear" w:color="auto" w:fill="auto"/>
            <w:vAlign w:val="center"/>
            <w:hideMark/>
          </w:tcPr>
          <w:p w14:paraId="598807DC" w14:textId="77777777" w:rsidR="00572995" w:rsidRPr="00483EBE" w:rsidRDefault="00572995" w:rsidP="00E8324D">
            <w:pPr>
              <w:pStyle w:val="Tablas"/>
              <w:rPr>
                <w:sz w:val="12"/>
                <w:szCs w:val="12"/>
              </w:rPr>
            </w:pPr>
            <w:r w:rsidRPr="00483EBE">
              <w:rPr>
                <w:sz w:val="12"/>
                <w:szCs w:val="12"/>
              </w:rPr>
              <w:t>$2,890</w:t>
            </w:r>
          </w:p>
        </w:tc>
        <w:tc>
          <w:tcPr>
            <w:tcW w:w="0" w:type="auto"/>
            <w:tcBorders>
              <w:top w:val="nil"/>
              <w:left w:val="nil"/>
              <w:bottom w:val="single" w:sz="4" w:space="0" w:color="auto"/>
              <w:right w:val="single" w:sz="4" w:space="0" w:color="auto"/>
            </w:tcBorders>
            <w:shd w:val="clear" w:color="auto" w:fill="auto"/>
            <w:vAlign w:val="center"/>
            <w:hideMark/>
          </w:tcPr>
          <w:p w14:paraId="52A270FE"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3CD59398"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688C0775" w14:textId="77777777" w:rsidR="00572995" w:rsidRPr="00483EBE" w:rsidRDefault="00572995" w:rsidP="00E8324D">
            <w:pPr>
              <w:pStyle w:val="Tablas"/>
              <w:rPr>
                <w:sz w:val="12"/>
                <w:szCs w:val="12"/>
              </w:rPr>
            </w:pPr>
            <w:r w:rsidRPr="00483EBE">
              <w:rPr>
                <w:sz w:val="12"/>
                <w:szCs w:val="12"/>
              </w:rPr>
              <w:t>SEBD</w:t>
            </w:r>
          </w:p>
        </w:tc>
      </w:tr>
      <w:tr w:rsidR="00572995" w:rsidRPr="00483EBE" w14:paraId="002D31B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9B7A487"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052F9A46" w14:textId="77777777" w:rsidR="00572995" w:rsidRPr="00483EBE" w:rsidRDefault="00572995" w:rsidP="00E8324D">
            <w:pPr>
              <w:pStyle w:val="Tablas"/>
              <w:rPr>
                <w:sz w:val="12"/>
                <w:szCs w:val="12"/>
              </w:rPr>
            </w:pPr>
            <w:r w:rsidRPr="00483EBE">
              <w:rPr>
                <w:sz w:val="12"/>
                <w:szCs w:val="12"/>
              </w:rPr>
              <w:t xml:space="preserve">142 </w:t>
            </w:r>
          </w:p>
        </w:tc>
        <w:tc>
          <w:tcPr>
            <w:tcW w:w="0" w:type="auto"/>
            <w:tcBorders>
              <w:top w:val="nil"/>
              <w:left w:val="nil"/>
              <w:bottom w:val="single" w:sz="4" w:space="0" w:color="auto"/>
              <w:right w:val="single" w:sz="4" w:space="0" w:color="auto"/>
            </w:tcBorders>
            <w:shd w:val="clear" w:color="auto" w:fill="auto"/>
            <w:vAlign w:val="center"/>
            <w:hideMark/>
          </w:tcPr>
          <w:p w14:paraId="0E3E30FF" w14:textId="77777777" w:rsidR="00572995" w:rsidRPr="00483EBE" w:rsidRDefault="00572995" w:rsidP="00E8324D">
            <w:pPr>
              <w:pStyle w:val="Tablas"/>
              <w:rPr>
                <w:sz w:val="12"/>
                <w:szCs w:val="12"/>
              </w:rPr>
            </w:pPr>
            <w:r w:rsidRPr="00483EBE">
              <w:rPr>
                <w:sz w:val="12"/>
                <w:szCs w:val="12"/>
              </w:rPr>
              <w:t>$399,366</w:t>
            </w:r>
          </w:p>
        </w:tc>
        <w:tc>
          <w:tcPr>
            <w:tcW w:w="0" w:type="auto"/>
            <w:tcBorders>
              <w:top w:val="nil"/>
              <w:left w:val="nil"/>
              <w:bottom w:val="single" w:sz="4" w:space="0" w:color="auto"/>
              <w:right w:val="single" w:sz="4" w:space="0" w:color="auto"/>
            </w:tcBorders>
            <w:shd w:val="clear" w:color="auto" w:fill="auto"/>
            <w:vAlign w:val="center"/>
            <w:hideMark/>
          </w:tcPr>
          <w:p w14:paraId="02EA57A5" w14:textId="77777777" w:rsidR="00572995" w:rsidRPr="00483EBE" w:rsidRDefault="00572995" w:rsidP="00E8324D">
            <w:pPr>
              <w:pStyle w:val="Tablas"/>
              <w:rPr>
                <w:sz w:val="12"/>
                <w:szCs w:val="12"/>
              </w:rPr>
            </w:pPr>
            <w:r w:rsidRPr="00483EBE">
              <w:rPr>
                <w:sz w:val="12"/>
                <w:szCs w:val="12"/>
              </w:rPr>
              <w:t>$2,812</w:t>
            </w:r>
          </w:p>
        </w:tc>
        <w:tc>
          <w:tcPr>
            <w:tcW w:w="0" w:type="auto"/>
            <w:tcBorders>
              <w:top w:val="nil"/>
              <w:left w:val="nil"/>
              <w:bottom w:val="single" w:sz="4" w:space="0" w:color="auto"/>
              <w:right w:val="single" w:sz="4" w:space="0" w:color="auto"/>
            </w:tcBorders>
            <w:shd w:val="clear" w:color="auto" w:fill="auto"/>
            <w:vAlign w:val="center"/>
            <w:hideMark/>
          </w:tcPr>
          <w:p w14:paraId="73310079" w14:textId="77777777" w:rsidR="00572995" w:rsidRPr="00483EBE" w:rsidRDefault="00572995" w:rsidP="00E8324D">
            <w:pPr>
              <w:pStyle w:val="Tablas"/>
              <w:rPr>
                <w:sz w:val="12"/>
                <w:szCs w:val="12"/>
              </w:rPr>
            </w:pPr>
            <w:r w:rsidRPr="00483EBE">
              <w:rPr>
                <w:sz w:val="12"/>
                <w:szCs w:val="12"/>
              </w:rPr>
              <w:t>$234</w:t>
            </w:r>
          </w:p>
        </w:tc>
        <w:tc>
          <w:tcPr>
            <w:tcW w:w="0" w:type="auto"/>
            <w:tcBorders>
              <w:top w:val="nil"/>
              <w:left w:val="nil"/>
              <w:bottom w:val="single" w:sz="4" w:space="0" w:color="auto"/>
              <w:right w:val="single" w:sz="4" w:space="0" w:color="auto"/>
            </w:tcBorders>
            <w:shd w:val="clear" w:color="auto" w:fill="auto"/>
            <w:vAlign w:val="center"/>
            <w:hideMark/>
          </w:tcPr>
          <w:p w14:paraId="39EC1041"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3038668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EC3205C"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1EBD7444" w14:textId="77777777" w:rsidR="00572995" w:rsidRPr="00483EBE" w:rsidRDefault="00572995" w:rsidP="00E8324D">
            <w:pPr>
              <w:pStyle w:val="Tablas"/>
              <w:rPr>
                <w:sz w:val="12"/>
                <w:szCs w:val="12"/>
              </w:rPr>
            </w:pPr>
            <w:r w:rsidRPr="00483EBE">
              <w:rPr>
                <w:sz w:val="12"/>
                <w:szCs w:val="12"/>
              </w:rPr>
              <w:t xml:space="preserve">269 </w:t>
            </w:r>
          </w:p>
        </w:tc>
        <w:tc>
          <w:tcPr>
            <w:tcW w:w="0" w:type="auto"/>
            <w:tcBorders>
              <w:top w:val="nil"/>
              <w:left w:val="nil"/>
              <w:bottom w:val="single" w:sz="4" w:space="0" w:color="auto"/>
              <w:right w:val="single" w:sz="4" w:space="0" w:color="auto"/>
            </w:tcBorders>
            <w:shd w:val="clear" w:color="auto" w:fill="auto"/>
            <w:vAlign w:val="center"/>
            <w:hideMark/>
          </w:tcPr>
          <w:p w14:paraId="65221E81" w14:textId="77777777" w:rsidR="00572995" w:rsidRPr="00483EBE" w:rsidRDefault="00572995" w:rsidP="00E8324D">
            <w:pPr>
              <w:pStyle w:val="Tablas"/>
              <w:rPr>
                <w:sz w:val="12"/>
                <w:szCs w:val="12"/>
              </w:rPr>
            </w:pPr>
            <w:r w:rsidRPr="00483EBE">
              <w:rPr>
                <w:sz w:val="12"/>
                <w:szCs w:val="12"/>
              </w:rPr>
              <w:t>$817,963</w:t>
            </w:r>
          </w:p>
        </w:tc>
        <w:tc>
          <w:tcPr>
            <w:tcW w:w="0" w:type="auto"/>
            <w:tcBorders>
              <w:top w:val="nil"/>
              <w:left w:val="nil"/>
              <w:bottom w:val="single" w:sz="4" w:space="0" w:color="auto"/>
              <w:right w:val="single" w:sz="4" w:space="0" w:color="auto"/>
            </w:tcBorders>
            <w:shd w:val="clear" w:color="auto" w:fill="auto"/>
            <w:vAlign w:val="center"/>
            <w:hideMark/>
          </w:tcPr>
          <w:p w14:paraId="68F937D7" w14:textId="77777777" w:rsidR="00572995" w:rsidRPr="00483EBE" w:rsidRDefault="00572995" w:rsidP="00E8324D">
            <w:pPr>
              <w:pStyle w:val="Tablas"/>
              <w:rPr>
                <w:sz w:val="12"/>
                <w:szCs w:val="12"/>
              </w:rPr>
            </w:pPr>
            <w:r w:rsidRPr="00483EBE">
              <w:rPr>
                <w:sz w:val="12"/>
                <w:szCs w:val="12"/>
              </w:rPr>
              <w:t>$3,041</w:t>
            </w:r>
          </w:p>
        </w:tc>
        <w:tc>
          <w:tcPr>
            <w:tcW w:w="0" w:type="auto"/>
            <w:tcBorders>
              <w:top w:val="nil"/>
              <w:left w:val="nil"/>
              <w:bottom w:val="single" w:sz="4" w:space="0" w:color="auto"/>
              <w:right w:val="single" w:sz="4" w:space="0" w:color="auto"/>
            </w:tcBorders>
            <w:shd w:val="clear" w:color="auto" w:fill="auto"/>
            <w:vAlign w:val="center"/>
            <w:hideMark/>
          </w:tcPr>
          <w:p w14:paraId="3BE03269"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22FAB0ED"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06623238" w14:textId="77777777" w:rsidR="00572995" w:rsidRPr="00483EBE" w:rsidRDefault="00572995" w:rsidP="00E8324D">
            <w:pPr>
              <w:pStyle w:val="Tablas"/>
              <w:rPr>
                <w:sz w:val="12"/>
                <w:szCs w:val="12"/>
              </w:rPr>
            </w:pPr>
            <w:r w:rsidRPr="00483EBE">
              <w:rPr>
                <w:sz w:val="12"/>
                <w:szCs w:val="12"/>
              </w:rPr>
              <w:t>SEBD</w:t>
            </w:r>
          </w:p>
        </w:tc>
      </w:tr>
      <w:tr w:rsidR="00572995" w:rsidRPr="00483EBE" w14:paraId="40FB456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0D8E2C4"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7B805643" w14:textId="77777777" w:rsidR="00572995" w:rsidRPr="00483EBE" w:rsidRDefault="00572995" w:rsidP="00E8324D">
            <w:pPr>
              <w:pStyle w:val="Tablas"/>
              <w:rPr>
                <w:sz w:val="12"/>
                <w:szCs w:val="12"/>
              </w:rPr>
            </w:pPr>
            <w:r w:rsidRPr="00483EBE">
              <w:rPr>
                <w:sz w:val="12"/>
                <w:szCs w:val="12"/>
              </w:rPr>
              <w:t xml:space="preserve">125 </w:t>
            </w:r>
          </w:p>
        </w:tc>
        <w:tc>
          <w:tcPr>
            <w:tcW w:w="0" w:type="auto"/>
            <w:tcBorders>
              <w:top w:val="nil"/>
              <w:left w:val="nil"/>
              <w:bottom w:val="single" w:sz="4" w:space="0" w:color="auto"/>
              <w:right w:val="single" w:sz="4" w:space="0" w:color="auto"/>
            </w:tcBorders>
            <w:shd w:val="clear" w:color="auto" w:fill="auto"/>
            <w:vAlign w:val="center"/>
            <w:hideMark/>
          </w:tcPr>
          <w:p w14:paraId="057A477F" w14:textId="77777777" w:rsidR="00572995" w:rsidRPr="00483EBE" w:rsidRDefault="00572995" w:rsidP="00E8324D">
            <w:pPr>
              <w:pStyle w:val="Tablas"/>
              <w:rPr>
                <w:sz w:val="12"/>
                <w:szCs w:val="12"/>
              </w:rPr>
            </w:pPr>
            <w:r w:rsidRPr="00483EBE">
              <w:rPr>
                <w:sz w:val="12"/>
                <w:szCs w:val="12"/>
              </w:rPr>
              <w:t>$364,722</w:t>
            </w:r>
          </w:p>
        </w:tc>
        <w:tc>
          <w:tcPr>
            <w:tcW w:w="0" w:type="auto"/>
            <w:tcBorders>
              <w:top w:val="nil"/>
              <w:left w:val="nil"/>
              <w:bottom w:val="single" w:sz="4" w:space="0" w:color="auto"/>
              <w:right w:val="single" w:sz="4" w:space="0" w:color="auto"/>
            </w:tcBorders>
            <w:shd w:val="clear" w:color="auto" w:fill="auto"/>
            <w:vAlign w:val="center"/>
            <w:hideMark/>
          </w:tcPr>
          <w:p w14:paraId="3F15900E" w14:textId="77777777" w:rsidR="00572995" w:rsidRPr="00483EBE" w:rsidRDefault="00572995" w:rsidP="00E8324D">
            <w:pPr>
              <w:pStyle w:val="Tablas"/>
              <w:rPr>
                <w:sz w:val="12"/>
                <w:szCs w:val="12"/>
              </w:rPr>
            </w:pPr>
            <w:r w:rsidRPr="00483EBE">
              <w:rPr>
                <w:sz w:val="12"/>
                <w:szCs w:val="12"/>
              </w:rPr>
              <w:t>$2,918</w:t>
            </w:r>
          </w:p>
        </w:tc>
        <w:tc>
          <w:tcPr>
            <w:tcW w:w="0" w:type="auto"/>
            <w:tcBorders>
              <w:top w:val="nil"/>
              <w:left w:val="nil"/>
              <w:bottom w:val="single" w:sz="4" w:space="0" w:color="auto"/>
              <w:right w:val="single" w:sz="4" w:space="0" w:color="auto"/>
            </w:tcBorders>
            <w:shd w:val="clear" w:color="auto" w:fill="auto"/>
            <w:vAlign w:val="center"/>
            <w:hideMark/>
          </w:tcPr>
          <w:p w14:paraId="3944366A"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08E8455F"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51B9FE3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5A605D"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112FCE91" w14:textId="77777777" w:rsidR="00572995" w:rsidRPr="00483EBE" w:rsidRDefault="00572995" w:rsidP="00E8324D">
            <w:pPr>
              <w:pStyle w:val="Tablas"/>
              <w:rPr>
                <w:sz w:val="12"/>
                <w:szCs w:val="12"/>
              </w:rPr>
            </w:pPr>
            <w:r w:rsidRPr="00483EBE">
              <w:rPr>
                <w:sz w:val="12"/>
                <w:szCs w:val="12"/>
              </w:rPr>
              <w:t xml:space="preserve">263 </w:t>
            </w:r>
          </w:p>
        </w:tc>
        <w:tc>
          <w:tcPr>
            <w:tcW w:w="0" w:type="auto"/>
            <w:tcBorders>
              <w:top w:val="nil"/>
              <w:left w:val="nil"/>
              <w:bottom w:val="single" w:sz="4" w:space="0" w:color="auto"/>
              <w:right w:val="single" w:sz="4" w:space="0" w:color="auto"/>
            </w:tcBorders>
            <w:shd w:val="clear" w:color="auto" w:fill="auto"/>
            <w:vAlign w:val="center"/>
            <w:hideMark/>
          </w:tcPr>
          <w:p w14:paraId="72145109" w14:textId="77777777" w:rsidR="00572995" w:rsidRPr="00483EBE" w:rsidRDefault="00572995" w:rsidP="00E8324D">
            <w:pPr>
              <w:pStyle w:val="Tablas"/>
              <w:rPr>
                <w:sz w:val="12"/>
                <w:szCs w:val="12"/>
              </w:rPr>
            </w:pPr>
            <w:r w:rsidRPr="00483EBE">
              <w:rPr>
                <w:sz w:val="12"/>
                <w:szCs w:val="12"/>
              </w:rPr>
              <w:t>$805,949</w:t>
            </w:r>
          </w:p>
        </w:tc>
        <w:tc>
          <w:tcPr>
            <w:tcW w:w="0" w:type="auto"/>
            <w:tcBorders>
              <w:top w:val="nil"/>
              <w:left w:val="nil"/>
              <w:bottom w:val="single" w:sz="4" w:space="0" w:color="auto"/>
              <w:right w:val="single" w:sz="4" w:space="0" w:color="auto"/>
            </w:tcBorders>
            <w:shd w:val="clear" w:color="auto" w:fill="auto"/>
            <w:vAlign w:val="center"/>
            <w:hideMark/>
          </w:tcPr>
          <w:p w14:paraId="1075C799" w14:textId="77777777" w:rsidR="00572995" w:rsidRPr="00483EBE" w:rsidRDefault="00572995" w:rsidP="00E8324D">
            <w:pPr>
              <w:pStyle w:val="Tablas"/>
              <w:rPr>
                <w:sz w:val="12"/>
                <w:szCs w:val="12"/>
              </w:rPr>
            </w:pPr>
            <w:r w:rsidRPr="00483EBE">
              <w:rPr>
                <w:sz w:val="12"/>
                <w:szCs w:val="12"/>
              </w:rPr>
              <w:t>$3,064</w:t>
            </w:r>
          </w:p>
        </w:tc>
        <w:tc>
          <w:tcPr>
            <w:tcW w:w="0" w:type="auto"/>
            <w:tcBorders>
              <w:top w:val="nil"/>
              <w:left w:val="nil"/>
              <w:bottom w:val="single" w:sz="4" w:space="0" w:color="auto"/>
              <w:right w:val="single" w:sz="4" w:space="0" w:color="auto"/>
            </w:tcBorders>
            <w:shd w:val="clear" w:color="auto" w:fill="auto"/>
            <w:vAlign w:val="center"/>
            <w:hideMark/>
          </w:tcPr>
          <w:p w14:paraId="1176FFD8" w14:textId="77777777" w:rsidR="00572995" w:rsidRPr="00483EBE" w:rsidRDefault="00572995" w:rsidP="00E8324D">
            <w:pPr>
              <w:pStyle w:val="Tablas"/>
              <w:rPr>
                <w:sz w:val="12"/>
                <w:szCs w:val="12"/>
              </w:rPr>
            </w:pPr>
            <w:r w:rsidRPr="00483EBE">
              <w:rPr>
                <w:sz w:val="12"/>
                <w:szCs w:val="12"/>
              </w:rPr>
              <w:t>$255</w:t>
            </w:r>
          </w:p>
        </w:tc>
        <w:tc>
          <w:tcPr>
            <w:tcW w:w="0" w:type="auto"/>
            <w:tcBorders>
              <w:top w:val="nil"/>
              <w:left w:val="nil"/>
              <w:bottom w:val="single" w:sz="4" w:space="0" w:color="auto"/>
              <w:right w:val="single" w:sz="4" w:space="0" w:color="auto"/>
            </w:tcBorders>
            <w:shd w:val="clear" w:color="auto" w:fill="auto"/>
            <w:vAlign w:val="center"/>
            <w:hideMark/>
          </w:tcPr>
          <w:p w14:paraId="1D41AAFB"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7B492AC8" w14:textId="77777777" w:rsidR="00572995" w:rsidRPr="00483EBE" w:rsidRDefault="00572995" w:rsidP="00E8324D">
            <w:pPr>
              <w:pStyle w:val="Tablas"/>
              <w:rPr>
                <w:sz w:val="12"/>
                <w:szCs w:val="12"/>
              </w:rPr>
            </w:pPr>
            <w:r w:rsidRPr="00483EBE">
              <w:rPr>
                <w:sz w:val="12"/>
                <w:szCs w:val="12"/>
              </w:rPr>
              <w:t>SEBD</w:t>
            </w:r>
          </w:p>
        </w:tc>
      </w:tr>
      <w:tr w:rsidR="00572995" w:rsidRPr="00483EBE" w14:paraId="014CB6A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A3295D"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48768231" w14:textId="77777777" w:rsidR="00572995" w:rsidRPr="00483EBE" w:rsidRDefault="00572995" w:rsidP="00E8324D">
            <w:pPr>
              <w:pStyle w:val="Tablas"/>
              <w:rPr>
                <w:sz w:val="12"/>
                <w:szCs w:val="12"/>
              </w:rPr>
            </w:pPr>
            <w:r w:rsidRPr="00483EBE">
              <w:rPr>
                <w:sz w:val="12"/>
                <w:szCs w:val="12"/>
              </w:rPr>
              <w:t xml:space="preserve">108 </w:t>
            </w:r>
          </w:p>
        </w:tc>
        <w:tc>
          <w:tcPr>
            <w:tcW w:w="0" w:type="auto"/>
            <w:tcBorders>
              <w:top w:val="nil"/>
              <w:left w:val="nil"/>
              <w:bottom w:val="single" w:sz="4" w:space="0" w:color="auto"/>
              <w:right w:val="single" w:sz="4" w:space="0" w:color="auto"/>
            </w:tcBorders>
            <w:shd w:val="clear" w:color="auto" w:fill="auto"/>
            <w:vAlign w:val="center"/>
            <w:hideMark/>
          </w:tcPr>
          <w:p w14:paraId="056D6E7E" w14:textId="77777777" w:rsidR="00572995" w:rsidRPr="00483EBE" w:rsidRDefault="00572995" w:rsidP="00E8324D">
            <w:pPr>
              <w:pStyle w:val="Tablas"/>
              <w:rPr>
                <w:sz w:val="12"/>
                <w:szCs w:val="12"/>
              </w:rPr>
            </w:pPr>
            <w:r w:rsidRPr="00483EBE">
              <w:rPr>
                <w:sz w:val="12"/>
                <w:szCs w:val="12"/>
              </w:rPr>
              <w:t>$325,878</w:t>
            </w:r>
          </w:p>
        </w:tc>
        <w:tc>
          <w:tcPr>
            <w:tcW w:w="0" w:type="auto"/>
            <w:tcBorders>
              <w:top w:val="nil"/>
              <w:left w:val="nil"/>
              <w:bottom w:val="single" w:sz="4" w:space="0" w:color="auto"/>
              <w:right w:val="single" w:sz="4" w:space="0" w:color="auto"/>
            </w:tcBorders>
            <w:shd w:val="clear" w:color="auto" w:fill="auto"/>
            <w:vAlign w:val="center"/>
            <w:hideMark/>
          </w:tcPr>
          <w:p w14:paraId="52349656" w14:textId="77777777" w:rsidR="00572995" w:rsidRPr="00483EBE" w:rsidRDefault="00572995" w:rsidP="00E8324D">
            <w:pPr>
              <w:pStyle w:val="Tablas"/>
              <w:rPr>
                <w:sz w:val="12"/>
                <w:szCs w:val="12"/>
              </w:rPr>
            </w:pPr>
            <w:r w:rsidRPr="00483EBE">
              <w:rPr>
                <w:sz w:val="12"/>
                <w:szCs w:val="12"/>
              </w:rPr>
              <w:t>$3,017</w:t>
            </w:r>
          </w:p>
        </w:tc>
        <w:tc>
          <w:tcPr>
            <w:tcW w:w="0" w:type="auto"/>
            <w:tcBorders>
              <w:top w:val="nil"/>
              <w:left w:val="nil"/>
              <w:bottom w:val="single" w:sz="4" w:space="0" w:color="auto"/>
              <w:right w:val="single" w:sz="4" w:space="0" w:color="auto"/>
            </w:tcBorders>
            <w:shd w:val="clear" w:color="auto" w:fill="auto"/>
            <w:vAlign w:val="center"/>
            <w:hideMark/>
          </w:tcPr>
          <w:p w14:paraId="467854C8"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115959F2"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2BDC51D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E3D408F"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4EE28D68" w14:textId="77777777" w:rsidR="00572995" w:rsidRPr="00483EBE" w:rsidRDefault="00572995" w:rsidP="00E8324D">
            <w:pPr>
              <w:pStyle w:val="Tablas"/>
              <w:rPr>
                <w:sz w:val="12"/>
                <w:szCs w:val="12"/>
              </w:rPr>
            </w:pPr>
            <w:r w:rsidRPr="00483EBE">
              <w:rPr>
                <w:sz w:val="12"/>
                <w:szCs w:val="12"/>
              </w:rPr>
              <w:t xml:space="preserve">268 </w:t>
            </w:r>
          </w:p>
        </w:tc>
        <w:tc>
          <w:tcPr>
            <w:tcW w:w="0" w:type="auto"/>
            <w:tcBorders>
              <w:top w:val="nil"/>
              <w:left w:val="nil"/>
              <w:bottom w:val="single" w:sz="4" w:space="0" w:color="auto"/>
              <w:right w:val="single" w:sz="4" w:space="0" w:color="auto"/>
            </w:tcBorders>
            <w:shd w:val="clear" w:color="auto" w:fill="auto"/>
            <w:vAlign w:val="center"/>
            <w:hideMark/>
          </w:tcPr>
          <w:p w14:paraId="6457B85A" w14:textId="77777777" w:rsidR="00572995" w:rsidRPr="00483EBE" w:rsidRDefault="00572995" w:rsidP="00E8324D">
            <w:pPr>
              <w:pStyle w:val="Tablas"/>
              <w:rPr>
                <w:sz w:val="12"/>
                <w:szCs w:val="12"/>
              </w:rPr>
            </w:pPr>
            <w:r w:rsidRPr="00483EBE">
              <w:rPr>
                <w:sz w:val="12"/>
                <w:szCs w:val="12"/>
              </w:rPr>
              <w:t>$759,799</w:t>
            </w:r>
          </w:p>
        </w:tc>
        <w:tc>
          <w:tcPr>
            <w:tcW w:w="0" w:type="auto"/>
            <w:tcBorders>
              <w:top w:val="nil"/>
              <w:left w:val="nil"/>
              <w:bottom w:val="single" w:sz="4" w:space="0" w:color="auto"/>
              <w:right w:val="single" w:sz="4" w:space="0" w:color="auto"/>
            </w:tcBorders>
            <w:shd w:val="clear" w:color="auto" w:fill="auto"/>
            <w:vAlign w:val="center"/>
            <w:hideMark/>
          </w:tcPr>
          <w:p w14:paraId="14485247" w14:textId="77777777" w:rsidR="00572995" w:rsidRPr="00483EBE" w:rsidRDefault="00572995" w:rsidP="00E8324D">
            <w:pPr>
              <w:pStyle w:val="Tablas"/>
              <w:rPr>
                <w:sz w:val="12"/>
                <w:szCs w:val="12"/>
              </w:rPr>
            </w:pPr>
            <w:r w:rsidRPr="00483EBE">
              <w:rPr>
                <w:sz w:val="12"/>
                <w:szCs w:val="12"/>
              </w:rPr>
              <w:t>$2,835</w:t>
            </w:r>
          </w:p>
        </w:tc>
        <w:tc>
          <w:tcPr>
            <w:tcW w:w="0" w:type="auto"/>
            <w:tcBorders>
              <w:top w:val="nil"/>
              <w:left w:val="nil"/>
              <w:bottom w:val="single" w:sz="4" w:space="0" w:color="auto"/>
              <w:right w:val="single" w:sz="4" w:space="0" w:color="auto"/>
            </w:tcBorders>
            <w:shd w:val="clear" w:color="auto" w:fill="auto"/>
            <w:vAlign w:val="center"/>
            <w:hideMark/>
          </w:tcPr>
          <w:p w14:paraId="358931C1" w14:textId="77777777" w:rsidR="00572995" w:rsidRPr="00483EBE" w:rsidRDefault="00572995" w:rsidP="00E8324D">
            <w:pPr>
              <w:pStyle w:val="Tablas"/>
              <w:rPr>
                <w:sz w:val="12"/>
                <w:szCs w:val="12"/>
              </w:rPr>
            </w:pPr>
            <w:r w:rsidRPr="00483EBE">
              <w:rPr>
                <w:sz w:val="12"/>
                <w:szCs w:val="12"/>
              </w:rPr>
              <w:t>$236</w:t>
            </w:r>
          </w:p>
        </w:tc>
        <w:tc>
          <w:tcPr>
            <w:tcW w:w="0" w:type="auto"/>
            <w:tcBorders>
              <w:top w:val="nil"/>
              <w:left w:val="nil"/>
              <w:bottom w:val="single" w:sz="4" w:space="0" w:color="auto"/>
              <w:right w:val="single" w:sz="4" w:space="0" w:color="auto"/>
            </w:tcBorders>
            <w:shd w:val="clear" w:color="auto" w:fill="auto"/>
            <w:vAlign w:val="center"/>
            <w:hideMark/>
          </w:tcPr>
          <w:p w14:paraId="6B468949"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0C0D9D00" w14:textId="77777777" w:rsidR="00572995" w:rsidRPr="00483EBE" w:rsidRDefault="00572995" w:rsidP="00E8324D">
            <w:pPr>
              <w:pStyle w:val="Tablas"/>
              <w:rPr>
                <w:sz w:val="12"/>
                <w:szCs w:val="12"/>
              </w:rPr>
            </w:pPr>
            <w:r w:rsidRPr="00483EBE">
              <w:rPr>
                <w:sz w:val="12"/>
                <w:szCs w:val="12"/>
              </w:rPr>
              <w:t>SEBD</w:t>
            </w:r>
          </w:p>
        </w:tc>
      </w:tr>
      <w:tr w:rsidR="00572995" w:rsidRPr="00483EBE" w14:paraId="03636E2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073014"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69CC5731" w14:textId="77777777" w:rsidR="00572995" w:rsidRPr="00483EBE" w:rsidRDefault="00572995" w:rsidP="00E8324D">
            <w:pPr>
              <w:pStyle w:val="Tablas"/>
              <w:rPr>
                <w:sz w:val="12"/>
                <w:szCs w:val="12"/>
              </w:rPr>
            </w:pPr>
            <w:r w:rsidRPr="00483EBE">
              <w:rPr>
                <w:sz w:val="12"/>
                <w:szCs w:val="12"/>
              </w:rPr>
              <w:t xml:space="preserve">96 </w:t>
            </w:r>
          </w:p>
        </w:tc>
        <w:tc>
          <w:tcPr>
            <w:tcW w:w="0" w:type="auto"/>
            <w:tcBorders>
              <w:top w:val="nil"/>
              <w:left w:val="nil"/>
              <w:bottom w:val="single" w:sz="4" w:space="0" w:color="auto"/>
              <w:right w:val="single" w:sz="4" w:space="0" w:color="auto"/>
            </w:tcBorders>
            <w:shd w:val="clear" w:color="auto" w:fill="auto"/>
            <w:vAlign w:val="center"/>
            <w:hideMark/>
          </w:tcPr>
          <w:p w14:paraId="5F39D5C8" w14:textId="77777777" w:rsidR="00572995" w:rsidRPr="00483EBE" w:rsidRDefault="00572995" w:rsidP="00E8324D">
            <w:pPr>
              <w:pStyle w:val="Tablas"/>
              <w:rPr>
                <w:sz w:val="12"/>
                <w:szCs w:val="12"/>
              </w:rPr>
            </w:pPr>
            <w:r w:rsidRPr="00483EBE">
              <w:rPr>
                <w:sz w:val="12"/>
                <w:szCs w:val="12"/>
              </w:rPr>
              <w:t>$246,940</w:t>
            </w:r>
          </w:p>
        </w:tc>
        <w:tc>
          <w:tcPr>
            <w:tcW w:w="0" w:type="auto"/>
            <w:tcBorders>
              <w:top w:val="nil"/>
              <w:left w:val="nil"/>
              <w:bottom w:val="single" w:sz="4" w:space="0" w:color="auto"/>
              <w:right w:val="single" w:sz="4" w:space="0" w:color="auto"/>
            </w:tcBorders>
            <w:shd w:val="clear" w:color="auto" w:fill="auto"/>
            <w:vAlign w:val="center"/>
            <w:hideMark/>
          </w:tcPr>
          <w:p w14:paraId="48CB3179" w14:textId="77777777" w:rsidR="00572995" w:rsidRPr="00483EBE" w:rsidRDefault="00572995" w:rsidP="00E8324D">
            <w:pPr>
              <w:pStyle w:val="Tablas"/>
              <w:rPr>
                <w:sz w:val="12"/>
                <w:szCs w:val="12"/>
              </w:rPr>
            </w:pPr>
            <w:r w:rsidRPr="00483EBE">
              <w:rPr>
                <w:sz w:val="12"/>
                <w:szCs w:val="12"/>
              </w:rPr>
              <w:t>$2,572</w:t>
            </w:r>
          </w:p>
        </w:tc>
        <w:tc>
          <w:tcPr>
            <w:tcW w:w="0" w:type="auto"/>
            <w:tcBorders>
              <w:top w:val="nil"/>
              <w:left w:val="nil"/>
              <w:bottom w:val="single" w:sz="4" w:space="0" w:color="auto"/>
              <w:right w:val="single" w:sz="4" w:space="0" w:color="auto"/>
            </w:tcBorders>
            <w:shd w:val="clear" w:color="auto" w:fill="auto"/>
            <w:vAlign w:val="center"/>
            <w:hideMark/>
          </w:tcPr>
          <w:p w14:paraId="3635C44D" w14:textId="77777777" w:rsidR="00572995" w:rsidRPr="00483EBE" w:rsidRDefault="00572995" w:rsidP="00E8324D">
            <w:pPr>
              <w:pStyle w:val="Tablas"/>
              <w:rPr>
                <w:sz w:val="12"/>
                <w:szCs w:val="12"/>
              </w:rPr>
            </w:pPr>
            <w:r w:rsidRPr="00483EBE">
              <w:rPr>
                <w:sz w:val="12"/>
                <w:szCs w:val="12"/>
              </w:rPr>
              <w:t>$214</w:t>
            </w:r>
          </w:p>
        </w:tc>
        <w:tc>
          <w:tcPr>
            <w:tcW w:w="0" w:type="auto"/>
            <w:tcBorders>
              <w:top w:val="nil"/>
              <w:left w:val="nil"/>
              <w:bottom w:val="single" w:sz="4" w:space="0" w:color="auto"/>
              <w:right w:val="single" w:sz="4" w:space="0" w:color="auto"/>
            </w:tcBorders>
            <w:shd w:val="clear" w:color="auto" w:fill="auto"/>
            <w:vAlign w:val="center"/>
            <w:hideMark/>
          </w:tcPr>
          <w:p w14:paraId="47B8938A"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0F00FF9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45ABB6B"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7D4D71C" w14:textId="77777777" w:rsidR="00572995" w:rsidRPr="00483EBE" w:rsidRDefault="00572995" w:rsidP="00E8324D">
            <w:pPr>
              <w:pStyle w:val="Tablas"/>
              <w:rPr>
                <w:sz w:val="12"/>
                <w:szCs w:val="12"/>
              </w:rPr>
            </w:pPr>
            <w:r w:rsidRPr="00483EBE">
              <w:rPr>
                <w:sz w:val="12"/>
                <w:szCs w:val="12"/>
              </w:rPr>
              <w:t xml:space="preserve">236 </w:t>
            </w:r>
          </w:p>
        </w:tc>
        <w:tc>
          <w:tcPr>
            <w:tcW w:w="0" w:type="auto"/>
            <w:tcBorders>
              <w:top w:val="nil"/>
              <w:left w:val="nil"/>
              <w:bottom w:val="single" w:sz="4" w:space="0" w:color="auto"/>
              <w:right w:val="single" w:sz="4" w:space="0" w:color="auto"/>
            </w:tcBorders>
            <w:shd w:val="clear" w:color="auto" w:fill="auto"/>
            <w:vAlign w:val="center"/>
            <w:hideMark/>
          </w:tcPr>
          <w:p w14:paraId="5B4CFB7A" w14:textId="77777777" w:rsidR="00572995" w:rsidRPr="00483EBE" w:rsidRDefault="00572995" w:rsidP="00E8324D">
            <w:pPr>
              <w:pStyle w:val="Tablas"/>
              <w:rPr>
                <w:sz w:val="12"/>
                <w:szCs w:val="12"/>
              </w:rPr>
            </w:pPr>
            <w:r w:rsidRPr="00483EBE">
              <w:rPr>
                <w:sz w:val="12"/>
                <w:szCs w:val="12"/>
              </w:rPr>
              <w:t>$651,339</w:t>
            </w:r>
          </w:p>
        </w:tc>
        <w:tc>
          <w:tcPr>
            <w:tcW w:w="0" w:type="auto"/>
            <w:tcBorders>
              <w:top w:val="nil"/>
              <w:left w:val="nil"/>
              <w:bottom w:val="single" w:sz="4" w:space="0" w:color="auto"/>
              <w:right w:val="single" w:sz="4" w:space="0" w:color="auto"/>
            </w:tcBorders>
            <w:shd w:val="clear" w:color="auto" w:fill="auto"/>
            <w:vAlign w:val="center"/>
            <w:hideMark/>
          </w:tcPr>
          <w:p w14:paraId="33585AE7" w14:textId="77777777" w:rsidR="00572995" w:rsidRPr="00483EBE" w:rsidRDefault="00572995" w:rsidP="00E8324D">
            <w:pPr>
              <w:pStyle w:val="Tablas"/>
              <w:rPr>
                <w:sz w:val="12"/>
                <w:szCs w:val="12"/>
              </w:rPr>
            </w:pPr>
            <w:r w:rsidRPr="00483EBE">
              <w:rPr>
                <w:sz w:val="12"/>
                <w:szCs w:val="12"/>
              </w:rPr>
              <w:t>$2,760</w:t>
            </w:r>
          </w:p>
        </w:tc>
        <w:tc>
          <w:tcPr>
            <w:tcW w:w="0" w:type="auto"/>
            <w:tcBorders>
              <w:top w:val="nil"/>
              <w:left w:val="nil"/>
              <w:bottom w:val="single" w:sz="4" w:space="0" w:color="auto"/>
              <w:right w:val="single" w:sz="4" w:space="0" w:color="auto"/>
            </w:tcBorders>
            <w:shd w:val="clear" w:color="auto" w:fill="auto"/>
            <w:vAlign w:val="center"/>
            <w:hideMark/>
          </w:tcPr>
          <w:p w14:paraId="5FA412C1"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347050DA"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53DA93C2" w14:textId="77777777" w:rsidR="00572995" w:rsidRPr="00483EBE" w:rsidRDefault="00572995" w:rsidP="00E8324D">
            <w:pPr>
              <w:pStyle w:val="Tablas"/>
              <w:rPr>
                <w:sz w:val="12"/>
                <w:szCs w:val="12"/>
              </w:rPr>
            </w:pPr>
            <w:r w:rsidRPr="00483EBE">
              <w:rPr>
                <w:sz w:val="12"/>
                <w:szCs w:val="12"/>
              </w:rPr>
              <w:t>SEBD</w:t>
            </w:r>
          </w:p>
        </w:tc>
      </w:tr>
      <w:tr w:rsidR="00572995" w:rsidRPr="00483EBE" w14:paraId="68F4086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8852DCD"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83AD954" w14:textId="77777777" w:rsidR="00572995" w:rsidRPr="00483EBE" w:rsidRDefault="00572995" w:rsidP="00E8324D">
            <w:pPr>
              <w:pStyle w:val="Tablas"/>
              <w:rPr>
                <w:sz w:val="12"/>
                <w:szCs w:val="12"/>
              </w:rPr>
            </w:pPr>
            <w:r w:rsidRPr="00483EBE">
              <w:rPr>
                <w:sz w:val="12"/>
                <w:szCs w:val="12"/>
              </w:rPr>
              <w:t xml:space="preserve">109 </w:t>
            </w:r>
          </w:p>
        </w:tc>
        <w:tc>
          <w:tcPr>
            <w:tcW w:w="0" w:type="auto"/>
            <w:tcBorders>
              <w:top w:val="nil"/>
              <w:left w:val="nil"/>
              <w:bottom w:val="single" w:sz="4" w:space="0" w:color="auto"/>
              <w:right w:val="single" w:sz="4" w:space="0" w:color="auto"/>
            </w:tcBorders>
            <w:shd w:val="clear" w:color="auto" w:fill="auto"/>
            <w:vAlign w:val="center"/>
            <w:hideMark/>
          </w:tcPr>
          <w:p w14:paraId="14B04CC7" w14:textId="77777777" w:rsidR="00572995" w:rsidRPr="00483EBE" w:rsidRDefault="00572995" w:rsidP="00E8324D">
            <w:pPr>
              <w:pStyle w:val="Tablas"/>
              <w:rPr>
                <w:sz w:val="12"/>
                <w:szCs w:val="12"/>
              </w:rPr>
            </w:pPr>
            <w:r w:rsidRPr="00483EBE">
              <w:rPr>
                <w:sz w:val="12"/>
                <w:szCs w:val="12"/>
              </w:rPr>
              <w:t>$286,276</w:t>
            </w:r>
          </w:p>
        </w:tc>
        <w:tc>
          <w:tcPr>
            <w:tcW w:w="0" w:type="auto"/>
            <w:tcBorders>
              <w:top w:val="nil"/>
              <w:left w:val="nil"/>
              <w:bottom w:val="single" w:sz="4" w:space="0" w:color="auto"/>
              <w:right w:val="single" w:sz="4" w:space="0" w:color="auto"/>
            </w:tcBorders>
            <w:shd w:val="clear" w:color="auto" w:fill="auto"/>
            <w:vAlign w:val="center"/>
            <w:hideMark/>
          </w:tcPr>
          <w:p w14:paraId="4A7E18ED" w14:textId="77777777" w:rsidR="00572995" w:rsidRPr="00483EBE" w:rsidRDefault="00572995" w:rsidP="00E8324D">
            <w:pPr>
              <w:pStyle w:val="Tablas"/>
              <w:rPr>
                <w:sz w:val="12"/>
                <w:szCs w:val="12"/>
              </w:rPr>
            </w:pPr>
            <w:r w:rsidRPr="00483EBE">
              <w:rPr>
                <w:sz w:val="12"/>
                <w:szCs w:val="12"/>
              </w:rPr>
              <w:t>$2,626</w:t>
            </w:r>
          </w:p>
        </w:tc>
        <w:tc>
          <w:tcPr>
            <w:tcW w:w="0" w:type="auto"/>
            <w:tcBorders>
              <w:top w:val="nil"/>
              <w:left w:val="nil"/>
              <w:bottom w:val="single" w:sz="4" w:space="0" w:color="auto"/>
              <w:right w:val="single" w:sz="4" w:space="0" w:color="auto"/>
            </w:tcBorders>
            <w:shd w:val="clear" w:color="auto" w:fill="auto"/>
            <w:vAlign w:val="center"/>
            <w:hideMark/>
          </w:tcPr>
          <w:p w14:paraId="628F237F" w14:textId="77777777" w:rsidR="00572995" w:rsidRPr="00483EBE" w:rsidRDefault="00572995" w:rsidP="00E8324D">
            <w:pPr>
              <w:pStyle w:val="Tablas"/>
              <w:rPr>
                <w:sz w:val="12"/>
                <w:szCs w:val="12"/>
              </w:rPr>
            </w:pPr>
            <w:r w:rsidRPr="00483EBE">
              <w:rPr>
                <w:sz w:val="12"/>
                <w:szCs w:val="12"/>
              </w:rPr>
              <w:t>$219</w:t>
            </w:r>
          </w:p>
        </w:tc>
        <w:tc>
          <w:tcPr>
            <w:tcW w:w="0" w:type="auto"/>
            <w:tcBorders>
              <w:top w:val="nil"/>
              <w:left w:val="nil"/>
              <w:bottom w:val="single" w:sz="4" w:space="0" w:color="auto"/>
              <w:right w:val="single" w:sz="4" w:space="0" w:color="auto"/>
            </w:tcBorders>
            <w:shd w:val="clear" w:color="auto" w:fill="auto"/>
            <w:vAlign w:val="center"/>
            <w:hideMark/>
          </w:tcPr>
          <w:p w14:paraId="2851B274"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6137D48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E0DDFD"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0EB10D6D" w14:textId="77777777" w:rsidR="00572995" w:rsidRPr="00483EBE" w:rsidRDefault="00572995" w:rsidP="00E8324D">
            <w:pPr>
              <w:pStyle w:val="Tablas"/>
              <w:rPr>
                <w:sz w:val="12"/>
                <w:szCs w:val="12"/>
              </w:rPr>
            </w:pPr>
            <w:r w:rsidRPr="00483EBE">
              <w:rPr>
                <w:sz w:val="12"/>
                <w:szCs w:val="12"/>
              </w:rPr>
              <w:t xml:space="preserve">187 </w:t>
            </w:r>
          </w:p>
        </w:tc>
        <w:tc>
          <w:tcPr>
            <w:tcW w:w="0" w:type="auto"/>
            <w:tcBorders>
              <w:top w:val="nil"/>
              <w:left w:val="nil"/>
              <w:bottom w:val="single" w:sz="4" w:space="0" w:color="auto"/>
              <w:right w:val="single" w:sz="4" w:space="0" w:color="auto"/>
            </w:tcBorders>
            <w:shd w:val="clear" w:color="auto" w:fill="auto"/>
            <w:vAlign w:val="center"/>
            <w:hideMark/>
          </w:tcPr>
          <w:p w14:paraId="395CD242" w14:textId="77777777" w:rsidR="00572995" w:rsidRPr="00483EBE" w:rsidRDefault="00572995" w:rsidP="00E8324D">
            <w:pPr>
              <w:pStyle w:val="Tablas"/>
              <w:rPr>
                <w:sz w:val="12"/>
                <w:szCs w:val="12"/>
              </w:rPr>
            </w:pPr>
            <w:r w:rsidRPr="00483EBE">
              <w:rPr>
                <w:sz w:val="12"/>
                <w:szCs w:val="12"/>
              </w:rPr>
              <w:t>$519,434</w:t>
            </w:r>
          </w:p>
        </w:tc>
        <w:tc>
          <w:tcPr>
            <w:tcW w:w="0" w:type="auto"/>
            <w:tcBorders>
              <w:top w:val="nil"/>
              <w:left w:val="nil"/>
              <w:bottom w:val="single" w:sz="4" w:space="0" w:color="auto"/>
              <w:right w:val="single" w:sz="4" w:space="0" w:color="auto"/>
            </w:tcBorders>
            <w:shd w:val="clear" w:color="auto" w:fill="auto"/>
            <w:vAlign w:val="center"/>
            <w:hideMark/>
          </w:tcPr>
          <w:p w14:paraId="38FB08A4" w14:textId="77777777" w:rsidR="00572995" w:rsidRPr="00483EBE" w:rsidRDefault="00572995" w:rsidP="00E8324D">
            <w:pPr>
              <w:pStyle w:val="Tablas"/>
              <w:rPr>
                <w:sz w:val="12"/>
                <w:szCs w:val="12"/>
              </w:rPr>
            </w:pPr>
            <w:r w:rsidRPr="00483EBE">
              <w:rPr>
                <w:sz w:val="12"/>
                <w:szCs w:val="12"/>
              </w:rPr>
              <w:t>$2,778</w:t>
            </w:r>
          </w:p>
        </w:tc>
        <w:tc>
          <w:tcPr>
            <w:tcW w:w="0" w:type="auto"/>
            <w:tcBorders>
              <w:top w:val="nil"/>
              <w:left w:val="nil"/>
              <w:bottom w:val="single" w:sz="4" w:space="0" w:color="auto"/>
              <w:right w:val="single" w:sz="4" w:space="0" w:color="auto"/>
            </w:tcBorders>
            <w:shd w:val="clear" w:color="auto" w:fill="auto"/>
            <w:vAlign w:val="center"/>
            <w:hideMark/>
          </w:tcPr>
          <w:p w14:paraId="11874D2E" w14:textId="77777777" w:rsidR="00572995" w:rsidRPr="00483EBE" w:rsidRDefault="00572995" w:rsidP="00E8324D">
            <w:pPr>
              <w:pStyle w:val="Tablas"/>
              <w:rPr>
                <w:sz w:val="12"/>
                <w:szCs w:val="12"/>
              </w:rPr>
            </w:pPr>
            <w:r w:rsidRPr="00483EBE">
              <w:rPr>
                <w:sz w:val="12"/>
                <w:szCs w:val="12"/>
              </w:rPr>
              <w:t>$231</w:t>
            </w:r>
          </w:p>
        </w:tc>
        <w:tc>
          <w:tcPr>
            <w:tcW w:w="0" w:type="auto"/>
            <w:tcBorders>
              <w:top w:val="nil"/>
              <w:left w:val="nil"/>
              <w:bottom w:val="single" w:sz="4" w:space="0" w:color="auto"/>
              <w:right w:val="single" w:sz="4" w:space="0" w:color="auto"/>
            </w:tcBorders>
            <w:shd w:val="clear" w:color="auto" w:fill="auto"/>
            <w:vAlign w:val="center"/>
            <w:hideMark/>
          </w:tcPr>
          <w:p w14:paraId="0EA889C6"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72BA1CE9" w14:textId="77777777" w:rsidR="00572995" w:rsidRPr="00483EBE" w:rsidRDefault="00572995" w:rsidP="00E8324D">
            <w:pPr>
              <w:pStyle w:val="Tablas"/>
              <w:rPr>
                <w:sz w:val="12"/>
                <w:szCs w:val="12"/>
              </w:rPr>
            </w:pPr>
            <w:r w:rsidRPr="00483EBE">
              <w:rPr>
                <w:sz w:val="12"/>
                <w:szCs w:val="12"/>
              </w:rPr>
              <w:t>SEBD</w:t>
            </w:r>
          </w:p>
        </w:tc>
      </w:tr>
      <w:tr w:rsidR="00572995" w:rsidRPr="00483EBE" w14:paraId="453350A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F28D9C"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182F9D19" w14:textId="77777777" w:rsidR="00572995" w:rsidRPr="00483EBE" w:rsidRDefault="00572995" w:rsidP="00E8324D">
            <w:pPr>
              <w:pStyle w:val="Tablas"/>
              <w:rPr>
                <w:sz w:val="12"/>
                <w:szCs w:val="12"/>
              </w:rPr>
            </w:pPr>
            <w:r w:rsidRPr="00483EBE">
              <w:rPr>
                <w:sz w:val="12"/>
                <w:szCs w:val="12"/>
              </w:rPr>
              <w:t xml:space="preserve">116 </w:t>
            </w:r>
          </w:p>
        </w:tc>
        <w:tc>
          <w:tcPr>
            <w:tcW w:w="0" w:type="auto"/>
            <w:tcBorders>
              <w:top w:val="nil"/>
              <w:left w:val="nil"/>
              <w:bottom w:val="single" w:sz="4" w:space="0" w:color="auto"/>
              <w:right w:val="single" w:sz="4" w:space="0" w:color="auto"/>
            </w:tcBorders>
            <w:shd w:val="clear" w:color="auto" w:fill="auto"/>
            <w:vAlign w:val="center"/>
            <w:hideMark/>
          </w:tcPr>
          <w:p w14:paraId="75AA92A2" w14:textId="77777777" w:rsidR="00572995" w:rsidRPr="00483EBE" w:rsidRDefault="00572995" w:rsidP="00E8324D">
            <w:pPr>
              <w:pStyle w:val="Tablas"/>
              <w:rPr>
                <w:sz w:val="12"/>
                <w:szCs w:val="12"/>
              </w:rPr>
            </w:pPr>
            <w:r w:rsidRPr="00483EBE">
              <w:rPr>
                <w:sz w:val="12"/>
                <w:szCs w:val="12"/>
              </w:rPr>
              <w:t>$295,367</w:t>
            </w:r>
          </w:p>
        </w:tc>
        <w:tc>
          <w:tcPr>
            <w:tcW w:w="0" w:type="auto"/>
            <w:tcBorders>
              <w:top w:val="nil"/>
              <w:left w:val="nil"/>
              <w:bottom w:val="single" w:sz="4" w:space="0" w:color="auto"/>
              <w:right w:val="single" w:sz="4" w:space="0" w:color="auto"/>
            </w:tcBorders>
            <w:shd w:val="clear" w:color="auto" w:fill="auto"/>
            <w:vAlign w:val="center"/>
            <w:hideMark/>
          </w:tcPr>
          <w:p w14:paraId="2BC846CA" w14:textId="77777777" w:rsidR="00572995" w:rsidRPr="00483EBE" w:rsidRDefault="00572995" w:rsidP="00E8324D">
            <w:pPr>
              <w:pStyle w:val="Tablas"/>
              <w:rPr>
                <w:sz w:val="12"/>
                <w:szCs w:val="12"/>
              </w:rPr>
            </w:pPr>
            <w:r w:rsidRPr="00483EBE">
              <w:rPr>
                <w:sz w:val="12"/>
                <w:szCs w:val="12"/>
              </w:rPr>
              <w:t>$2,546</w:t>
            </w:r>
          </w:p>
        </w:tc>
        <w:tc>
          <w:tcPr>
            <w:tcW w:w="0" w:type="auto"/>
            <w:tcBorders>
              <w:top w:val="nil"/>
              <w:left w:val="nil"/>
              <w:bottom w:val="single" w:sz="4" w:space="0" w:color="auto"/>
              <w:right w:val="single" w:sz="4" w:space="0" w:color="auto"/>
            </w:tcBorders>
            <w:shd w:val="clear" w:color="auto" w:fill="auto"/>
            <w:vAlign w:val="center"/>
            <w:hideMark/>
          </w:tcPr>
          <w:p w14:paraId="3D5089A0" w14:textId="77777777" w:rsidR="00572995" w:rsidRPr="00483EBE" w:rsidRDefault="00572995" w:rsidP="00E8324D">
            <w:pPr>
              <w:pStyle w:val="Tablas"/>
              <w:rPr>
                <w:sz w:val="12"/>
                <w:szCs w:val="12"/>
              </w:rPr>
            </w:pPr>
            <w:r w:rsidRPr="00483EBE">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55BC9B96"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3FA9A8E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AC07BFA"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75612785" w14:textId="77777777" w:rsidR="00572995" w:rsidRPr="00483EBE" w:rsidRDefault="00572995" w:rsidP="00E8324D">
            <w:pPr>
              <w:pStyle w:val="Tablas"/>
              <w:rPr>
                <w:sz w:val="12"/>
                <w:szCs w:val="12"/>
              </w:rPr>
            </w:pPr>
            <w:r w:rsidRPr="00483EBE">
              <w:rPr>
                <w:sz w:val="12"/>
                <w:szCs w:val="12"/>
              </w:rPr>
              <w:t xml:space="preserve">197 </w:t>
            </w:r>
          </w:p>
        </w:tc>
        <w:tc>
          <w:tcPr>
            <w:tcW w:w="0" w:type="auto"/>
            <w:tcBorders>
              <w:top w:val="nil"/>
              <w:left w:val="nil"/>
              <w:bottom w:val="single" w:sz="4" w:space="0" w:color="auto"/>
              <w:right w:val="single" w:sz="4" w:space="0" w:color="auto"/>
            </w:tcBorders>
            <w:shd w:val="clear" w:color="auto" w:fill="auto"/>
            <w:vAlign w:val="center"/>
            <w:hideMark/>
          </w:tcPr>
          <w:p w14:paraId="2B360344" w14:textId="77777777" w:rsidR="00572995" w:rsidRPr="00483EBE" w:rsidRDefault="00572995" w:rsidP="00E8324D">
            <w:pPr>
              <w:pStyle w:val="Tablas"/>
              <w:rPr>
                <w:sz w:val="12"/>
                <w:szCs w:val="12"/>
              </w:rPr>
            </w:pPr>
            <w:r w:rsidRPr="00483EBE">
              <w:rPr>
                <w:sz w:val="12"/>
                <w:szCs w:val="12"/>
              </w:rPr>
              <w:t>$577,446</w:t>
            </w:r>
          </w:p>
        </w:tc>
        <w:tc>
          <w:tcPr>
            <w:tcW w:w="0" w:type="auto"/>
            <w:tcBorders>
              <w:top w:val="nil"/>
              <w:left w:val="nil"/>
              <w:bottom w:val="single" w:sz="4" w:space="0" w:color="auto"/>
              <w:right w:val="single" w:sz="4" w:space="0" w:color="auto"/>
            </w:tcBorders>
            <w:shd w:val="clear" w:color="auto" w:fill="auto"/>
            <w:vAlign w:val="center"/>
            <w:hideMark/>
          </w:tcPr>
          <w:p w14:paraId="52281B8C" w14:textId="77777777" w:rsidR="00572995" w:rsidRPr="00483EBE" w:rsidRDefault="00572995" w:rsidP="00E8324D">
            <w:pPr>
              <w:pStyle w:val="Tablas"/>
              <w:rPr>
                <w:sz w:val="12"/>
                <w:szCs w:val="12"/>
              </w:rPr>
            </w:pPr>
            <w:r w:rsidRPr="00483EBE">
              <w:rPr>
                <w:sz w:val="12"/>
                <w:szCs w:val="12"/>
              </w:rPr>
              <w:t>$2,931</w:t>
            </w:r>
          </w:p>
        </w:tc>
        <w:tc>
          <w:tcPr>
            <w:tcW w:w="0" w:type="auto"/>
            <w:tcBorders>
              <w:top w:val="nil"/>
              <w:left w:val="nil"/>
              <w:bottom w:val="single" w:sz="4" w:space="0" w:color="auto"/>
              <w:right w:val="single" w:sz="4" w:space="0" w:color="auto"/>
            </w:tcBorders>
            <w:shd w:val="clear" w:color="auto" w:fill="auto"/>
            <w:vAlign w:val="center"/>
            <w:hideMark/>
          </w:tcPr>
          <w:p w14:paraId="67B5AD83" w14:textId="77777777" w:rsidR="00572995" w:rsidRPr="00483EBE" w:rsidRDefault="00572995" w:rsidP="00E8324D">
            <w:pPr>
              <w:pStyle w:val="Tablas"/>
              <w:rPr>
                <w:sz w:val="12"/>
                <w:szCs w:val="12"/>
              </w:rPr>
            </w:pPr>
            <w:r w:rsidRPr="00483EBE">
              <w:rPr>
                <w:sz w:val="12"/>
                <w:szCs w:val="12"/>
              </w:rPr>
              <w:t>$244</w:t>
            </w:r>
          </w:p>
        </w:tc>
        <w:tc>
          <w:tcPr>
            <w:tcW w:w="0" w:type="auto"/>
            <w:tcBorders>
              <w:top w:val="nil"/>
              <w:left w:val="nil"/>
              <w:bottom w:val="single" w:sz="4" w:space="0" w:color="auto"/>
              <w:right w:val="single" w:sz="4" w:space="0" w:color="auto"/>
            </w:tcBorders>
            <w:shd w:val="clear" w:color="auto" w:fill="auto"/>
            <w:vAlign w:val="center"/>
            <w:hideMark/>
          </w:tcPr>
          <w:p w14:paraId="3FCE6AC2"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6CE26B17" w14:textId="77777777" w:rsidR="00572995" w:rsidRPr="00483EBE" w:rsidRDefault="00572995" w:rsidP="00E8324D">
            <w:pPr>
              <w:pStyle w:val="Tablas"/>
              <w:rPr>
                <w:sz w:val="12"/>
                <w:szCs w:val="12"/>
              </w:rPr>
            </w:pPr>
            <w:r w:rsidRPr="00483EBE">
              <w:rPr>
                <w:sz w:val="12"/>
                <w:szCs w:val="12"/>
              </w:rPr>
              <w:t>SEBD</w:t>
            </w:r>
          </w:p>
        </w:tc>
      </w:tr>
      <w:tr w:rsidR="00572995" w:rsidRPr="00483EBE" w14:paraId="214992E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AA2E3F"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7BD1256" w14:textId="77777777" w:rsidR="00572995" w:rsidRPr="00483EBE" w:rsidRDefault="00572995" w:rsidP="00E8324D">
            <w:pPr>
              <w:pStyle w:val="Tablas"/>
              <w:rPr>
                <w:sz w:val="12"/>
                <w:szCs w:val="12"/>
              </w:rPr>
            </w:pPr>
            <w:r w:rsidRPr="00483EBE">
              <w:rPr>
                <w:sz w:val="12"/>
                <w:szCs w:val="12"/>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14:paraId="7B7532D9" w14:textId="77777777" w:rsidR="00572995" w:rsidRPr="00483EBE" w:rsidRDefault="00572995" w:rsidP="00E8324D">
            <w:pPr>
              <w:pStyle w:val="Tablas"/>
              <w:rPr>
                <w:sz w:val="12"/>
                <w:szCs w:val="12"/>
              </w:rPr>
            </w:pPr>
            <w:r w:rsidRPr="00483EBE">
              <w:rPr>
                <w:sz w:val="12"/>
                <w:szCs w:val="12"/>
              </w:rPr>
              <w:t>$310,240</w:t>
            </w:r>
          </w:p>
        </w:tc>
        <w:tc>
          <w:tcPr>
            <w:tcW w:w="0" w:type="auto"/>
            <w:tcBorders>
              <w:top w:val="nil"/>
              <w:left w:val="nil"/>
              <w:bottom w:val="single" w:sz="4" w:space="0" w:color="auto"/>
              <w:right w:val="single" w:sz="4" w:space="0" w:color="auto"/>
            </w:tcBorders>
            <w:shd w:val="clear" w:color="auto" w:fill="auto"/>
            <w:vAlign w:val="center"/>
            <w:hideMark/>
          </w:tcPr>
          <w:p w14:paraId="5A2CA538" w14:textId="77777777" w:rsidR="00572995" w:rsidRPr="00483EBE" w:rsidRDefault="00572995" w:rsidP="00E8324D">
            <w:pPr>
              <w:pStyle w:val="Tablas"/>
              <w:rPr>
                <w:sz w:val="12"/>
                <w:szCs w:val="12"/>
              </w:rPr>
            </w:pPr>
            <w:r w:rsidRPr="00483EBE">
              <w:rPr>
                <w:sz w:val="12"/>
                <w:szCs w:val="12"/>
              </w:rPr>
              <w:t>$2,585</w:t>
            </w:r>
          </w:p>
        </w:tc>
        <w:tc>
          <w:tcPr>
            <w:tcW w:w="0" w:type="auto"/>
            <w:tcBorders>
              <w:top w:val="nil"/>
              <w:left w:val="nil"/>
              <w:bottom w:val="single" w:sz="4" w:space="0" w:color="auto"/>
              <w:right w:val="single" w:sz="4" w:space="0" w:color="auto"/>
            </w:tcBorders>
            <w:shd w:val="clear" w:color="auto" w:fill="auto"/>
            <w:vAlign w:val="center"/>
            <w:hideMark/>
          </w:tcPr>
          <w:p w14:paraId="7DCB2EE1"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76D27043"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0229A45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935E87"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3A9E133F" w14:textId="77777777" w:rsidR="00572995" w:rsidRPr="00483EBE" w:rsidRDefault="00572995" w:rsidP="00E8324D">
            <w:pPr>
              <w:pStyle w:val="Tablas"/>
              <w:rPr>
                <w:sz w:val="12"/>
                <w:szCs w:val="12"/>
              </w:rPr>
            </w:pPr>
            <w:r w:rsidRPr="00483EBE">
              <w:rPr>
                <w:sz w:val="12"/>
                <w:szCs w:val="12"/>
              </w:rPr>
              <w:t xml:space="preserve">111 </w:t>
            </w:r>
          </w:p>
        </w:tc>
        <w:tc>
          <w:tcPr>
            <w:tcW w:w="0" w:type="auto"/>
            <w:tcBorders>
              <w:top w:val="nil"/>
              <w:left w:val="nil"/>
              <w:bottom w:val="single" w:sz="4" w:space="0" w:color="auto"/>
              <w:right w:val="single" w:sz="4" w:space="0" w:color="auto"/>
            </w:tcBorders>
            <w:shd w:val="clear" w:color="auto" w:fill="auto"/>
            <w:vAlign w:val="center"/>
            <w:hideMark/>
          </w:tcPr>
          <w:p w14:paraId="5D553D30" w14:textId="77777777" w:rsidR="00572995" w:rsidRPr="00483EBE" w:rsidRDefault="00572995" w:rsidP="00E8324D">
            <w:pPr>
              <w:pStyle w:val="Tablas"/>
              <w:rPr>
                <w:sz w:val="12"/>
                <w:szCs w:val="12"/>
              </w:rPr>
            </w:pPr>
            <w:r w:rsidRPr="00483EBE">
              <w:rPr>
                <w:sz w:val="12"/>
                <w:szCs w:val="12"/>
              </w:rPr>
              <w:t>$330,935</w:t>
            </w:r>
          </w:p>
        </w:tc>
        <w:tc>
          <w:tcPr>
            <w:tcW w:w="0" w:type="auto"/>
            <w:tcBorders>
              <w:top w:val="nil"/>
              <w:left w:val="nil"/>
              <w:bottom w:val="single" w:sz="4" w:space="0" w:color="auto"/>
              <w:right w:val="single" w:sz="4" w:space="0" w:color="auto"/>
            </w:tcBorders>
            <w:shd w:val="clear" w:color="auto" w:fill="auto"/>
            <w:vAlign w:val="center"/>
            <w:hideMark/>
          </w:tcPr>
          <w:p w14:paraId="2A194A75" w14:textId="77777777" w:rsidR="00572995" w:rsidRPr="00483EBE" w:rsidRDefault="00572995" w:rsidP="00E8324D">
            <w:pPr>
              <w:pStyle w:val="Tablas"/>
              <w:rPr>
                <w:sz w:val="12"/>
                <w:szCs w:val="12"/>
              </w:rPr>
            </w:pPr>
            <w:r w:rsidRPr="00483EBE">
              <w:rPr>
                <w:sz w:val="12"/>
                <w:szCs w:val="12"/>
              </w:rPr>
              <w:t>$2,981</w:t>
            </w:r>
          </w:p>
        </w:tc>
        <w:tc>
          <w:tcPr>
            <w:tcW w:w="0" w:type="auto"/>
            <w:tcBorders>
              <w:top w:val="nil"/>
              <w:left w:val="nil"/>
              <w:bottom w:val="single" w:sz="4" w:space="0" w:color="auto"/>
              <w:right w:val="single" w:sz="4" w:space="0" w:color="auto"/>
            </w:tcBorders>
            <w:shd w:val="clear" w:color="auto" w:fill="auto"/>
            <w:vAlign w:val="center"/>
            <w:hideMark/>
          </w:tcPr>
          <w:p w14:paraId="274A3330" w14:textId="77777777" w:rsidR="00572995" w:rsidRPr="00483EBE" w:rsidRDefault="00572995" w:rsidP="00E8324D">
            <w:pPr>
              <w:pStyle w:val="Tablas"/>
              <w:rPr>
                <w:sz w:val="12"/>
                <w:szCs w:val="12"/>
              </w:rPr>
            </w:pPr>
            <w:r w:rsidRPr="00483EBE">
              <w:rPr>
                <w:sz w:val="12"/>
                <w:szCs w:val="12"/>
              </w:rPr>
              <w:t>$248</w:t>
            </w:r>
          </w:p>
        </w:tc>
        <w:tc>
          <w:tcPr>
            <w:tcW w:w="0" w:type="auto"/>
            <w:tcBorders>
              <w:top w:val="nil"/>
              <w:left w:val="nil"/>
              <w:bottom w:val="single" w:sz="4" w:space="0" w:color="auto"/>
              <w:right w:val="single" w:sz="4" w:space="0" w:color="auto"/>
            </w:tcBorders>
            <w:shd w:val="clear" w:color="auto" w:fill="auto"/>
            <w:vAlign w:val="center"/>
            <w:hideMark/>
          </w:tcPr>
          <w:p w14:paraId="649A7341"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14447502" w14:textId="77777777" w:rsidR="00572995" w:rsidRPr="00483EBE" w:rsidRDefault="00572995" w:rsidP="00E8324D">
            <w:pPr>
              <w:pStyle w:val="Tablas"/>
              <w:rPr>
                <w:sz w:val="12"/>
                <w:szCs w:val="12"/>
              </w:rPr>
            </w:pPr>
            <w:r w:rsidRPr="00483EBE">
              <w:rPr>
                <w:sz w:val="12"/>
                <w:szCs w:val="12"/>
              </w:rPr>
              <w:t>SEBD</w:t>
            </w:r>
          </w:p>
        </w:tc>
      </w:tr>
      <w:tr w:rsidR="00572995" w:rsidRPr="00483EBE" w14:paraId="359A8B1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E94DB0B"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4FA400E6" w14:textId="77777777" w:rsidR="00572995" w:rsidRPr="00483EBE" w:rsidRDefault="00572995" w:rsidP="00E8324D">
            <w:pPr>
              <w:pStyle w:val="Tablas"/>
              <w:rPr>
                <w:sz w:val="12"/>
                <w:szCs w:val="12"/>
              </w:rPr>
            </w:pPr>
            <w:r w:rsidRPr="00483EBE">
              <w:rPr>
                <w:sz w:val="12"/>
                <w:szCs w:val="12"/>
              </w:rPr>
              <w:t xml:space="preserve">119 </w:t>
            </w:r>
          </w:p>
        </w:tc>
        <w:tc>
          <w:tcPr>
            <w:tcW w:w="0" w:type="auto"/>
            <w:tcBorders>
              <w:top w:val="nil"/>
              <w:left w:val="nil"/>
              <w:bottom w:val="single" w:sz="4" w:space="0" w:color="auto"/>
              <w:right w:val="single" w:sz="4" w:space="0" w:color="auto"/>
            </w:tcBorders>
            <w:shd w:val="clear" w:color="auto" w:fill="auto"/>
            <w:vAlign w:val="center"/>
            <w:hideMark/>
          </w:tcPr>
          <w:p w14:paraId="61C35178" w14:textId="77777777" w:rsidR="00572995" w:rsidRPr="00483EBE" w:rsidRDefault="00572995" w:rsidP="00E8324D">
            <w:pPr>
              <w:pStyle w:val="Tablas"/>
              <w:rPr>
                <w:sz w:val="12"/>
                <w:szCs w:val="12"/>
              </w:rPr>
            </w:pPr>
            <w:r w:rsidRPr="00483EBE">
              <w:rPr>
                <w:sz w:val="12"/>
                <w:szCs w:val="12"/>
              </w:rPr>
              <w:t>$286,073</w:t>
            </w:r>
          </w:p>
        </w:tc>
        <w:tc>
          <w:tcPr>
            <w:tcW w:w="0" w:type="auto"/>
            <w:tcBorders>
              <w:top w:val="nil"/>
              <w:left w:val="nil"/>
              <w:bottom w:val="single" w:sz="4" w:space="0" w:color="auto"/>
              <w:right w:val="single" w:sz="4" w:space="0" w:color="auto"/>
            </w:tcBorders>
            <w:shd w:val="clear" w:color="auto" w:fill="auto"/>
            <w:vAlign w:val="center"/>
            <w:hideMark/>
          </w:tcPr>
          <w:p w14:paraId="1D19413D" w14:textId="77777777" w:rsidR="00572995" w:rsidRPr="00483EBE" w:rsidRDefault="00572995" w:rsidP="00E8324D">
            <w:pPr>
              <w:pStyle w:val="Tablas"/>
              <w:rPr>
                <w:sz w:val="12"/>
                <w:szCs w:val="12"/>
              </w:rPr>
            </w:pPr>
            <w:r w:rsidRPr="00483EBE">
              <w:rPr>
                <w:sz w:val="12"/>
                <w:szCs w:val="12"/>
              </w:rPr>
              <w:t>$2,404</w:t>
            </w:r>
          </w:p>
        </w:tc>
        <w:tc>
          <w:tcPr>
            <w:tcW w:w="0" w:type="auto"/>
            <w:tcBorders>
              <w:top w:val="nil"/>
              <w:left w:val="nil"/>
              <w:bottom w:val="single" w:sz="4" w:space="0" w:color="auto"/>
              <w:right w:val="single" w:sz="4" w:space="0" w:color="auto"/>
            </w:tcBorders>
            <w:shd w:val="clear" w:color="auto" w:fill="auto"/>
            <w:vAlign w:val="center"/>
            <w:hideMark/>
          </w:tcPr>
          <w:p w14:paraId="6CE87010" w14:textId="77777777" w:rsidR="00572995" w:rsidRPr="00483EBE" w:rsidRDefault="00572995" w:rsidP="00E8324D">
            <w:pPr>
              <w:pStyle w:val="Tablas"/>
              <w:rPr>
                <w:sz w:val="12"/>
                <w:szCs w:val="12"/>
              </w:rPr>
            </w:pPr>
            <w:r w:rsidRPr="00483EBE">
              <w:rPr>
                <w:sz w:val="12"/>
                <w:szCs w:val="12"/>
              </w:rPr>
              <w:t>$200</w:t>
            </w:r>
          </w:p>
        </w:tc>
        <w:tc>
          <w:tcPr>
            <w:tcW w:w="0" w:type="auto"/>
            <w:tcBorders>
              <w:top w:val="nil"/>
              <w:left w:val="nil"/>
              <w:bottom w:val="single" w:sz="4" w:space="0" w:color="auto"/>
              <w:right w:val="single" w:sz="4" w:space="0" w:color="auto"/>
            </w:tcBorders>
            <w:shd w:val="clear" w:color="auto" w:fill="auto"/>
            <w:vAlign w:val="center"/>
            <w:hideMark/>
          </w:tcPr>
          <w:p w14:paraId="2C200AC7"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644A3C9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039E4A"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8DC3528" w14:textId="77777777" w:rsidR="00572995" w:rsidRPr="00483EBE" w:rsidRDefault="00572995" w:rsidP="00E8324D">
            <w:pPr>
              <w:pStyle w:val="Tablas"/>
              <w:rPr>
                <w:sz w:val="12"/>
                <w:szCs w:val="12"/>
              </w:rPr>
            </w:pPr>
            <w:r w:rsidRPr="00483EBE">
              <w:rPr>
                <w:sz w:val="12"/>
                <w:szCs w:val="12"/>
              </w:rPr>
              <w:t xml:space="preserve">141 </w:t>
            </w:r>
          </w:p>
        </w:tc>
        <w:tc>
          <w:tcPr>
            <w:tcW w:w="0" w:type="auto"/>
            <w:tcBorders>
              <w:top w:val="nil"/>
              <w:left w:val="nil"/>
              <w:bottom w:val="single" w:sz="4" w:space="0" w:color="auto"/>
              <w:right w:val="single" w:sz="4" w:space="0" w:color="auto"/>
            </w:tcBorders>
            <w:shd w:val="clear" w:color="auto" w:fill="auto"/>
            <w:vAlign w:val="center"/>
            <w:hideMark/>
          </w:tcPr>
          <w:p w14:paraId="52F002D1" w14:textId="77777777" w:rsidR="00572995" w:rsidRPr="00483EBE" w:rsidRDefault="00572995" w:rsidP="00E8324D">
            <w:pPr>
              <w:pStyle w:val="Tablas"/>
              <w:rPr>
                <w:sz w:val="12"/>
                <w:szCs w:val="12"/>
              </w:rPr>
            </w:pPr>
            <w:r w:rsidRPr="00483EBE">
              <w:rPr>
                <w:sz w:val="12"/>
                <w:szCs w:val="12"/>
              </w:rPr>
              <w:t>$414,520</w:t>
            </w:r>
          </w:p>
        </w:tc>
        <w:tc>
          <w:tcPr>
            <w:tcW w:w="0" w:type="auto"/>
            <w:tcBorders>
              <w:top w:val="nil"/>
              <w:left w:val="nil"/>
              <w:bottom w:val="single" w:sz="4" w:space="0" w:color="auto"/>
              <w:right w:val="single" w:sz="4" w:space="0" w:color="auto"/>
            </w:tcBorders>
            <w:shd w:val="clear" w:color="auto" w:fill="auto"/>
            <w:vAlign w:val="center"/>
            <w:hideMark/>
          </w:tcPr>
          <w:p w14:paraId="5CA8EA1C" w14:textId="77777777" w:rsidR="00572995" w:rsidRPr="00483EBE" w:rsidRDefault="00572995" w:rsidP="00E8324D">
            <w:pPr>
              <w:pStyle w:val="Tablas"/>
              <w:rPr>
                <w:sz w:val="12"/>
                <w:szCs w:val="12"/>
              </w:rPr>
            </w:pPr>
            <w:r w:rsidRPr="00483EBE">
              <w:rPr>
                <w:sz w:val="12"/>
                <w:szCs w:val="12"/>
              </w:rPr>
              <w:t>$2,940</w:t>
            </w:r>
          </w:p>
        </w:tc>
        <w:tc>
          <w:tcPr>
            <w:tcW w:w="0" w:type="auto"/>
            <w:tcBorders>
              <w:top w:val="nil"/>
              <w:left w:val="nil"/>
              <w:bottom w:val="single" w:sz="4" w:space="0" w:color="auto"/>
              <w:right w:val="single" w:sz="4" w:space="0" w:color="auto"/>
            </w:tcBorders>
            <w:shd w:val="clear" w:color="auto" w:fill="auto"/>
            <w:vAlign w:val="center"/>
            <w:hideMark/>
          </w:tcPr>
          <w:p w14:paraId="572A1A5F" w14:textId="77777777" w:rsidR="00572995" w:rsidRPr="00483EBE" w:rsidRDefault="00572995" w:rsidP="00E8324D">
            <w:pPr>
              <w:pStyle w:val="Tablas"/>
              <w:rPr>
                <w:sz w:val="12"/>
                <w:szCs w:val="12"/>
              </w:rPr>
            </w:pPr>
            <w:r w:rsidRPr="00483EBE">
              <w:rPr>
                <w:sz w:val="12"/>
                <w:szCs w:val="12"/>
              </w:rPr>
              <w:t>$245</w:t>
            </w:r>
          </w:p>
        </w:tc>
        <w:tc>
          <w:tcPr>
            <w:tcW w:w="0" w:type="auto"/>
            <w:tcBorders>
              <w:top w:val="nil"/>
              <w:left w:val="nil"/>
              <w:bottom w:val="single" w:sz="4" w:space="0" w:color="auto"/>
              <w:right w:val="single" w:sz="4" w:space="0" w:color="auto"/>
            </w:tcBorders>
            <w:shd w:val="clear" w:color="auto" w:fill="auto"/>
            <w:vAlign w:val="center"/>
            <w:hideMark/>
          </w:tcPr>
          <w:p w14:paraId="0542A56D"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68D10430" w14:textId="77777777" w:rsidR="00572995" w:rsidRPr="00483EBE" w:rsidRDefault="00572995" w:rsidP="00E8324D">
            <w:pPr>
              <w:pStyle w:val="Tablas"/>
              <w:rPr>
                <w:sz w:val="12"/>
                <w:szCs w:val="12"/>
              </w:rPr>
            </w:pPr>
            <w:r w:rsidRPr="00483EBE">
              <w:rPr>
                <w:sz w:val="12"/>
                <w:szCs w:val="12"/>
              </w:rPr>
              <w:t>SEBD</w:t>
            </w:r>
          </w:p>
        </w:tc>
      </w:tr>
      <w:tr w:rsidR="00572995" w:rsidRPr="00483EBE" w14:paraId="0E6EA16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D7C409"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64884158" w14:textId="77777777" w:rsidR="00572995" w:rsidRPr="00483EBE" w:rsidRDefault="00572995" w:rsidP="00E8324D">
            <w:pPr>
              <w:pStyle w:val="Tablas"/>
              <w:rPr>
                <w:sz w:val="12"/>
                <w:szCs w:val="12"/>
              </w:rPr>
            </w:pPr>
            <w:r w:rsidRPr="00483EBE">
              <w:rPr>
                <w:sz w:val="12"/>
                <w:szCs w:val="12"/>
              </w:rPr>
              <w:t xml:space="preserve">126 </w:t>
            </w:r>
          </w:p>
        </w:tc>
        <w:tc>
          <w:tcPr>
            <w:tcW w:w="0" w:type="auto"/>
            <w:tcBorders>
              <w:top w:val="nil"/>
              <w:left w:val="nil"/>
              <w:bottom w:val="single" w:sz="4" w:space="0" w:color="auto"/>
              <w:right w:val="single" w:sz="4" w:space="0" w:color="auto"/>
            </w:tcBorders>
            <w:shd w:val="clear" w:color="auto" w:fill="auto"/>
            <w:vAlign w:val="center"/>
            <w:hideMark/>
          </w:tcPr>
          <w:p w14:paraId="5A3FB006" w14:textId="77777777" w:rsidR="00572995" w:rsidRPr="00483EBE" w:rsidRDefault="00572995" w:rsidP="00E8324D">
            <w:pPr>
              <w:pStyle w:val="Tablas"/>
              <w:rPr>
                <w:sz w:val="12"/>
                <w:szCs w:val="12"/>
              </w:rPr>
            </w:pPr>
            <w:r w:rsidRPr="00483EBE">
              <w:rPr>
                <w:sz w:val="12"/>
                <w:szCs w:val="12"/>
              </w:rPr>
              <w:t>$329,580</w:t>
            </w:r>
          </w:p>
        </w:tc>
        <w:tc>
          <w:tcPr>
            <w:tcW w:w="0" w:type="auto"/>
            <w:tcBorders>
              <w:top w:val="nil"/>
              <w:left w:val="nil"/>
              <w:bottom w:val="single" w:sz="4" w:space="0" w:color="auto"/>
              <w:right w:val="single" w:sz="4" w:space="0" w:color="auto"/>
            </w:tcBorders>
            <w:shd w:val="clear" w:color="auto" w:fill="auto"/>
            <w:vAlign w:val="center"/>
            <w:hideMark/>
          </w:tcPr>
          <w:p w14:paraId="5850B4F6" w14:textId="77777777" w:rsidR="00572995" w:rsidRPr="00483EBE" w:rsidRDefault="00572995" w:rsidP="00E8324D">
            <w:pPr>
              <w:pStyle w:val="Tablas"/>
              <w:rPr>
                <w:sz w:val="12"/>
                <w:szCs w:val="12"/>
              </w:rPr>
            </w:pPr>
            <w:r w:rsidRPr="00483EBE">
              <w:rPr>
                <w:sz w:val="12"/>
                <w:szCs w:val="12"/>
              </w:rPr>
              <w:t>$2,616</w:t>
            </w:r>
          </w:p>
        </w:tc>
        <w:tc>
          <w:tcPr>
            <w:tcW w:w="0" w:type="auto"/>
            <w:tcBorders>
              <w:top w:val="nil"/>
              <w:left w:val="nil"/>
              <w:bottom w:val="single" w:sz="4" w:space="0" w:color="auto"/>
              <w:right w:val="single" w:sz="4" w:space="0" w:color="auto"/>
            </w:tcBorders>
            <w:shd w:val="clear" w:color="auto" w:fill="auto"/>
            <w:vAlign w:val="center"/>
            <w:hideMark/>
          </w:tcPr>
          <w:p w14:paraId="2B3B38F4" w14:textId="77777777" w:rsidR="00572995" w:rsidRPr="00483EBE" w:rsidRDefault="00572995" w:rsidP="00E8324D">
            <w:pPr>
              <w:pStyle w:val="Tablas"/>
              <w:rPr>
                <w:sz w:val="12"/>
                <w:szCs w:val="12"/>
              </w:rPr>
            </w:pPr>
            <w:r w:rsidRPr="00483EBE">
              <w:rPr>
                <w:sz w:val="12"/>
                <w:szCs w:val="12"/>
              </w:rPr>
              <w:t>$218</w:t>
            </w:r>
          </w:p>
        </w:tc>
        <w:tc>
          <w:tcPr>
            <w:tcW w:w="0" w:type="auto"/>
            <w:tcBorders>
              <w:top w:val="nil"/>
              <w:left w:val="nil"/>
              <w:bottom w:val="single" w:sz="4" w:space="0" w:color="auto"/>
              <w:right w:val="single" w:sz="4" w:space="0" w:color="auto"/>
            </w:tcBorders>
            <w:shd w:val="clear" w:color="auto" w:fill="auto"/>
            <w:vAlign w:val="center"/>
            <w:hideMark/>
          </w:tcPr>
          <w:p w14:paraId="1A04BE96"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4310411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9D8C22"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415D575" w14:textId="77777777" w:rsidR="00572995" w:rsidRPr="00483EBE" w:rsidRDefault="00572995" w:rsidP="00E8324D">
            <w:pPr>
              <w:pStyle w:val="Tablas"/>
              <w:rPr>
                <w:sz w:val="12"/>
                <w:szCs w:val="12"/>
              </w:rPr>
            </w:pPr>
            <w:r w:rsidRPr="00483EBE">
              <w:rPr>
                <w:sz w:val="12"/>
                <w:szCs w:val="12"/>
              </w:rPr>
              <w:t xml:space="preserve">122 </w:t>
            </w:r>
          </w:p>
        </w:tc>
        <w:tc>
          <w:tcPr>
            <w:tcW w:w="0" w:type="auto"/>
            <w:tcBorders>
              <w:top w:val="nil"/>
              <w:left w:val="nil"/>
              <w:bottom w:val="single" w:sz="4" w:space="0" w:color="auto"/>
              <w:right w:val="single" w:sz="4" w:space="0" w:color="auto"/>
            </w:tcBorders>
            <w:shd w:val="clear" w:color="auto" w:fill="auto"/>
            <w:vAlign w:val="center"/>
            <w:hideMark/>
          </w:tcPr>
          <w:p w14:paraId="04AAD2EF" w14:textId="77777777" w:rsidR="00572995" w:rsidRPr="00483EBE" w:rsidRDefault="00572995" w:rsidP="00E8324D">
            <w:pPr>
              <w:pStyle w:val="Tablas"/>
              <w:rPr>
                <w:sz w:val="12"/>
                <w:szCs w:val="12"/>
              </w:rPr>
            </w:pPr>
            <w:r w:rsidRPr="00483EBE">
              <w:rPr>
                <w:sz w:val="12"/>
                <w:szCs w:val="12"/>
              </w:rPr>
              <w:t>$384,880</w:t>
            </w:r>
          </w:p>
        </w:tc>
        <w:tc>
          <w:tcPr>
            <w:tcW w:w="0" w:type="auto"/>
            <w:tcBorders>
              <w:top w:val="nil"/>
              <w:left w:val="nil"/>
              <w:bottom w:val="single" w:sz="4" w:space="0" w:color="auto"/>
              <w:right w:val="single" w:sz="4" w:space="0" w:color="auto"/>
            </w:tcBorders>
            <w:shd w:val="clear" w:color="auto" w:fill="auto"/>
            <w:vAlign w:val="center"/>
            <w:hideMark/>
          </w:tcPr>
          <w:p w14:paraId="286ABDD1" w14:textId="77777777" w:rsidR="00572995" w:rsidRPr="00483EBE" w:rsidRDefault="00572995" w:rsidP="00E8324D">
            <w:pPr>
              <w:pStyle w:val="Tablas"/>
              <w:rPr>
                <w:sz w:val="12"/>
                <w:szCs w:val="12"/>
              </w:rPr>
            </w:pPr>
            <w:r w:rsidRPr="00483EBE">
              <w:rPr>
                <w:sz w:val="12"/>
                <w:szCs w:val="12"/>
              </w:rPr>
              <w:t>$3,155</w:t>
            </w:r>
          </w:p>
        </w:tc>
        <w:tc>
          <w:tcPr>
            <w:tcW w:w="0" w:type="auto"/>
            <w:tcBorders>
              <w:top w:val="nil"/>
              <w:left w:val="nil"/>
              <w:bottom w:val="single" w:sz="4" w:space="0" w:color="auto"/>
              <w:right w:val="single" w:sz="4" w:space="0" w:color="auto"/>
            </w:tcBorders>
            <w:shd w:val="clear" w:color="auto" w:fill="auto"/>
            <w:vAlign w:val="center"/>
            <w:hideMark/>
          </w:tcPr>
          <w:p w14:paraId="2200CE19"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13EF6063"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61517E7E" w14:textId="77777777" w:rsidR="00572995" w:rsidRPr="00483EBE" w:rsidRDefault="00572995" w:rsidP="00E8324D">
            <w:pPr>
              <w:pStyle w:val="Tablas"/>
              <w:rPr>
                <w:sz w:val="12"/>
                <w:szCs w:val="12"/>
              </w:rPr>
            </w:pPr>
            <w:r w:rsidRPr="00483EBE">
              <w:rPr>
                <w:sz w:val="12"/>
                <w:szCs w:val="12"/>
              </w:rPr>
              <w:t>SEBD</w:t>
            </w:r>
          </w:p>
        </w:tc>
      </w:tr>
      <w:tr w:rsidR="00572995" w:rsidRPr="00483EBE" w14:paraId="22804A1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31FEDF"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A0B9BC9" w14:textId="77777777" w:rsidR="00572995" w:rsidRPr="00483EBE" w:rsidRDefault="00572995" w:rsidP="00E8324D">
            <w:pPr>
              <w:pStyle w:val="Tablas"/>
              <w:rPr>
                <w:sz w:val="12"/>
                <w:szCs w:val="12"/>
              </w:rPr>
            </w:pPr>
            <w:r w:rsidRPr="00483EBE">
              <w:rPr>
                <w:sz w:val="12"/>
                <w:szCs w:val="12"/>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14:paraId="1A6441A4" w14:textId="77777777" w:rsidR="00572995" w:rsidRPr="00483EBE" w:rsidRDefault="00572995" w:rsidP="00E8324D">
            <w:pPr>
              <w:pStyle w:val="Tablas"/>
              <w:rPr>
                <w:sz w:val="12"/>
                <w:szCs w:val="12"/>
              </w:rPr>
            </w:pPr>
            <w:r w:rsidRPr="00483EBE">
              <w:rPr>
                <w:sz w:val="12"/>
                <w:szCs w:val="12"/>
              </w:rPr>
              <w:t>$324,122</w:t>
            </w:r>
          </w:p>
        </w:tc>
        <w:tc>
          <w:tcPr>
            <w:tcW w:w="0" w:type="auto"/>
            <w:tcBorders>
              <w:top w:val="nil"/>
              <w:left w:val="nil"/>
              <w:bottom w:val="single" w:sz="4" w:space="0" w:color="auto"/>
              <w:right w:val="single" w:sz="4" w:space="0" w:color="auto"/>
            </w:tcBorders>
            <w:shd w:val="clear" w:color="auto" w:fill="auto"/>
            <w:vAlign w:val="center"/>
            <w:hideMark/>
          </w:tcPr>
          <w:p w14:paraId="1336FF55" w14:textId="77777777" w:rsidR="00572995" w:rsidRPr="00483EBE" w:rsidRDefault="00572995" w:rsidP="00E8324D">
            <w:pPr>
              <w:pStyle w:val="Tablas"/>
              <w:rPr>
                <w:sz w:val="12"/>
                <w:szCs w:val="12"/>
              </w:rPr>
            </w:pPr>
            <w:r w:rsidRPr="00483EBE">
              <w:rPr>
                <w:sz w:val="12"/>
                <w:szCs w:val="12"/>
              </w:rPr>
              <w:t>$2,701</w:t>
            </w:r>
          </w:p>
        </w:tc>
        <w:tc>
          <w:tcPr>
            <w:tcW w:w="0" w:type="auto"/>
            <w:tcBorders>
              <w:top w:val="nil"/>
              <w:left w:val="nil"/>
              <w:bottom w:val="single" w:sz="4" w:space="0" w:color="auto"/>
              <w:right w:val="single" w:sz="4" w:space="0" w:color="auto"/>
            </w:tcBorders>
            <w:shd w:val="clear" w:color="auto" w:fill="auto"/>
            <w:vAlign w:val="center"/>
            <w:hideMark/>
          </w:tcPr>
          <w:p w14:paraId="3FEE0FAF" w14:textId="77777777" w:rsidR="00572995" w:rsidRPr="00483EBE" w:rsidRDefault="00572995" w:rsidP="00E8324D">
            <w:pPr>
              <w:pStyle w:val="Tablas"/>
              <w:rPr>
                <w:sz w:val="12"/>
                <w:szCs w:val="12"/>
              </w:rPr>
            </w:pPr>
            <w:r w:rsidRPr="00483EBE">
              <w:rPr>
                <w:sz w:val="12"/>
                <w:szCs w:val="12"/>
              </w:rPr>
              <w:t>$225</w:t>
            </w:r>
          </w:p>
        </w:tc>
        <w:tc>
          <w:tcPr>
            <w:tcW w:w="0" w:type="auto"/>
            <w:tcBorders>
              <w:top w:val="nil"/>
              <w:left w:val="nil"/>
              <w:bottom w:val="single" w:sz="4" w:space="0" w:color="auto"/>
              <w:right w:val="single" w:sz="4" w:space="0" w:color="auto"/>
            </w:tcBorders>
            <w:shd w:val="clear" w:color="auto" w:fill="auto"/>
            <w:vAlign w:val="center"/>
            <w:hideMark/>
          </w:tcPr>
          <w:p w14:paraId="2ADC8212"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6876A9A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585A72"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77927FE8" w14:textId="77777777" w:rsidR="00572995" w:rsidRPr="00483EBE" w:rsidRDefault="00572995" w:rsidP="00E8324D">
            <w:pPr>
              <w:pStyle w:val="Tablas"/>
              <w:rPr>
                <w:sz w:val="12"/>
                <w:szCs w:val="12"/>
              </w:rPr>
            </w:pPr>
            <w:r w:rsidRPr="00483EBE">
              <w:rPr>
                <w:sz w:val="12"/>
                <w:szCs w:val="12"/>
              </w:rPr>
              <w:t xml:space="preserve">73 </w:t>
            </w:r>
          </w:p>
        </w:tc>
        <w:tc>
          <w:tcPr>
            <w:tcW w:w="0" w:type="auto"/>
            <w:tcBorders>
              <w:top w:val="nil"/>
              <w:left w:val="nil"/>
              <w:bottom w:val="single" w:sz="4" w:space="0" w:color="auto"/>
              <w:right w:val="single" w:sz="4" w:space="0" w:color="auto"/>
            </w:tcBorders>
            <w:shd w:val="clear" w:color="auto" w:fill="auto"/>
            <w:vAlign w:val="center"/>
            <w:hideMark/>
          </w:tcPr>
          <w:p w14:paraId="4A41E5D6" w14:textId="77777777" w:rsidR="00572995" w:rsidRPr="00483EBE" w:rsidRDefault="00572995" w:rsidP="00E8324D">
            <w:pPr>
              <w:pStyle w:val="Tablas"/>
              <w:rPr>
                <w:sz w:val="12"/>
                <w:szCs w:val="12"/>
              </w:rPr>
            </w:pPr>
            <w:r w:rsidRPr="00483EBE">
              <w:rPr>
                <w:sz w:val="12"/>
                <w:szCs w:val="12"/>
              </w:rPr>
              <w:t>$211,645</w:t>
            </w:r>
          </w:p>
        </w:tc>
        <w:tc>
          <w:tcPr>
            <w:tcW w:w="0" w:type="auto"/>
            <w:tcBorders>
              <w:top w:val="nil"/>
              <w:left w:val="nil"/>
              <w:bottom w:val="single" w:sz="4" w:space="0" w:color="auto"/>
              <w:right w:val="single" w:sz="4" w:space="0" w:color="auto"/>
            </w:tcBorders>
            <w:shd w:val="clear" w:color="auto" w:fill="auto"/>
            <w:vAlign w:val="center"/>
            <w:hideMark/>
          </w:tcPr>
          <w:p w14:paraId="5D1B14A3" w14:textId="77777777" w:rsidR="00572995" w:rsidRPr="00483EBE" w:rsidRDefault="00572995" w:rsidP="00E8324D">
            <w:pPr>
              <w:pStyle w:val="Tablas"/>
              <w:rPr>
                <w:sz w:val="12"/>
                <w:szCs w:val="12"/>
              </w:rPr>
            </w:pPr>
            <w:r w:rsidRPr="00483EBE">
              <w:rPr>
                <w:sz w:val="12"/>
                <w:szCs w:val="12"/>
              </w:rPr>
              <w:t>$2,899</w:t>
            </w:r>
          </w:p>
        </w:tc>
        <w:tc>
          <w:tcPr>
            <w:tcW w:w="0" w:type="auto"/>
            <w:tcBorders>
              <w:top w:val="nil"/>
              <w:left w:val="nil"/>
              <w:bottom w:val="single" w:sz="4" w:space="0" w:color="auto"/>
              <w:right w:val="single" w:sz="4" w:space="0" w:color="auto"/>
            </w:tcBorders>
            <w:shd w:val="clear" w:color="auto" w:fill="auto"/>
            <w:vAlign w:val="center"/>
            <w:hideMark/>
          </w:tcPr>
          <w:p w14:paraId="72F39F82" w14:textId="77777777" w:rsidR="00572995" w:rsidRPr="00483EBE" w:rsidRDefault="00572995" w:rsidP="00E8324D">
            <w:pPr>
              <w:pStyle w:val="Tablas"/>
              <w:rPr>
                <w:sz w:val="12"/>
                <w:szCs w:val="12"/>
              </w:rPr>
            </w:pPr>
            <w:r w:rsidRPr="00483EBE">
              <w:rPr>
                <w:sz w:val="12"/>
                <w:szCs w:val="12"/>
              </w:rPr>
              <w:t>$242</w:t>
            </w:r>
          </w:p>
        </w:tc>
        <w:tc>
          <w:tcPr>
            <w:tcW w:w="0" w:type="auto"/>
            <w:tcBorders>
              <w:top w:val="nil"/>
              <w:left w:val="nil"/>
              <w:bottom w:val="single" w:sz="4" w:space="0" w:color="auto"/>
              <w:right w:val="single" w:sz="4" w:space="0" w:color="auto"/>
            </w:tcBorders>
            <w:shd w:val="clear" w:color="auto" w:fill="auto"/>
            <w:vAlign w:val="center"/>
            <w:hideMark/>
          </w:tcPr>
          <w:p w14:paraId="073B2675"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033EFD19" w14:textId="77777777" w:rsidR="00572995" w:rsidRPr="00483EBE" w:rsidRDefault="00572995" w:rsidP="00E8324D">
            <w:pPr>
              <w:pStyle w:val="Tablas"/>
              <w:rPr>
                <w:sz w:val="12"/>
                <w:szCs w:val="12"/>
              </w:rPr>
            </w:pPr>
            <w:r w:rsidRPr="00483EBE">
              <w:rPr>
                <w:sz w:val="12"/>
                <w:szCs w:val="12"/>
              </w:rPr>
              <w:t>SEBD</w:t>
            </w:r>
          </w:p>
        </w:tc>
      </w:tr>
      <w:tr w:rsidR="00572995" w:rsidRPr="00483EBE" w14:paraId="718BF98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A78CC2"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CCFB9A1" w14:textId="77777777" w:rsidR="00572995" w:rsidRPr="00483EBE" w:rsidRDefault="00572995" w:rsidP="00E8324D">
            <w:pPr>
              <w:pStyle w:val="Tablas"/>
              <w:rPr>
                <w:sz w:val="12"/>
                <w:szCs w:val="12"/>
              </w:rPr>
            </w:pPr>
            <w:r w:rsidRPr="00483EBE">
              <w:rPr>
                <w:sz w:val="12"/>
                <w:szCs w:val="12"/>
              </w:rPr>
              <w:t xml:space="preserve">143 </w:t>
            </w:r>
          </w:p>
        </w:tc>
        <w:tc>
          <w:tcPr>
            <w:tcW w:w="0" w:type="auto"/>
            <w:tcBorders>
              <w:top w:val="nil"/>
              <w:left w:val="nil"/>
              <w:bottom w:val="single" w:sz="4" w:space="0" w:color="auto"/>
              <w:right w:val="single" w:sz="4" w:space="0" w:color="auto"/>
            </w:tcBorders>
            <w:shd w:val="clear" w:color="auto" w:fill="auto"/>
            <w:vAlign w:val="center"/>
            <w:hideMark/>
          </w:tcPr>
          <w:p w14:paraId="78113671" w14:textId="77777777" w:rsidR="00572995" w:rsidRPr="00483EBE" w:rsidRDefault="00572995" w:rsidP="00E8324D">
            <w:pPr>
              <w:pStyle w:val="Tablas"/>
              <w:rPr>
                <w:sz w:val="12"/>
                <w:szCs w:val="12"/>
              </w:rPr>
            </w:pPr>
            <w:r w:rsidRPr="00483EBE">
              <w:rPr>
                <w:sz w:val="12"/>
                <w:szCs w:val="12"/>
              </w:rPr>
              <w:t>$367,111</w:t>
            </w:r>
          </w:p>
        </w:tc>
        <w:tc>
          <w:tcPr>
            <w:tcW w:w="0" w:type="auto"/>
            <w:tcBorders>
              <w:top w:val="nil"/>
              <w:left w:val="nil"/>
              <w:bottom w:val="single" w:sz="4" w:space="0" w:color="auto"/>
              <w:right w:val="single" w:sz="4" w:space="0" w:color="auto"/>
            </w:tcBorders>
            <w:shd w:val="clear" w:color="auto" w:fill="auto"/>
            <w:vAlign w:val="center"/>
            <w:hideMark/>
          </w:tcPr>
          <w:p w14:paraId="47628F0D" w14:textId="77777777" w:rsidR="00572995" w:rsidRPr="00483EBE" w:rsidRDefault="00572995" w:rsidP="00E8324D">
            <w:pPr>
              <w:pStyle w:val="Tablas"/>
              <w:rPr>
                <w:sz w:val="12"/>
                <w:szCs w:val="12"/>
              </w:rPr>
            </w:pPr>
            <w:r w:rsidRPr="00483EBE">
              <w:rPr>
                <w:sz w:val="12"/>
                <w:szCs w:val="12"/>
              </w:rPr>
              <w:t>$2,567</w:t>
            </w:r>
          </w:p>
        </w:tc>
        <w:tc>
          <w:tcPr>
            <w:tcW w:w="0" w:type="auto"/>
            <w:tcBorders>
              <w:top w:val="nil"/>
              <w:left w:val="nil"/>
              <w:bottom w:val="single" w:sz="4" w:space="0" w:color="auto"/>
              <w:right w:val="single" w:sz="4" w:space="0" w:color="auto"/>
            </w:tcBorders>
            <w:shd w:val="clear" w:color="auto" w:fill="auto"/>
            <w:vAlign w:val="center"/>
            <w:hideMark/>
          </w:tcPr>
          <w:p w14:paraId="2B16C542" w14:textId="77777777" w:rsidR="00572995" w:rsidRPr="00483EBE" w:rsidRDefault="00572995" w:rsidP="00E8324D">
            <w:pPr>
              <w:pStyle w:val="Tablas"/>
              <w:rPr>
                <w:sz w:val="12"/>
                <w:szCs w:val="12"/>
              </w:rPr>
            </w:pPr>
            <w:r w:rsidRPr="00483EBE">
              <w:rPr>
                <w:sz w:val="12"/>
                <w:szCs w:val="12"/>
              </w:rPr>
              <w:t>$214</w:t>
            </w:r>
          </w:p>
        </w:tc>
        <w:tc>
          <w:tcPr>
            <w:tcW w:w="0" w:type="auto"/>
            <w:tcBorders>
              <w:top w:val="nil"/>
              <w:left w:val="nil"/>
              <w:bottom w:val="single" w:sz="4" w:space="0" w:color="auto"/>
              <w:right w:val="single" w:sz="4" w:space="0" w:color="auto"/>
            </w:tcBorders>
            <w:shd w:val="clear" w:color="auto" w:fill="auto"/>
            <w:vAlign w:val="center"/>
            <w:hideMark/>
          </w:tcPr>
          <w:p w14:paraId="239A3F28"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6F75B4A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9F48D3"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26B9934E"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3854EA35" w14:textId="77777777" w:rsidR="00572995" w:rsidRPr="00483EBE" w:rsidRDefault="00572995" w:rsidP="00E8324D">
            <w:pPr>
              <w:pStyle w:val="Tablas"/>
              <w:rPr>
                <w:sz w:val="12"/>
                <w:szCs w:val="12"/>
              </w:rPr>
            </w:pPr>
            <w:r w:rsidRPr="00483EBE">
              <w:rPr>
                <w:sz w:val="12"/>
                <w:szCs w:val="12"/>
              </w:rPr>
              <w:t>$46,504</w:t>
            </w:r>
          </w:p>
        </w:tc>
        <w:tc>
          <w:tcPr>
            <w:tcW w:w="0" w:type="auto"/>
            <w:tcBorders>
              <w:top w:val="nil"/>
              <w:left w:val="nil"/>
              <w:bottom w:val="single" w:sz="4" w:space="0" w:color="auto"/>
              <w:right w:val="single" w:sz="4" w:space="0" w:color="auto"/>
            </w:tcBorders>
            <w:shd w:val="clear" w:color="auto" w:fill="auto"/>
            <w:vAlign w:val="center"/>
            <w:hideMark/>
          </w:tcPr>
          <w:p w14:paraId="2CA9C90C" w14:textId="77777777" w:rsidR="00572995" w:rsidRPr="00483EBE" w:rsidRDefault="00572995" w:rsidP="00E8324D">
            <w:pPr>
              <w:pStyle w:val="Tablas"/>
              <w:rPr>
                <w:sz w:val="12"/>
                <w:szCs w:val="12"/>
              </w:rPr>
            </w:pPr>
            <w:r w:rsidRPr="00483EBE">
              <w:rPr>
                <w:sz w:val="12"/>
                <w:szCs w:val="12"/>
              </w:rPr>
              <w:t>$3,100</w:t>
            </w:r>
          </w:p>
        </w:tc>
        <w:tc>
          <w:tcPr>
            <w:tcW w:w="0" w:type="auto"/>
            <w:tcBorders>
              <w:top w:val="nil"/>
              <w:left w:val="nil"/>
              <w:bottom w:val="single" w:sz="4" w:space="0" w:color="auto"/>
              <w:right w:val="single" w:sz="4" w:space="0" w:color="auto"/>
            </w:tcBorders>
            <w:shd w:val="clear" w:color="auto" w:fill="auto"/>
            <w:vAlign w:val="center"/>
            <w:hideMark/>
          </w:tcPr>
          <w:p w14:paraId="0892AA61" w14:textId="77777777" w:rsidR="00572995" w:rsidRPr="00483EBE" w:rsidRDefault="00572995" w:rsidP="00E8324D">
            <w:pPr>
              <w:pStyle w:val="Tablas"/>
              <w:rPr>
                <w:sz w:val="12"/>
                <w:szCs w:val="12"/>
              </w:rPr>
            </w:pPr>
            <w:r w:rsidRPr="00483EBE">
              <w:rPr>
                <w:sz w:val="12"/>
                <w:szCs w:val="12"/>
              </w:rPr>
              <w:t>$258</w:t>
            </w:r>
          </w:p>
        </w:tc>
        <w:tc>
          <w:tcPr>
            <w:tcW w:w="0" w:type="auto"/>
            <w:tcBorders>
              <w:top w:val="nil"/>
              <w:left w:val="nil"/>
              <w:bottom w:val="single" w:sz="4" w:space="0" w:color="auto"/>
              <w:right w:val="single" w:sz="4" w:space="0" w:color="auto"/>
            </w:tcBorders>
            <w:shd w:val="clear" w:color="auto" w:fill="auto"/>
            <w:vAlign w:val="center"/>
            <w:hideMark/>
          </w:tcPr>
          <w:p w14:paraId="7D9EF69E" w14:textId="77777777" w:rsidR="00572995" w:rsidRPr="00483EBE" w:rsidRDefault="00572995" w:rsidP="00E8324D">
            <w:pPr>
              <w:pStyle w:val="Tablas"/>
              <w:rPr>
                <w:sz w:val="12"/>
                <w:szCs w:val="12"/>
              </w:rPr>
            </w:pPr>
            <w:r w:rsidRPr="00483EBE">
              <w:rPr>
                <w:sz w:val="12"/>
                <w:szCs w:val="12"/>
              </w:rPr>
              <w:t>PROPORCIONAL ANTICIPADA</w:t>
            </w:r>
          </w:p>
        </w:tc>
        <w:tc>
          <w:tcPr>
            <w:tcW w:w="582" w:type="dxa"/>
            <w:tcBorders>
              <w:top w:val="nil"/>
              <w:left w:val="nil"/>
              <w:bottom w:val="single" w:sz="4" w:space="0" w:color="auto"/>
              <w:right w:val="single" w:sz="8" w:space="0" w:color="auto"/>
            </w:tcBorders>
            <w:shd w:val="clear" w:color="auto" w:fill="auto"/>
            <w:vAlign w:val="center"/>
            <w:hideMark/>
          </w:tcPr>
          <w:p w14:paraId="5668121E" w14:textId="77777777" w:rsidR="00572995" w:rsidRPr="00483EBE" w:rsidRDefault="00572995" w:rsidP="00E8324D">
            <w:pPr>
              <w:pStyle w:val="Tablas"/>
              <w:rPr>
                <w:sz w:val="12"/>
                <w:szCs w:val="12"/>
              </w:rPr>
            </w:pPr>
            <w:r w:rsidRPr="00483EBE">
              <w:rPr>
                <w:sz w:val="12"/>
                <w:szCs w:val="12"/>
              </w:rPr>
              <w:t>SEBD</w:t>
            </w:r>
          </w:p>
        </w:tc>
      </w:tr>
      <w:tr w:rsidR="00572995" w:rsidRPr="00483EBE" w14:paraId="2779BB6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1F01705"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12AFDB2F" w14:textId="77777777" w:rsidR="00572995" w:rsidRPr="00483EBE" w:rsidRDefault="00572995" w:rsidP="00E8324D">
            <w:pPr>
              <w:pStyle w:val="Tablas"/>
              <w:rPr>
                <w:sz w:val="12"/>
                <w:szCs w:val="12"/>
              </w:rPr>
            </w:pPr>
            <w:r w:rsidRPr="00483EBE">
              <w:rPr>
                <w:sz w:val="12"/>
                <w:szCs w:val="12"/>
              </w:rPr>
              <w:t xml:space="preserve">63 </w:t>
            </w:r>
          </w:p>
        </w:tc>
        <w:tc>
          <w:tcPr>
            <w:tcW w:w="0" w:type="auto"/>
            <w:tcBorders>
              <w:top w:val="nil"/>
              <w:left w:val="nil"/>
              <w:bottom w:val="single" w:sz="4" w:space="0" w:color="auto"/>
              <w:right w:val="single" w:sz="4" w:space="0" w:color="auto"/>
            </w:tcBorders>
            <w:shd w:val="clear" w:color="auto" w:fill="auto"/>
            <w:vAlign w:val="center"/>
            <w:hideMark/>
          </w:tcPr>
          <w:p w14:paraId="7F784EAC" w14:textId="77777777" w:rsidR="00572995" w:rsidRPr="00483EBE" w:rsidRDefault="00572995" w:rsidP="00E8324D">
            <w:pPr>
              <w:pStyle w:val="Tablas"/>
              <w:rPr>
                <w:sz w:val="12"/>
                <w:szCs w:val="12"/>
              </w:rPr>
            </w:pPr>
            <w:r w:rsidRPr="00483EBE">
              <w:rPr>
                <w:sz w:val="12"/>
                <w:szCs w:val="12"/>
              </w:rPr>
              <w:t>$167,847</w:t>
            </w:r>
          </w:p>
        </w:tc>
        <w:tc>
          <w:tcPr>
            <w:tcW w:w="0" w:type="auto"/>
            <w:tcBorders>
              <w:top w:val="nil"/>
              <w:left w:val="nil"/>
              <w:bottom w:val="single" w:sz="4" w:space="0" w:color="auto"/>
              <w:right w:val="single" w:sz="4" w:space="0" w:color="auto"/>
            </w:tcBorders>
            <w:shd w:val="clear" w:color="auto" w:fill="auto"/>
            <w:vAlign w:val="center"/>
            <w:hideMark/>
          </w:tcPr>
          <w:p w14:paraId="456F09F4" w14:textId="77777777" w:rsidR="00572995" w:rsidRPr="00483EBE" w:rsidRDefault="00572995" w:rsidP="00E8324D">
            <w:pPr>
              <w:pStyle w:val="Tablas"/>
              <w:rPr>
                <w:sz w:val="12"/>
                <w:szCs w:val="12"/>
              </w:rPr>
            </w:pPr>
            <w:r w:rsidRPr="00483EBE">
              <w:rPr>
                <w:sz w:val="12"/>
                <w:szCs w:val="12"/>
              </w:rPr>
              <w:t>$2,664</w:t>
            </w:r>
          </w:p>
        </w:tc>
        <w:tc>
          <w:tcPr>
            <w:tcW w:w="0" w:type="auto"/>
            <w:tcBorders>
              <w:top w:val="nil"/>
              <w:left w:val="nil"/>
              <w:bottom w:val="single" w:sz="4" w:space="0" w:color="auto"/>
              <w:right w:val="single" w:sz="4" w:space="0" w:color="auto"/>
            </w:tcBorders>
            <w:shd w:val="clear" w:color="auto" w:fill="auto"/>
            <w:vAlign w:val="center"/>
            <w:hideMark/>
          </w:tcPr>
          <w:p w14:paraId="4FDDBE04" w14:textId="77777777" w:rsidR="00572995" w:rsidRPr="00483EBE" w:rsidRDefault="00572995" w:rsidP="00E8324D">
            <w:pPr>
              <w:pStyle w:val="Tablas"/>
              <w:rPr>
                <w:sz w:val="12"/>
                <w:szCs w:val="12"/>
              </w:rPr>
            </w:pPr>
            <w:r w:rsidRPr="00483EBE">
              <w:rPr>
                <w:sz w:val="12"/>
                <w:szCs w:val="12"/>
              </w:rPr>
              <w:t>$222</w:t>
            </w:r>
          </w:p>
        </w:tc>
        <w:tc>
          <w:tcPr>
            <w:tcW w:w="0" w:type="auto"/>
            <w:tcBorders>
              <w:top w:val="nil"/>
              <w:left w:val="nil"/>
              <w:bottom w:val="single" w:sz="4" w:space="0" w:color="auto"/>
              <w:right w:val="single" w:sz="4" w:space="0" w:color="auto"/>
            </w:tcBorders>
            <w:shd w:val="clear" w:color="auto" w:fill="auto"/>
            <w:vAlign w:val="center"/>
            <w:hideMark/>
          </w:tcPr>
          <w:p w14:paraId="08CF7A45"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1A92623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CCF8856"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0AE44B4" w14:textId="77777777" w:rsidR="00572995" w:rsidRPr="00483EBE" w:rsidRDefault="00572995" w:rsidP="00E8324D">
            <w:pPr>
              <w:pStyle w:val="Tablas"/>
              <w:rPr>
                <w:sz w:val="12"/>
                <w:szCs w:val="12"/>
              </w:rPr>
            </w:pPr>
            <w:r w:rsidRPr="00483EBE">
              <w:rPr>
                <w:sz w:val="12"/>
                <w:szCs w:val="12"/>
              </w:rPr>
              <w:t xml:space="preserve">324 </w:t>
            </w:r>
          </w:p>
        </w:tc>
        <w:tc>
          <w:tcPr>
            <w:tcW w:w="0" w:type="auto"/>
            <w:tcBorders>
              <w:top w:val="nil"/>
              <w:left w:val="nil"/>
              <w:bottom w:val="single" w:sz="4" w:space="0" w:color="auto"/>
              <w:right w:val="single" w:sz="4" w:space="0" w:color="auto"/>
            </w:tcBorders>
            <w:shd w:val="clear" w:color="auto" w:fill="auto"/>
            <w:vAlign w:val="center"/>
            <w:hideMark/>
          </w:tcPr>
          <w:p w14:paraId="788E71CC" w14:textId="77777777" w:rsidR="00572995" w:rsidRPr="00483EBE" w:rsidRDefault="00572995" w:rsidP="00E8324D">
            <w:pPr>
              <w:pStyle w:val="Tablas"/>
              <w:rPr>
                <w:sz w:val="12"/>
                <w:szCs w:val="12"/>
              </w:rPr>
            </w:pPr>
            <w:r w:rsidRPr="00483EBE">
              <w:rPr>
                <w:sz w:val="12"/>
                <w:szCs w:val="12"/>
              </w:rPr>
              <w:t>$1,115,415</w:t>
            </w:r>
          </w:p>
        </w:tc>
        <w:tc>
          <w:tcPr>
            <w:tcW w:w="0" w:type="auto"/>
            <w:tcBorders>
              <w:top w:val="nil"/>
              <w:left w:val="nil"/>
              <w:bottom w:val="single" w:sz="4" w:space="0" w:color="auto"/>
              <w:right w:val="single" w:sz="4" w:space="0" w:color="auto"/>
            </w:tcBorders>
            <w:shd w:val="clear" w:color="auto" w:fill="auto"/>
            <w:vAlign w:val="center"/>
            <w:hideMark/>
          </w:tcPr>
          <w:p w14:paraId="0BB09919" w14:textId="77777777" w:rsidR="00572995" w:rsidRPr="00483EBE" w:rsidRDefault="00572995" w:rsidP="00E8324D">
            <w:pPr>
              <w:pStyle w:val="Tablas"/>
              <w:rPr>
                <w:sz w:val="12"/>
                <w:szCs w:val="12"/>
              </w:rPr>
            </w:pPr>
            <w:r w:rsidRPr="00483EBE">
              <w:rPr>
                <w:sz w:val="12"/>
                <w:szCs w:val="12"/>
              </w:rPr>
              <w:t>$3,443</w:t>
            </w:r>
          </w:p>
        </w:tc>
        <w:tc>
          <w:tcPr>
            <w:tcW w:w="0" w:type="auto"/>
            <w:tcBorders>
              <w:top w:val="nil"/>
              <w:left w:val="nil"/>
              <w:bottom w:val="single" w:sz="4" w:space="0" w:color="auto"/>
              <w:right w:val="single" w:sz="4" w:space="0" w:color="auto"/>
            </w:tcBorders>
            <w:shd w:val="clear" w:color="auto" w:fill="auto"/>
            <w:vAlign w:val="center"/>
            <w:hideMark/>
          </w:tcPr>
          <w:p w14:paraId="10EDFC79" w14:textId="77777777" w:rsidR="00572995" w:rsidRPr="00483EBE" w:rsidRDefault="00572995" w:rsidP="00E8324D">
            <w:pPr>
              <w:pStyle w:val="Tablas"/>
              <w:rPr>
                <w:sz w:val="12"/>
                <w:szCs w:val="12"/>
              </w:rPr>
            </w:pPr>
            <w:r w:rsidRPr="00483EBE">
              <w:rPr>
                <w:sz w:val="12"/>
                <w:szCs w:val="12"/>
              </w:rPr>
              <w:t>$287</w:t>
            </w:r>
          </w:p>
        </w:tc>
        <w:tc>
          <w:tcPr>
            <w:tcW w:w="0" w:type="auto"/>
            <w:tcBorders>
              <w:top w:val="nil"/>
              <w:left w:val="nil"/>
              <w:bottom w:val="single" w:sz="4" w:space="0" w:color="auto"/>
              <w:right w:val="single" w:sz="4" w:space="0" w:color="auto"/>
            </w:tcBorders>
            <w:shd w:val="clear" w:color="auto" w:fill="auto"/>
            <w:vAlign w:val="center"/>
            <w:hideMark/>
          </w:tcPr>
          <w:p w14:paraId="14FB5DC4"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A48D756" w14:textId="77777777" w:rsidR="00572995" w:rsidRPr="00483EBE" w:rsidRDefault="00572995" w:rsidP="00E8324D">
            <w:pPr>
              <w:pStyle w:val="Tablas"/>
              <w:rPr>
                <w:sz w:val="12"/>
                <w:szCs w:val="12"/>
              </w:rPr>
            </w:pPr>
            <w:r w:rsidRPr="00483EBE">
              <w:rPr>
                <w:sz w:val="12"/>
                <w:szCs w:val="12"/>
              </w:rPr>
              <w:t>SEBD</w:t>
            </w:r>
          </w:p>
        </w:tc>
      </w:tr>
      <w:tr w:rsidR="00572995" w:rsidRPr="00483EBE" w14:paraId="0E4FBF6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1680D6"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6E594A3C" w14:textId="77777777" w:rsidR="00572995" w:rsidRPr="00483EBE" w:rsidRDefault="00572995" w:rsidP="00E8324D">
            <w:pPr>
              <w:pStyle w:val="Tablas"/>
              <w:rPr>
                <w:sz w:val="12"/>
                <w:szCs w:val="12"/>
              </w:rPr>
            </w:pPr>
            <w:r w:rsidRPr="00483EBE">
              <w:rPr>
                <w:sz w:val="12"/>
                <w:szCs w:val="12"/>
              </w:rPr>
              <w:t xml:space="preserve">85 </w:t>
            </w:r>
          </w:p>
        </w:tc>
        <w:tc>
          <w:tcPr>
            <w:tcW w:w="0" w:type="auto"/>
            <w:tcBorders>
              <w:top w:val="nil"/>
              <w:left w:val="nil"/>
              <w:bottom w:val="single" w:sz="4" w:space="0" w:color="auto"/>
              <w:right w:val="single" w:sz="4" w:space="0" w:color="auto"/>
            </w:tcBorders>
            <w:shd w:val="clear" w:color="auto" w:fill="auto"/>
            <w:vAlign w:val="center"/>
            <w:hideMark/>
          </w:tcPr>
          <w:p w14:paraId="7281DE59" w14:textId="77777777" w:rsidR="00572995" w:rsidRPr="00483EBE" w:rsidRDefault="00572995" w:rsidP="00E8324D">
            <w:pPr>
              <w:pStyle w:val="Tablas"/>
              <w:rPr>
                <w:sz w:val="12"/>
                <w:szCs w:val="12"/>
              </w:rPr>
            </w:pPr>
            <w:r w:rsidRPr="00483EBE">
              <w:rPr>
                <w:sz w:val="12"/>
                <w:szCs w:val="12"/>
              </w:rPr>
              <w:t>$248,100</w:t>
            </w:r>
          </w:p>
        </w:tc>
        <w:tc>
          <w:tcPr>
            <w:tcW w:w="0" w:type="auto"/>
            <w:tcBorders>
              <w:top w:val="nil"/>
              <w:left w:val="nil"/>
              <w:bottom w:val="single" w:sz="4" w:space="0" w:color="auto"/>
              <w:right w:val="single" w:sz="4" w:space="0" w:color="auto"/>
            </w:tcBorders>
            <w:shd w:val="clear" w:color="auto" w:fill="auto"/>
            <w:vAlign w:val="center"/>
            <w:hideMark/>
          </w:tcPr>
          <w:p w14:paraId="7B3BF497" w14:textId="77777777" w:rsidR="00572995" w:rsidRPr="00483EBE" w:rsidRDefault="00572995" w:rsidP="00E8324D">
            <w:pPr>
              <w:pStyle w:val="Tablas"/>
              <w:rPr>
                <w:sz w:val="12"/>
                <w:szCs w:val="12"/>
              </w:rPr>
            </w:pPr>
            <w:r w:rsidRPr="00483EBE">
              <w:rPr>
                <w:sz w:val="12"/>
                <w:szCs w:val="12"/>
              </w:rPr>
              <w:t>$2,919</w:t>
            </w:r>
          </w:p>
        </w:tc>
        <w:tc>
          <w:tcPr>
            <w:tcW w:w="0" w:type="auto"/>
            <w:tcBorders>
              <w:top w:val="nil"/>
              <w:left w:val="nil"/>
              <w:bottom w:val="single" w:sz="4" w:space="0" w:color="auto"/>
              <w:right w:val="single" w:sz="4" w:space="0" w:color="auto"/>
            </w:tcBorders>
            <w:shd w:val="clear" w:color="auto" w:fill="auto"/>
            <w:vAlign w:val="center"/>
            <w:hideMark/>
          </w:tcPr>
          <w:p w14:paraId="4623333A"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4F7100FA"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3D3F468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F822687"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7F0CCF52" w14:textId="77777777" w:rsidR="00572995" w:rsidRPr="00483EBE" w:rsidRDefault="00572995" w:rsidP="00E8324D">
            <w:pPr>
              <w:pStyle w:val="Tablas"/>
              <w:rPr>
                <w:sz w:val="12"/>
                <w:szCs w:val="12"/>
              </w:rPr>
            </w:pPr>
            <w:r w:rsidRPr="00483EBE">
              <w:rPr>
                <w:sz w:val="12"/>
                <w:szCs w:val="12"/>
              </w:rPr>
              <w:t xml:space="preserve">745 </w:t>
            </w:r>
          </w:p>
        </w:tc>
        <w:tc>
          <w:tcPr>
            <w:tcW w:w="0" w:type="auto"/>
            <w:tcBorders>
              <w:top w:val="nil"/>
              <w:left w:val="nil"/>
              <w:bottom w:val="single" w:sz="4" w:space="0" w:color="auto"/>
              <w:right w:val="single" w:sz="4" w:space="0" w:color="auto"/>
            </w:tcBorders>
            <w:shd w:val="clear" w:color="auto" w:fill="auto"/>
            <w:vAlign w:val="center"/>
            <w:hideMark/>
          </w:tcPr>
          <w:p w14:paraId="297A8B87" w14:textId="77777777" w:rsidR="00572995" w:rsidRPr="00483EBE" w:rsidRDefault="00572995" w:rsidP="00E8324D">
            <w:pPr>
              <w:pStyle w:val="Tablas"/>
              <w:rPr>
                <w:sz w:val="12"/>
                <w:szCs w:val="12"/>
              </w:rPr>
            </w:pPr>
            <w:r w:rsidRPr="00483EBE">
              <w:rPr>
                <w:sz w:val="12"/>
                <w:szCs w:val="12"/>
              </w:rPr>
              <w:t>$2,644,678</w:t>
            </w:r>
          </w:p>
        </w:tc>
        <w:tc>
          <w:tcPr>
            <w:tcW w:w="0" w:type="auto"/>
            <w:tcBorders>
              <w:top w:val="nil"/>
              <w:left w:val="nil"/>
              <w:bottom w:val="single" w:sz="4" w:space="0" w:color="auto"/>
              <w:right w:val="single" w:sz="4" w:space="0" w:color="auto"/>
            </w:tcBorders>
            <w:shd w:val="clear" w:color="auto" w:fill="auto"/>
            <w:vAlign w:val="center"/>
            <w:hideMark/>
          </w:tcPr>
          <w:p w14:paraId="5D4794EE" w14:textId="77777777" w:rsidR="00572995" w:rsidRPr="00483EBE" w:rsidRDefault="00572995" w:rsidP="00E8324D">
            <w:pPr>
              <w:pStyle w:val="Tablas"/>
              <w:rPr>
                <w:sz w:val="12"/>
                <w:szCs w:val="12"/>
              </w:rPr>
            </w:pPr>
            <w:r w:rsidRPr="00483EBE">
              <w:rPr>
                <w:sz w:val="12"/>
                <w:szCs w:val="12"/>
              </w:rPr>
              <w:t>$3,550</w:t>
            </w:r>
          </w:p>
        </w:tc>
        <w:tc>
          <w:tcPr>
            <w:tcW w:w="0" w:type="auto"/>
            <w:tcBorders>
              <w:top w:val="nil"/>
              <w:left w:val="nil"/>
              <w:bottom w:val="single" w:sz="4" w:space="0" w:color="auto"/>
              <w:right w:val="single" w:sz="4" w:space="0" w:color="auto"/>
            </w:tcBorders>
            <w:shd w:val="clear" w:color="auto" w:fill="auto"/>
            <w:vAlign w:val="center"/>
            <w:hideMark/>
          </w:tcPr>
          <w:p w14:paraId="1E2954F7" w14:textId="77777777" w:rsidR="00572995" w:rsidRPr="00483EBE" w:rsidRDefault="00572995" w:rsidP="00E8324D">
            <w:pPr>
              <w:pStyle w:val="Tablas"/>
              <w:rPr>
                <w:sz w:val="12"/>
                <w:szCs w:val="12"/>
              </w:rPr>
            </w:pPr>
            <w:r w:rsidRPr="00483EBE">
              <w:rPr>
                <w:sz w:val="12"/>
                <w:szCs w:val="12"/>
              </w:rPr>
              <w:t>$296</w:t>
            </w:r>
          </w:p>
        </w:tc>
        <w:tc>
          <w:tcPr>
            <w:tcW w:w="0" w:type="auto"/>
            <w:tcBorders>
              <w:top w:val="nil"/>
              <w:left w:val="nil"/>
              <w:bottom w:val="single" w:sz="4" w:space="0" w:color="auto"/>
              <w:right w:val="single" w:sz="4" w:space="0" w:color="auto"/>
            </w:tcBorders>
            <w:shd w:val="clear" w:color="auto" w:fill="auto"/>
            <w:vAlign w:val="center"/>
            <w:hideMark/>
          </w:tcPr>
          <w:p w14:paraId="32AD4DCA"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D8E11DA" w14:textId="77777777" w:rsidR="00572995" w:rsidRPr="00483EBE" w:rsidRDefault="00572995" w:rsidP="00E8324D">
            <w:pPr>
              <w:pStyle w:val="Tablas"/>
              <w:rPr>
                <w:sz w:val="12"/>
                <w:szCs w:val="12"/>
              </w:rPr>
            </w:pPr>
            <w:r w:rsidRPr="00483EBE">
              <w:rPr>
                <w:sz w:val="12"/>
                <w:szCs w:val="12"/>
              </w:rPr>
              <w:t>SEBD</w:t>
            </w:r>
          </w:p>
        </w:tc>
      </w:tr>
      <w:tr w:rsidR="00572995" w:rsidRPr="00483EBE" w14:paraId="255C32E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6D7DEC"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7849B7B" w14:textId="77777777" w:rsidR="00572995" w:rsidRPr="00483EBE" w:rsidRDefault="00572995" w:rsidP="00E8324D">
            <w:pPr>
              <w:pStyle w:val="Tablas"/>
              <w:rPr>
                <w:sz w:val="12"/>
                <w:szCs w:val="12"/>
              </w:rPr>
            </w:pPr>
            <w:r w:rsidRPr="00483EBE">
              <w:rPr>
                <w:sz w:val="12"/>
                <w:szCs w:val="12"/>
              </w:rPr>
              <w:t xml:space="preserve">75 </w:t>
            </w:r>
          </w:p>
        </w:tc>
        <w:tc>
          <w:tcPr>
            <w:tcW w:w="0" w:type="auto"/>
            <w:tcBorders>
              <w:top w:val="nil"/>
              <w:left w:val="nil"/>
              <w:bottom w:val="single" w:sz="4" w:space="0" w:color="auto"/>
              <w:right w:val="single" w:sz="4" w:space="0" w:color="auto"/>
            </w:tcBorders>
            <w:shd w:val="clear" w:color="auto" w:fill="auto"/>
            <w:vAlign w:val="center"/>
            <w:hideMark/>
          </w:tcPr>
          <w:p w14:paraId="554D81DE" w14:textId="77777777" w:rsidR="00572995" w:rsidRPr="00483EBE" w:rsidRDefault="00572995" w:rsidP="00E8324D">
            <w:pPr>
              <w:pStyle w:val="Tablas"/>
              <w:rPr>
                <w:sz w:val="12"/>
                <w:szCs w:val="12"/>
              </w:rPr>
            </w:pPr>
            <w:r w:rsidRPr="00483EBE">
              <w:rPr>
                <w:sz w:val="12"/>
                <w:szCs w:val="12"/>
              </w:rPr>
              <w:t>$214,671</w:t>
            </w:r>
          </w:p>
        </w:tc>
        <w:tc>
          <w:tcPr>
            <w:tcW w:w="0" w:type="auto"/>
            <w:tcBorders>
              <w:top w:val="nil"/>
              <w:left w:val="nil"/>
              <w:bottom w:val="single" w:sz="4" w:space="0" w:color="auto"/>
              <w:right w:val="single" w:sz="4" w:space="0" w:color="auto"/>
            </w:tcBorders>
            <w:shd w:val="clear" w:color="auto" w:fill="auto"/>
            <w:vAlign w:val="center"/>
            <w:hideMark/>
          </w:tcPr>
          <w:p w14:paraId="197C06BB" w14:textId="77777777" w:rsidR="00572995" w:rsidRPr="00483EBE" w:rsidRDefault="00572995" w:rsidP="00E8324D">
            <w:pPr>
              <w:pStyle w:val="Tablas"/>
              <w:rPr>
                <w:sz w:val="12"/>
                <w:szCs w:val="12"/>
              </w:rPr>
            </w:pPr>
            <w:r w:rsidRPr="00483EBE">
              <w:rPr>
                <w:sz w:val="12"/>
                <w:szCs w:val="12"/>
              </w:rPr>
              <w:t>$2,862</w:t>
            </w:r>
          </w:p>
        </w:tc>
        <w:tc>
          <w:tcPr>
            <w:tcW w:w="0" w:type="auto"/>
            <w:tcBorders>
              <w:top w:val="nil"/>
              <w:left w:val="nil"/>
              <w:bottom w:val="single" w:sz="4" w:space="0" w:color="auto"/>
              <w:right w:val="single" w:sz="4" w:space="0" w:color="auto"/>
            </w:tcBorders>
            <w:shd w:val="clear" w:color="auto" w:fill="auto"/>
            <w:vAlign w:val="center"/>
            <w:hideMark/>
          </w:tcPr>
          <w:p w14:paraId="461AE8AF" w14:textId="77777777" w:rsidR="00572995" w:rsidRPr="00483EBE" w:rsidRDefault="00572995" w:rsidP="00E8324D">
            <w:pPr>
              <w:pStyle w:val="Tablas"/>
              <w:rPr>
                <w:sz w:val="12"/>
                <w:szCs w:val="12"/>
              </w:rPr>
            </w:pPr>
            <w:r w:rsidRPr="00483EBE">
              <w:rPr>
                <w:sz w:val="12"/>
                <w:szCs w:val="12"/>
              </w:rPr>
              <w:t>$239</w:t>
            </w:r>
          </w:p>
        </w:tc>
        <w:tc>
          <w:tcPr>
            <w:tcW w:w="0" w:type="auto"/>
            <w:tcBorders>
              <w:top w:val="nil"/>
              <w:left w:val="nil"/>
              <w:bottom w:val="single" w:sz="4" w:space="0" w:color="auto"/>
              <w:right w:val="single" w:sz="4" w:space="0" w:color="auto"/>
            </w:tcBorders>
            <w:shd w:val="clear" w:color="auto" w:fill="auto"/>
            <w:vAlign w:val="center"/>
            <w:hideMark/>
          </w:tcPr>
          <w:p w14:paraId="115D569F"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44D0CB7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91A1C1A"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19B4C7B2" w14:textId="77777777" w:rsidR="00572995" w:rsidRPr="00483EBE" w:rsidRDefault="00572995" w:rsidP="00E8324D">
            <w:pPr>
              <w:pStyle w:val="Tablas"/>
              <w:rPr>
                <w:sz w:val="12"/>
                <w:szCs w:val="12"/>
              </w:rPr>
            </w:pPr>
            <w:r w:rsidRPr="00483EBE">
              <w:rPr>
                <w:sz w:val="12"/>
                <w:szCs w:val="12"/>
              </w:rPr>
              <w:t xml:space="preserve">760 </w:t>
            </w:r>
          </w:p>
        </w:tc>
        <w:tc>
          <w:tcPr>
            <w:tcW w:w="0" w:type="auto"/>
            <w:tcBorders>
              <w:top w:val="nil"/>
              <w:left w:val="nil"/>
              <w:bottom w:val="single" w:sz="4" w:space="0" w:color="auto"/>
              <w:right w:val="single" w:sz="4" w:space="0" w:color="auto"/>
            </w:tcBorders>
            <w:shd w:val="clear" w:color="auto" w:fill="auto"/>
            <w:vAlign w:val="center"/>
            <w:hideMark/>
          </w:tcPr>
          <w:p w14:paraId="475DBE9F" w14:textId="77777777" w:rsidR="00572995" w:rsidRPr="00483EBE" w:rsidRDefault="00572995" w:rsidP="00E8324D">
            <w:pPr>
              <w:pStyle w:val="Tablas"/>
              <w:rPr>
                <w:sz w:val="12"/>
                <w:szCs w:val="12"/>
              </w:rPr>
            </w:pPr>
            <w:r w:rsidRPr="00483EBE">
              <w:rPr>
                <w:sz w:val="12"/>
                <w:szCs w:val="12"/>
              </w:rPr>
              <w:t>$2,711,457</w:t>
            </w:r>
          </w:p>
        </w:tc>
        <w:tc>
          <w:tcPr>
            <w:tcW w:w="0" w:type="auto"/>
            <w:tcBorders>
              <w:top w:val="nil"/>
              <w:left w:val="nil"/>
              <w:bottom w:val="single" w:sz="4" w:space="0" w:color="auto"/>
              <w:right w:val="single" w:sz="4" w:space="0" w:color="auto"/>
            </w:tcBorders>
            <w:shd w:val="clear" w:color="auto" w:fill="auto"/>
            <w:vAlign w:val="center"/>
            <w:hideMark/>
          </w:tcPr>
          <w:p w14:paraId="7266B41F" w14:textId="77777777" w:rsidR="00572995" w:rsidRPr="00483EBE" w:rsidRDefault="00572995" w:rsidP="00E8324D">
            <w:pPr>
              <w:pStyle w:val="Tablas"/>
              <w:rPr>
                <w:sz w:val="12"/>
                <w:szCs w:val="12"/>
              </w:rPr>
            </w:pPr>
            <w:r w:rsidRPr="00483EBE">
              <w:rPr>
                <w:sz w:val="12"/>
                <w:szCs w:val="12"/>
              </w:rPr>
              <w:t>$3,568</w:t>
            </w:r>
          </w:p>
        </w:tc>
        <w:tc>
          <w:tcPr>
            <w:tcW w:w="0" w:type="auto"/>
            <w:tcBorders>
              <w:top w:val="nil"/>
              <w:left w:val="nil"/>
              <w:bottom w:val="single" w:sz="4" w:space="0" w:color="auto"/>
              <w:right w:val="single" w:sz="4" w:space="0" w:color="auto"/>
            </w:tcBorders>
            <w:shd w:val="clear" w:color="auto" w:fill="auto"/>
            <w:vAlign w:val="center"/>
            <w:hideMark/>
          </w:tcPr>
          <w:p w14:paraId="69190BB6" w14:textId="77777777" w:rsidR="00572995" w:rsidRPr="00483EBE" w:rsidRDefault="00572995" w:rsidP="00E8324D">
            <w:pPr>
              <w:pStyle w:val="Tablas"/>
              <w:rPr>
                <w:sz w:val="12"/>
                <w:szCs w:val="12"/>
              </w:rPr>
            </w:pPr>
            <w:r w:rsidRPr="00483EBE">
              <w:rPr>
                <w:sz w:val="12"/>
                <w:szCs w:val="12"/>
              </w:rPr>
              <w:t>$297</w:t>
            </w:r>
          </w:p>
        </w:tc>
        <w:tc>
          <w:tcPr>
            <w:tcW w:w="0" w:type="auto"/>
            <w:tcBorders>
              <w:top w:val="nil"/>
              <w:left w:val="nil"/>
              <w:bottom w:val="single" w:sz="4" w:space="0" w:color="auto"/>
              <w:right w:val="single" w:sz="4" w:space="0" w:color="auto"/>
            </w:tcBorders>
            <w:shd w:val="clear" w:color="auto" w:fill="auto"/>
            <w:vAlign w:val="center"/>
            <w:hideMark/>
          </w:tcPr>
          <w:p w14:paraId="00E3281A"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25861EE6" w14:textId="77777777" w:rsidR="00572995" w:rsidRPr="00483EBE" w:rsidRDefault="00572995" w:rsidP="00E8324D">
            <w:pPr>
              <w:pStyle w:val="Tablas"/>
              <w:rPr>
                <w:sz w:val="12"/>
                <w:szCs w:val="12"/>
              </w:rPr>
            </w:pPr>
            <w:r w:rsidRPr="00483EBE">
              <w:rPr>
                <w:sz w:val="12"/>
                <w:szCs w:val="12"/>
              </w:rPr>
              <w:t>SEBD</w:t>
            </w:r>
          </w:p>
        </w:tc>
      </w:tr>
      <w:tr w:rsidR="00572995" w:rsidRPr="00483EBE" w14:paraId="7981EA6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19829F"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36B506E2" w14:textId="77777777" w:rsidR="00572995" w:rsidRPr="00483EBE" w:rsidRDefault="00572995" w:rsidP="00E8324D">
            <w:pPr>
              <w:pStyle w:val="Tablas"/>
              <w:rPr>
                <w:sz w:val="12"/>
                <w:szCs w:val="12"/>
              </w:rPr>
            </w:pPr>
            <w:r w:rsidRPr="00483EBE">
              <w:rPr>
                <w:sz w:val="12"/>
                <w:szCs w:val="12"/>
              </w:rPr>
              <w:t xml:space="preserve">74 </w:t>
            </w:r>
          </w:p>
        </w:tc>
        <w:tc>
          <w:tcPr>
            <w:tcW w:w="0" w:type="auto"/>
            <w:tcBorders>
              <w:top w:val="nil"/>
              <w:left w:val="nil"/>
              <w:bottom w:val="single" w:sz="4" w:space="0" w:color="auto"/>
              <w:right w:val="single" w:sz="4" w:space="0" w:color="auto"/>
            </w:tcBorders>
            <w:shd w:val="clear" w:color="auto" w:fill="auto"/>
            <w:vAlign w:val="center"/>
            <w:hideMark/>
          </w:tcPr>
          <w:p w14:paraId="59D5EAA9" w14:textId="77777777" w:rsidR="00572995" w:rsidRPr="00483EBE" w:rsidRDefault="00572995" w:rsidP="00E8324D">
            <w:pPr>
              <w:pStyle w:val="Tablas"/>
              <w:rPr>
                <w:sz w:val="12"/>
                <w:szCs w:val="12"/>
              </w:rPr>
            </w:pPr>
            <w:r w:rsidRPr="00483EBE">
              <w:rPr>
                <w:sz w:val="12"/>
                <w:szCs w:val="12"/>
              </w:rPr>
              <w:t>$213,419</w:t>
            </w:r>
          </w:p>
        </w:tc>
        <w:tc>
          <w:tcPr>
            <w:tcW w:w="0" w:type="auto"/>
            <w:tcBorders>
              <w:top w:val="nil"/>
              <w:left w:val="nil"/>
              <w:bottom w:val="single" w:sz="4" w:space="0" w:color="auto"/>
              <w:right w:val="single" w:sz="4" w:space="0" w:color="auto"/>
            </w:tcBorders>
            <w:shd w:val="clear" w:color="auto" w:fill="auto"/>
            <w:vAlign w:val="center"/>
            <w:hideMark/>
          </w:tcPr>
          <w:p w14:paraId="7E983812" w14:textId="77777777" w:rsidR="00572995" w:rsidRPr="00483EBE" w:rsidRDefault="00572995" w:rsidP="00E8324D">
            <w:pPr>
              <w:pStyle w:val="Tablas"/>
              <w:rPr>
                <w:sz w:val="12"/>
                <w:szCs w:val="12"/>
              </w:rPr>
            </w:pPr>
            <w:r w:rsidRPr="00483EBE">
              <w:rPr>
                <w:sz w:val="12"/>
                <w:szCs w:val="12"/>
              </w:rPr>
              <w:t>$2,884</w:t>
            </w:r>
          </w:p>
        </w:tc>
        <w:tc>
          <w:tcPr>
            <w:tcW w:w="0" w:type="auto"/>
            <w:tcBorders>
              <w:top w:val="nil"/>
              <w:left w:val="nil"/>
              <w:bottom w:val="single" w:sz="4" w:space="0" w:color="auto"/>
              <w:right w:val="single" w:sz="4" w:space="0" w:color="auto"/>
            </w:tcBorders>
            <w:shd w:val="clear" w:color="auto" w:fill="auto"/>
            <w:vAlign w:val="center"/>
            <w:hideMark/>
          </w:tcPr>
          <w:p w14:paraId="30AC1336" w14:textId="77777777" w:rsidR="00572995" w:rsidRPr="00483EBE" w:rsidRDefault="00572995" w:rsidP="00E8324D">
            <w:pPr>
              <w:pStyle w:val="Tablas"/>
              <w:rPr>
                <w:sz w:val="12"/>
                <w:szCs w:val="12"/>
              </w:rPr>
            </w:pPr>
            <w:r w:rsidRPr="00483EBE">
              <w:rPr>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5469BE15"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77ADFFB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374839"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08DA9697" w14:textId="77777777" w:rsidR="00572995" w:rsidRPr="00483EBE" w:rsidRDefault="00572995" w:rsidP="00E8324D">
            <w:pPr>
              <w:pStyle w:val="Tablas"/>
              <w:rPr>
                <w:sz w:val="12"/>
                <w:szCs w:val="12"/>
              </w:rPr>
            </w:pPr>
            <w:r w:rsidRPr="00483EBE">
              <w:rPr>
                <w:sz w:val="12"/>
                <w:szCs w:val="12"/>
              </w:rPr>
              <w:t xml:space="preserve">817 </w:t>
            </w:r>
          </w:p>
        </w:tc>
        <w:tc>
          <w:tcPr>
            <w:tcW w:w="0" w:type="auto"/>
            <w:tcBorders>
              <w:top w:val="nil"/>
              <w:left w:val="nil"/>
              <w:bottom w:val="single" w:sz="4" w:space="0" w:color="auto"/>
              <w:right w:val="single" w:sz="4" w:space="0" w:color="auto"/>
            </w:tcBorders>
            <w:shd w:val="clear" w:color="auto" w:fill="auto"/>
            <w:vAlign w:val="center"/>
            <w:hideMark/>
          </w:tcPr>
          <w:p w14:paraId="44CFD734" w14:textId="77777777" w:rsidR="00572995" w:rsidRPr="00483EBE" w:rsidRDefault="00572995" w:rsidP="00E8324D">
            <w:pPr>
              <w:pStyle w:val="Tablas"/>
              <w:rPr>
                <w:sz w:val="12"/>
                <w:szCs w:val="12"/>
              </w:rPr>
            </w:pPr>
            <w:r w:rsidRPr="00483EBE">
              <w:rPr>
                <w:sz w:val="12"/>
                <w:szCs w:val="12"/>
              </w:rPr>
              <w:t>$2,843,388</w:t>
            </w:r>
          </w:p>
        </w:tc>
        <w:tc>
          <w:tcPr>
            <w:tcW w:w="0" w:type="auto"/>
            <w:tcBorders>
              <w:top w:val="nil"/>
              <w:left w:val="nil"/>
              <w:bottom w:val="single" w:sz="4" w:space="0" w:color="auto"/>
              <w:right w:val="single" w:sz="4" w:space="0" w:color="auto"/>
            </w:tcBorders>
            <w:shd w:val="clear" w:color="auto" w:fill="auto"/>
            <w:vAlign w:val="center"/>
            <w:hideMark/>
          </w:tcPr>
          <w:p w14:paraId="747FB024" w14:textId="77777777" w:rsidR="00572995" w:rsidRPr="00483EBE" w:rsidRDefault="00572995" w:rsidP="00E8324D">
            <w:pPr>
              <w:pStyle w:val="Tablas"/>
              <w:rPr>
                <w:sz w:val="12"/>
                <w:szCs w:val="12"/>
              </w:rPr>
            </w:pPr>
            <w:r w:rsidRPr="00483EBE">
              <w:rPr>
                <w:sz w:val="12"/>
                <w:szCs w:val="12"/>
              </w:rPr>
              <w:t>$3,480</w:t>
            </w:r>
          </w:p>
        </w:tc>
        <w:tc>
          <w:tcPr>
            <w:tcW w:w="0" w:type="auto"/>
            <w:tcBorders>
              <w:top w:val="nil"/>
              <w:left w:val="nil"/>
              <w:bottom w:val="single" w:sz="4" w:space="0" w:color="auto"/>
              <w:right w:val="single" w:sz="4" w:space="0" w:color="auto"/>
            </w:tcBorders>
            <w:shd w:val="clear" w:color="auto" w:fill="auto"/>
            <w:vAlign w:val="center"/>
            <w:hideMark/>
          </w:tcPr>
          <w:p w14:paraId="61955581" w14:textId="77777777" w:rsidR="00572995" w:rsidRPr="00483EBE" w:rsidRDefault="00572995" w:rsidP="00E8324D">
            <w:pPr>
              <w:pStyle w:val="Tablas"/>
              <w:rPr>
                <w:sz w:val="12"/>
                <w:szCs w:val="12"/>
              </w:rPr>
            </w:pPr>
            <w:r w:rsidRPr="00483EBE">
              <w:rPr>
                <w:sz w:val="12"/>
                <w:szCs w:val="12"/>
              </w:rPr>
              <w:t>$290</w:t>
            </w:r>
          </w:p>
        </w:tc>
        <w:tc>
          <w:tcPr>
            <w:tcW w:w="0" w:type="auto"/>
            <w:tcBorders>
              <w:top w:val="nil"/>
              <w:left w:val="nil"/>
              <w:bottom w:val="single" w:sz="4" w:space="0" w:color="auto"/>
              <w:right w:val="single" w:sz="4" w:space="0" w:color="auto"/>
            </w:tcBorders>
            <w:shd w:val="clear" w:color="auto" w:fill="auto"/>
            <w:vAlign w:val="center"/>
            <w:hideMark/>
          </w:tcPr>
          <w:p w14:paraId="38FE1C97"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79BA7D2" w14:textId="77777777" w:rsidR="00572995" w:rsidRPr="00483EBE" w:rsidRDefault="00572995" w:rsidP="00E8324D">
            <w:pPr>
              <w:pStyle w:val="Tablas"/>
              <w:rPr>
                <w:sz w:val="12"/>
                <w:szCs w:val="12"/>
              </w:rPr>
            </w:pPr>
            <w:r w:rsidRPr="00483EBE">
              <w:rPr>
                <w:sz w:val="12"/>
                <w:szCs w:val="12"/>
              </w:rPr>
              <w:t>SEBD</w:t>
            </w:r>
          </w:p>
        </w:tc>
      </w:tr>
      <w:tr w:rsidR="00572995" w:rsidRPr="00483EBE" w14:paraId="42256B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80A0CFF"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4A1401F"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3925A28E" w14:textId="77777777" w:rsidR="00572995" w:rsidRPr="00483EBE" w:rsidRDefault="00572995" w:rsidP="00E8324D">
            <w:pPr>
              <w:pStyle w:val="Tablas"/>
              <w:rPr>
                <w:sz w:val="12"/>
                <w:szCs w:val="12"/>
              </w:rPr>
            </w:pPr>
            <w:r w:rsidRPr="00483EBE">
              <w:rPr>
                <w:sz w:val="12"/>
                <w:szCs w:val="12"/>
              </w:rPr>
              <w:t>$38,218</w:t>
            </w:r>
          </w:p>
        </w:tc>
        <w:tc>
          <w:tcPr>
            <w:tcW w:w="0" w:type="auto"/>
            <w:tcBorders>
              <w:top w:val="nil"/>
              <w:left w:val="nil"/>
              <w:bottom w:val="single" w:sz="4" w:space="0" w:color="auto"/>
              <w:right w:val="single" w:sz="4" w:space="0" w:color="auto"/>
            </w:tcBorders>
            <w:shd w:val="clear" w:color="auto" w:fill="auto"/>
            <w:vAlign w:val="center"/>
            <w:hideMark/>
          </w:tcPr>
          <w:p w14:paraId="73D9EB63" w14:textId="77777777" w:rsidR="00572995" w:rsidRPr="00483EBE" w:rsidRDefault="00572995" w:rsidP="00E8324D">
            <w:pPr>
              <w:pStyle w:val="Tablas"/>
              <w:rPr>
                <w:sz w:val="12"/>
                <w:szCs w:val="12"/>
              </w:rPr>
            </w:pPr>
            <w:r w:rsidRPr="00483EBE">
              <w:rPr>
                <w:sz w:val="12"/>
                <w:szCs w:val="12"/>
              </w:rPr>
              <w:t>$2,940</w:t>
            </w:r>
          </w:p>
        </w:tc>
        <w:tc>
          <w:tcPr>
            <w:tcW w:w="0" w:type="auto"/>
            <w:tcBorders>
              <w:top w:val="nil"/>
              <w:left w:val="nil"/>
              <w:bottom w:val="single" w:sz="4" w:space="0" w:color="auto"/>
              <w:right w:val="single" w:sz="4" w:space="0" w:color="auto"/>
            </w:tcBorders>
            <w:shd w:val="clear" w:color="auto" w:fill="auto"/>
            <w:vAlign w:val="center"/>
            <w:hideMark/>
          </w:tcPr>
          <w:p w14:paraId="0A2831F3" w14:textId="77777777" w:rsidR="00572995" w:rsidRPr="00483EBE" w:rsidRDefault="00572995" w:rsidP="00E8324D">
            <w:pPr>
              <w:pStyle w:val="Tablas"/>
              <w:rPr>
                <w:sz w:val="12"/>
                <w:szCs w:val="12"/>
              </w:rPr>
            </w:pPr>
            <w:r w:rsidRPr="00483EBE">
              <w:rPr>
                <w:sz w:val="12"/>
                <w:szCs w:val="12"/>
              </w:rPr>
              <w:t>$245</w:t>
            </w:r>
          </w:p>
        </w:tc>
        <w:tc>
          <w:tcPr>
            <w:tcW w:w="0" w:type="auto"/>
            <w:tcBorders>
              <w:top w:val="nil"/>
              <w:left w:val="nil"/>
              <w:bottom w:val="single" w:sz="4" w:space="0" w:color="auto"/>
              <w:right w:val="single" w:sz="4" w:space="0" w:color="auto"/>
            </w:tcBorders>
            <w:shd w:val="clear" w:color="auto" w:fill="auto"/>
            <w:vAlign w:val="center"/>
            <w:hideMark/>
          </w:tcPr>
          <w:p w14:paraId="4310E9DB"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7AE8415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B1F64B9"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3E67D703" w14:textId="77777777" w:rsidR="00572995" w:rsidRPr="00483EBE" w:rsidRDefault="00572995" w:rsidP="00E8324D">
            <w:pPr>
              <w:pStyle w:val="Tablas"/>
              <w:rPr>
                <w:sz w:val="12"/>
                <w:szCs w:val="12"/>
              </w:rPr>
            </w:pPr>
            <w:r w:rsidRPr="00483EBE">
              <w:rPr>
                <w:sz w:val="12"/>
                <w:szCs w:val="12"/>
              </w:rPr>
              <w:t xml:space="preserve">837 </w:t>
            </w:r>
          </w:p>
        </w:tc>
        <w:tc>
          <w:tcPr>
            <w:tcW w:w="0" w:type="auto"/>
            <w:tcBorders>
              <w:top w:val="nil"/>
              <w:left w:val="nil"/>
              <w:bottom w:val="single" w:sz="4" w:space="0" w:color="auto"/>
              <w:right w:val="single" w:sz="4" w:space="0" w:color="auto"/>
            </w:tcBorders>
            <w:shd w:val="clear" w:color="auto" w:fill="auto"/>
            <w:vAlign w:val="center"/>
            <w:hideMark/>
          </w:tcPr>
          <w:p w14:paraId="30B064B5" w14:textId="77777777" w:rsidR="00572995" w:rsidRPr="00483EBE" w:rsidRDefault="00572995" w:rsidP="00E8324D">
            <w:pPr>
              <w:pStyle w:val="Tablas"/>
              <w:rPr>
                <w:sz w:val="12"/>
                <w:szCs w:val="12"/>
              </w:rPr>
            </w:pPr>
            <w:r w:rsidRPr="00483EBE">
              <w:rPr>
                <w:sz w:val="12"/>
                <w:szCs w:val="12"/>
              </w:rPr>
              <w:t>$2,975,831</w:t>
            </w:r>
          </w:p>
        </w:tc>
        <w:tc>
          <w:tcPr>
            <w:tcW w:w="0" w:type="auto"/>
            <w:tcBorders>
              <w:top w:val="nil"/>
              <w:left w:val="nil"/>
              <w:bottom w:val="single" w:sz="4" w:space="0" w:color="auto"/>
              <w:right w:val="single" w:sz="4" w:space="0" w:color="auto"/>
            </w:tcBorders>
            <w:shd w:val="clear" w:color="auto" w:fill="auto"/>
            <w:vAlign w:val="center"/>
            <w:hideMark/>
          </w:tcPr>
          <w:p w14:paraId="7A144CB1" w14:textId="77777777" w:rsidR="00572995" w:rsidRPr="00483EBE" w:rsidRDefault="00572995" w:rsidP="00E8324D">
            <w:pPr>
              <w:pStyle w:val="Tablas"/>
              <w:rPr>
                <w:sz w:val="12"/>
                <w:szCs w:val="12"/>
              </w:rPr>
            </w:pPr>
            <w:r w:rsidRPr="00483EBE">
              <w:rPr>
                <w:sz w:val="12"/>
                <w:szCs w:val="12"/>
              </w:rPr>
              <w:t>$3,555</w:t>
            </w:r>
          </w:p>
        </w:tc>
        <w:tc>
          <w:tcPr>
            <w:tcW w:w="0" w:type="auto"/>
            <w:tcBorders>
              <w:top w:val="nil"/>
              <w:left w:val="nil"/>
              <w:bottom w:val="single" w:sz="4" w:space="0" w:color="auto"/>
              <w:right w:val="single" w:sz="4" w:space="0" w:color="auto"/>
            </w:tcBorders>
            <w:shd w:val="clear" w:color="auto" w:fill="auto"/>
            <w:vAlign w:val="center"/>
            <w:hideMark/>
          </w:tcPr>
          <w:p w14:paraId="77CF1370" w14:textId="77777777" w:rsidR="00572995" w:rsidRPr="00483EBE" w:rsidRDefault="00572995" w:rsidP="00E8324D">
            <w:pPr>
              <w:pStyle w:val="Tablas"/>
              <w:rPr>
                <w:sz w:val="12"/>
                <w:szCs w:val="12"/>
              </w:rPr>
            </w:pPr>
            <w:r w:rsidRPr="00483EBE">
              <w:rPr>
                <w:sz w:val="12"/>
                <w:szCs w:val="12"/>
              </w:rPr>
              <w:t>$296</w:t>
            </w:r>
          </w:p>
        </w:tc>
        <w:tc>
          <w:tcPr>
            <w:tcW w:w="0" w:type="auto"/>
            <w:tcBorders>
              <w:top w:val="nil"/>
              <w:left w:val="nil"/>
              <w:bottom w:val="single" w:sz="4" w:space="0" w:color="auto"/>
              <w:right w:val="single" w:sz="4" w:space="0" w:color="auto"/>
            </w:tcBorders>
            <w:shd w:val="clear" w:color="auto" w:fill="auto"/>
            <w:vAlign w:val="center"/>
            <w:hideMark/>
          </w:tcPr>
          <w:p w14:paraId="5E29BAAE"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1EB7CF5" w14:textId="77777777" w:rsidR="00572995" w:rsidRPr="00483EBE" w:rsidRDefault="00572995" w:rsidP="00E8324D">
            <w:pPr>
              <w:pStyle w:val="Tablas"/>
              <w:rPr>
                <w:sz w:val="12"/>
                <w:szCs w:val="12"/>
              </w:rPr>
            </w:pPr>
            <w:r w:rsidRPr="00483EBE">
              <w:rPr>
                <w:sz w:val="12"/>
                <w:szCs w:val="12"/>
              </w:rPr>
              <w:t>SEBD</w:t>
            </w:r>
          </w:p>
        </w:tc>
      </w:tr>
      <w:tr w:rsidR="00572995" w:rsidRPr="00483EBE" w14:paraId="28F153E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875225"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5267302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BB02D46" w14:textId="77777777" w:rsidR="00572995" w:rsidRPr="00483EBE" w:rsidRDefault="00572995" w:rsidP="00E8324D">
            <w:pPr>
              <w:pStyle w:val="Tablas"/>
              <w:rPr>
                <w:sz w:val="12"/>
                <w:szCs w:val="12"/>
              </w:rPr>
            </w:pPr>
            <w:r w:rsidRPr="00483EBE">
              <w:rPr>
                <w:sz w:val="12"/>
                <w:szCs w:val="12"/>
              </w:rPr>
              <w:t>$2,130</w:t>
            </w:r>
          </w:p>
        </w:tc>
        <w:tc>
          <w:tcPr>
            <w:tcW w:w="0" w:type="auto"/>
            <w:tcBorders>
              <w:top w:val="nil"/>
              <w:left w:val="nil"/>
              <w:bottom w:val="single" w:sz="4" w:space="0" w:color="auto"/>
              <w:right w:val="single" w:sz="4" w:space="0" w:color="auto"/>
            </w:tcBorders>
            <w:shd w:val="clear" w:color="auto" w:fill="auto"/>
            <w:vAlign w:val="center"/>
            <w:hideMark/>
          </w:tcPr>
          <w:p w14:paraId="10C5CB19" w14:textId="77777777" w:rsidR="00572995" w:rsidRPr="00483EBE" w:rsidRDefault="00572995" w:rsidP="00E8324D">
            <w:pPr>
              <w:pStyle w:val="Tablas"/>
              <w:rPr>
                <w:sz w:val="12"/>
                <w:szCs w:val="12"/>
              </w:rPr>
            </w:pPr>
            <w:r w:rsidRPr="00483EBE">
              <w:rPr>
                <w:sz w:val="12"/>
                <w:szCs w:val="12"/>
              </w:rPr>
              <w:t>$2,130</w:t>
            </w:r>
          </w:p>
        </w:tc>
        <w:tc>
          <w:tcPr>
            <w:tcW w:w="0" w:type="auto"/>
            <w:tcBorders>
              <w:top w:val="nil"/>
              <w:left w:val="nil"/>
              <w:bottom w:val="single" w:sz="4" w:space="0" w:color="auto"/>
              <w:right w:val="single" w:sz="4" w:space="0" w:color="auto"/>
            </w:tcBorders>
            <w:shd w:val="clear" w:color="auto" w:fill="auto"/>
            <w:vAlign w:val="center"/>
            <w:hideMark/>
          </w:tcPr>
          <w:p w14:paraId="0F0D2A71" w14:textId="77777777" w:rsidR="00572995" w:rsidRPr="00483EBE" w:rsidRDefault="00572995" w:rsidP="00E8324D">
            <w:pPr>
              <w:pStyle w:val="Tablas"/>
              <w:rPr>
                <w:sz w:val="12"/>
                <w:szCs w:val="12"/>
              </w:rPr>
            </w:pPr>
            <w:r w:rsidRPr="00483EBE">
              <w:rPr>
                <w:sz w:val="12"/>
                <w:szCs w:val="12"/>
              </w:rPr>
              <w:t>$177</w:t>
            </w:r>
          </w:p>
        </w:tc>
        <w:tc>
          <w:tcPr>
            <w:tcW w:w="0" w:type="auto"/>
            <w:tcBorders>
              <w:top w:val="nil"/>
              <w:left w:val="nil"/>
              <w:bottom w:val="single" w:sz="4" w:space="0" w:color="auto"/>
              <w:right w:val="single" w:sz="4" w:space="0" w:color="auto"/>
            </w:tcBorders>
            <w:shd w:val="clear" w:color="auto" w:fill="auto"/>
            <w:vAlign w:val="center"/>
            <w:hideMark/>
          </w:tcPr>
          <w:p w14:paraId="0721F8E9" w14:textId="77777777" w:rsidR="00572995" w:rsidRPr="00483EBE" w:rsidRDefault="00572995" w:rsidP="00E8324D">
            <w:pPr>
              <w:pStyle w:val="Tablas"/>
              <w:rPr>
                <w:sz w:val="12"/>
                <w:szCs w:val="12"/>
              </w:rPr>
            </w:pPr>
            <w:r w:rsidRPr="00483EBE">
              <w:rPr>
                <w:sz w:val="12"/>
                <w:szCs w:val="12"/>
              </w:rPr>
              <w:t>PROPORCIONAL ANTICIPADA</w:t>
            </w:r>
          </w:p>
        </w:tc>
        <w:tc>
          <w:tcPr>
            <w:tcW w:w="0" w:type="auto"/>
            <w:tcBorders>
              <w:top w:val="nil"/>
              <w:left w:val="nil"/>
              <w:bottom w:val="single" w:sz="4" w:space="0" w:color="auto"/>
              <w:right w:val="nil"/>
            </w:tcBorders>
            <w:shd w:val="clear" w:color="auto" w:fill="auto"/>
            <w:vAlign w:val="center"/>
            <w:hideMark/>
          </w:tcPr>
          <w:p w14:paraId="3D56BD8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B22821"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24BA6164" w14:textId="77777777" w:rsidR="00572995" w:rsidRPr="00483EBE" w:rsidRDefault="00572995" w:rsidP="00E8324D">
            <w:pPr>
              <w:pStyle w:val="Tablas"/>
              <w:rPr>
                <w:sz w:val="12"/>
                <w:szCs w:val="12"/>
              </w:rPr>
            </w:pPr>
            <w:r w:rsidRPr="00483EBE">
              <w:rPr>
                <w:sz w:val="12"/>
                <w:szCs w:val="12"/>
              </w:rPr>
              <w:t xml:space="preserve">926 </w:t>
            </w:r>
          </w:p>
        </w:tc>
        <w:tc>
          <w:tcPr>
            <w:tcW w:w="0" w:type="auto"/>
            <w:tcBorders>
              <w:top w:val="nil"/>
              <w:left w:val="nil"/>
              <w:bottom w:val="single" w:sz="4" w:space="0" w:color="auto"/>
              <w:right w:val="single" w:sz="4" w:space="0" w:color="auto"/>
            </w:tcBorders>
            <w:shd w:val="clear" w:color="auto" w:fill="auto"/>
            <w:vAlign w:val="center"/>
            <w:hideMark/>
          </w:tcPr>
          <w:p w14:paraId="1D370648" w14:textId="77777777" w:rsidR="00572995" w:rsidRPr="00483EBE" w:rsidRDefault="00572995" w:rsidP="00E8324D">
            <w:pPr>
              <w:pStyle w:val="Tablas"/>
              <w:rPr>
                <w:sz w:val="12"/>
                <w:szCs w:val="12"/>
              </w:rPr>
            </w:pPr>
            <w:r w:rsidRPr="00483EBE">
              <w:rPr>
                <w:sz w:val="12"/>
                <w:szCs w:val="12"/>
              </w:rPr>
              <w:t>$3,243,991</w:t>
            </w:r>
          </w:p>
        </w:tc>
        <w:tc>
          <w:tcPr>
            <w:tcW w:w="0" w:type="auto"/>
            <w:tcBorders>
              <w:top w:val="nil"/>
              <w:left w:val="nil"/>
              <w:bottom w:val="single" w:sz="4" w:space="0" w:color="auto"/>
              <w:right w:val="single" w:sz="4" w:space="0" w:color="auto"/>
            </w:tcBorders>
            <w:shd w:val="clear" w:color="auto" w:fill="auto"/>
            <w:vAlign w:val="center"/>
            <w:hideMark/>
          </w:tcPr>
          <w:p w14:paraId="62F8C089" w14:textId="77777777" w:rsidR="00572995" w:rsidRPr="00483EBE" w:rsidRDefault="00572995" w:rsidP="00E8324D">
            <w:pPr>
              <w:pStyle w:val="Tablas"/>
              <w:rPr>
                <w:sz w:val="12"/>
                <w:szCs w:val="12"/>
              </w:rPr>
            </w:pPr>
            <w:r w:rsidRPr="00483EBE">
              <w:rPr>
                <w:sz w:val="12"/>
                <w:szCs w:val="12"/>
              </w:rPr>
              <w:t>$3,503</w:t>
            </w:r>
          </w:p>
        </w:tc>
        <w:tc>
          <w:tcPr>
            <w:tcW w:w="0" w:type="auto"/>
            <w:tcBorders>
              <w:top w:val="nil"/>
              <w:left w:val="nil"/>
              <w:bottom w:val="single" w:sz="4" w:space="0" w:color="auto"/>
              <w:right w:val="single" w:sz="4" w:space="0" w:color="auto"/>
            </w:tcBorders>
            <w:shd w:val="clear" w:color="auto" w:fill="auto"/>
            <w:vAlign w:val="center"/>
            <w:hideMark/>
          </w:tcPr>
          <w:p w14:paraId="7BFF3370" w14:textId="77777777" w:rsidR="00572995" w:rsidRPr="00483EBE" w:rsidRDefault="00572995" w:rsidP="00E8324D">
            <w:pPr>
              <w:pStyle w:val="Tablas"/>
              <w:rPr>
                <w:sz w:val="12"/>
                <w:szCs w:val="12"/>
              </w:rPr>
            </w:pPr>
            <w:r w:rsidRPr="00483EBE">
              <w:rPr>
                <w:sz w:val="12"/>
                <w:szCs w:val="12"/>
              </w:rPr>
              <w:t>$292</w:t>
            </w:r>
          </w:p>
        </w:tc>
        <w:tc>
          <w:tcPr>
            <w:tcW w:w="0" w:type="auto"/>
            <w:tcBorders>
              <w:top w:val="nil"/>
              <w:left w:val="nil"/>
              <w:bottom w:val="single" w:sz="4" w:space="0" w:color="auto"/>
              <w:right w:val="single" w:sz="4" w:space="0" w:color="auto"/>
            </w:tcBorders>
            <w:shd w:val="clear" w:color="auto" w:fill="auto"/>
            <w:vAlign w:val="center"/>
            <w:hideMark/>
          </w:tcPr>
          <w:p w14:paraId="08655091"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1D08E56" w14:textId="77777777" w:rsidR="00572995" w:rsidRPr="00483EBE" w:rsidRDefault="00572995" w:rsidP="00E8324D">
            <w:pPr>
              <w:pStyle w:val="Tablas"/>
              <w:rPr>
                <w:sz w:val="12"/>
                <w:szCs w:val="12"/>
              </w:rPr>
            </w:pPr>
            <w:r w:rsidRPr="00483EBE">
              <w:rPr>
                <w:sz w:val="12"/>
                <w:szCs w:val="12"/>
              </w:rPr>
              <w:t>SEBD</w:t>
            </w:r>
          </w:p>
        </w:tc>
      </w:tr>
      <w:tr w:rsidR="00572995" w:rsidRPr="00483EBE" w14:paraId="5CE62F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2CBCE1"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4856D629" w14:textId="77777777" w:rsidR="00572995" w:rsidRPr="00483EBE" w:rsidRDefault="00572995" w:rsidP="00E8324D">
            <w:pPr>
              <w:pStyle w:val="Tablas"/>
              <w:rPr>
                <w:sz w:val="12"/>
                <w:szCs w:val="12"/>
              </w:rPr>
            </w:pPr>
            <w:r w:rsidRPr="00483EBE">
              <w:rPr>
                <w:sz w:val="12"/>
                <w:szCs w:val="12"/>
              </w:rPr>
              <w:t xml:space="preserve">298 </w:t>
            </w:r>
          </w:p>
        </w:tc>
        <w:tc>
          <w:tcPr>
            <w:tcW w:w="0" w:type="auto"/>
            <w:tcBorders>
              <w:top w:val="nil"/>
              <w:left w:val="nil"/>
              <w:bottom w:val="single" w:sz="4" w:space="0" w:color="auto"/>
              <w:right w:val="single" w:sz="4" w:space="0" w:color="auto"/>
            </w:tcBorders>
            <w:shd w:val="clear" w:color="auto" w:fill="auto"/>
            <w:vAlign w:val="center"/>
            <w:hideMark/>
          </w:tcPr>
          <w:p w14:paraId="4662B53E" w14:textId="77777777" w:rsidR="00572995" w:rsidRPr="00483EBE" w:rsidRDefault="00572995" w:rsidP="00E8324D">
            <w:pPr>
              <w:pStyle w:val="Tablas"/>
              <w:rPr>
                <w:sz w:val="12"/>
                <w:szCs w:val="12"/>
              </w:rPr>
            </w:pPr>
            <w:r w:rsidRPr="00483EBE">
              <w:rPr>
                <w:sz w:val="12"/>
                <w:szCs w:val="12"/>
              </w:rPr>
              <w:t>$1,005,301</w:t>
            </w:r>
          </w:p>
        </w:tc>
        <w:tc>
          <w:tcPr>
            <w:tcW w:w="0" w:type="auto"/>
            <w:tcBorders>
              <w:top w:val="nil"/>
              <w:left w:val="nil"/>
              <w:bottom w:val="single" w:sz="4" w:space="0" w:color="auto"/>
              <w:right w:val="single" w:sz="4" w:space="0" w:color="auto"/>
            </w:tcBorders>
            <w:shd w:val="clear" w:color="auto" w:fill="auto"/>
            <w:vAlign w:val="center"/>
            <w:hideMark/>
          </w:tcPr>
          <w:p w14:paraId="53CFD6E7" w14:textId="77777777" w:rsidR="00572995" w:rsidRPr="00483EBE" w:rsidRDefault="00572995" w:rsidP="00E8324D">
            <w:pPr>
              <w:pStyle w:val="Tablas"/>
              <w:rPr>
                <w:sz w:val="12"/>
                <w:szCs w:val="12"/>
              </w:rPr>
            </w:pPr>
            <w:r w:rsidRPr="00483EBE">
              <w:rPr>
                <w:sz w:val="12"/>
                <w:szCs w:val="12"/>
              </w:rPr>
              <w:t>$3,373</w:t>
            </w:r>
          </w:p>
        </w:tc>
        <w:tc>
          <w:tcPr>
            <w:tcW w:w="0" w:type="auto"/>
            <w:tcBorders>
              <w:top w:val="nil"/>
              <w:left w:val="nil"/>
              <w:bottom w:val="single" w:sz="4" w:space="0" w:color="auto"/>
              <w:right w:val="single" w:sz="4" w:space="0" w:color="auto"/>
            </w:tcBorders>
            <w:shd w:val="clear" w:color="auto" w:fill="auto"/>
            <w:vAlign w:val="center"/>
            <w:hideMark/>
          </w:tcPr>
          <w:p w14:paraId="67742B6A" w14:textId="77777777" w:rsidR="00572995" w:rsidRPr="00483EBE" w:rsidRDefault="00572995" w:rsidP="00E8324D">
            <w:pPr>
              <w:pStyle w:val="Tablas"/>
              <w:rPr>
                <w:sz w:val="12"/>
                <w:szCs w:val="12"/>
              </w:rPr>
            </w:pPr>
            <w:r w:rsidRPr="00483EBE">
              <w:rPr>
                <w:sz w:val="12"/>
                <w:szCs w:val="12"/>
              </w:rPr>
              <w:t>$281</w:t>
            </w:r>
          </w:p>
        </w:tc>
        <w:tc>
          <w:tcPr>
            <w:tcW w:w="0" w:type="auto"/>
            <w:tcBorders>
              <w:top w:val="nil"/>
              <w:left w:val="nil"/>
              <w:bottom w:val="single" w:sz="4" w:space="0" w:color="auto"/>
              <w:right w:val="single" w:sz="4" w:space="0" w:color="auto"/>
            </w:tcBorders>
            <w:shd w:val="clear" w:color="auto" w:fill="auto"/>
            <w:vAlign w:val="center"/>
            <w:hideMark/>
          </w:tcPr>
          <w:p w14:paraId="6EB276FE"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F8BE74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349C7B"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0E640709" w14:textId="77777777" w:rsidR="00572995" w:rsidRPr="00483EBE" w:rsidRDefault="00572995" w:rsidP="00E8324D">
            <w:pPr>
              <w:pStyle w:val="Tablas"/>
              <w:rPr>
                <w:sz w:val="12"/>
                <w:szCs w:val="12"/>
              </w:rPr>
            </w:pPr>
            <w:r w:rsidRPr="00483EBE">
              <w:rPr>
                <w:sz w:val="12"/>
                <w:szCs w:val="12"/>
              </w:rPr>
              <w:t xml:space="preserve">863 </w:t>
            </w:r>
          </w:p>
        </w:tc>
        <w:tc>
          <w:tcPr>
            <w:tcW w:w="0" w:type="auto"/>
            <w:tcBorders>
              <w:top w:val="nil"/>
              <w:left w:val="nil"/>
              <w:bottom w:val="single" w:sz="4" w:space="0" w:color="auto"/>
              <w:right w:val="single" w:sz="4" w:space="0" w:color="auto"/>
            </w:tcBorders>
            <w:shd w:val="clear" w:color="auto" w:fill="auto"/>
            <w:vAlign w:val="center"/>
            <w:hideMark/>
          </w:tcPr>
          <w:p w14:paraId="2E6E8A69" w14:textId="77777777" w:rsidR="00572995" w:rsidRPr="00483EBE" w:rsidRDefault="00572995" w:rsidP="00E8324D">
            <w:pPr>
              <w:pStyle w:val="Tablas"/>
              <w:rPr>
                <w:sz w:val="12"/>
                <w:szCs w:val="12"/>
              </w:rPr>
            </w:pPr>
            <w:r w:rsidRPr="00483EBE">
              <w:rPr>
                <w:sz w:val="12"/>
                <w:szCs w:val="12"/>
              </w:rPr>
              <w:t>$3,025,371</w:t>
            </w:r>
          </w:p>
        </w:tc>
        <w:tc>
          <w:tcPr>
            <w:tcW w:w="0" w:type="auto"/>
            <w:tcBorders>
              <w:top w:val="nil"/>
              <w:left w:val="nil"/>
              <w:bottom w:val="single" w:sz="4" w:space="0" w:color="auto"/>
              <w:right w:val="single" w:sz="4" w:space="0" w:color="auto"/>
            </w:tcBorders>
            <w:shd w:val="clear" w:color="auto" w:fill="auto"/>
            <w:vAlign w:val="center"/>
            <w:hideMark/>
          </w:tcPr>
          <w:p w14:paraId="61C0A314" w14:textId="77777777" w:rsidR="00572995" w:rsidRPr="00483EBE" w:rsidRDefault="00572995" w:rsidP="00E8324D">
            <w:pPr>
              <w:pStyle w:val="Tablas"/>
              <w:rPr>
                <w:sz w:val="12"/>
                <w:szCs w:val="12"/>
              </w:rPr>
            </w:pPr>
            <w:r w:rsidRPr="00483EBE">
              <w:rPr>
                <w:sz w:val="12"/>
                <w:szCs w:val="12"/>
              </w:rPr>
              <w:t>$3,506</w:t>
            </w:r>
          </w:p>
        </w:tc>
        <w:tc>
          <w:tcPr>
            <w:tcW w:w="0" w:type="auto"/>
            <w:tcBorders>
              <w:top w:val="nil"/>
              <w:left w:val="nil"/>
              <w:bottom w:val="single" w:sz="4" w:space="0" w:color="auto"/>
              <w:right w:val="single" w:sz="4" w:space="0" w:color="auto"/>
            </w:tcBorders>
            <w:shd w:val="clear" w:color="auto" w:fill="auto"/>
            <w:vAlign w:val="center"/>
            <w:hideMark/>
          </w:tcPr>
          <w:p w14:paraId="363D144D" w14:textId="77777777" w:rsidR="00572995" w:rsidRPr="00483EBE" w:rsidRDefault="00572995" w:rsidP="00E8324D">
            <w:pPr>
              <w:pStyle w:val="Tablas"/>
              <w:rPr>
                <w:sz w:val="12"/>
                <w:szCs w:val="12"/>
              </w:rPr>
            </w:pPr>
            <w:r w:rsidRPr="00483EBE">
              <w:rPr>
                <w:sz w:val="12"/>
                <w:szCs w:val="12"/>
              </w:rPr>
              <w:t>$292</w:t>
            </w:r>
          </w:p>
        </w:tc>
        <w:tc>
          <w:tcPr>
            <w:tcW w:w="0" w:type="auto"/>
            <w:tcBorders>
              <w:top w:val="nil"/>
              <w:left w:val="nil"/>
              <w:bottom w:val="single" w:sz="4" w:space="0" w:color="auto"/>
              <w:right w:val="single" w:sz="4" w:space="0" w:color="auto"/>
            </w:tcBorders>
            <w:shd w:val="clear" w:color="auto" w:fill="auto"/>
            <w:vAlign w:val="center"/>
            <w:hideMark/>
          </w:tcPr>
          <w:p w14:paraId="6040A63D"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2B364AF4" w14:textId="77777777" w:rsidR="00572995" w:rsidRPr="00483EBE" w:rsidRDefault="00572995" w:rsidP="00E8324D">
            <w:pPr>
              <w:pStyle w:val="Tablas"/>
              <w:rPr>
                <w:sz w:val="12"/>
                <w:szCs w:val="12"/>
              </w:rPr>
            </w:pPr>
            <w:r w:rsidRPr="00483EBE">
              <w:rPr>
                <w:sz w:val="12"/>
                <w:szCs w:val="12"/>
              </w:rPr>
              <w:t>SEBD</w:t>
            </w:r>
          </w:p>
        </w:tc>
      </w:tr>
      <w:tr w:rsidR="00572995" w:rsidRPr="00483EBE" w14:paraId="1B1806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5B86E69"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0F7054C4" w14:textId="77777777" w:rsidR="00572995" w:rsidRPr="00483EBE" w:rsidRDefault="00572995" w:rsidP="00E8324D">
            <w:pPr>
              <w:pStyle w:val="Tablas"/>
              <w:rPr>
                <w:sz w:val="12"/>
                <w:szCs w:val="12"/>
              </w:rPr>
            </w:pPr>
            <w:r w:rsidRPr="00483EBE">
              <w:rPr>
                <w:sz w:val="12"/>
                <w:szCs w:val="12"/>
              </w:rPr>
              <w:t xml:space="preserve">575 </w:t>
            </w:r>
          </w:p>
        </w:tc>
        <w:tc>
          <w:tcPr>
            <w:tcW w:w="0" w:type="auto"/>
            <w:tcBorders>
              <w:top w:val="nil"/>
              <w:left w:val="nil"/>
              <w:bottom w:val="single" w:sz="4" w:space="0" w:color="auto"/>
              <w:right w:val="single" w:sz="4" w:space="0" w:color="auto"/>
            </w:tcBorders>
            <w:shd w:val="clear" w:color="auto" w:fill="auto"/>
            <w:vAlign w:val="center"/>
            <w:hideMark/>
          </w:tcPr>
          <w:p w14:paraId="63709388" w14:textId="77777777" w:rsidR="00572995" w:rsidRPr="00483EBE" w:rsidRDefault="00572995" w:rsidP="00E8324D">
            <w:pPr>
              <w:pStyle w:val="Tablas"/>
              <w:rPr>
                <w:sz w:val="12"/>
                <w:szCs w:val="12"/>
              </w:rPr>
            </w:pPr>
            <w:r w:rsidRPr="00483EBE">
              <w:rPr>
                <w:sz w:val="12"/>
                <w:szCs w:val="12"/>
              </w:rPr>
              <w:t>$1,968,150</w:t>
            </w:r>
          </w:p>
        </w:tc>
        <w:tc>
          <w:tcPr>
            <w:tcW w:w="0" w:type="auto"/>
            <w:tcBorders>
              <w:top w:val="nil"/>
              <w:left w:val="nil"/>
              <w:bottom w:val="single" w:sz="4" w:space="0" w:color="auto"/>
              <w:right w:val="single" w:sz="4" w:space="0" w:color="auto"/>
            </w:tcBorders>
            <w:shd w:val="clear" w:color="auto" w:fill="auto"/>
            <w:vAlign w:val="center"/>
            <w:hideMark/>
          </w:tcPr>
          <w:p w14:paraId="70D8A850" w14:textId="77777777" w:rsidR="00572995" w:rsidRPr="00483EBE" w:rsidRDefault="00572995" w:rsidP="00E8324D">
            <w:pPr>
              <w:pStyle w:val="Tablas"/>
              <w:rPr>
                <w:sz w:val="12"/>
                <w:szCs w:val="12"/>
              </w:rPr>
            </w:pPr>
            <w:r w:rsidRPr="00483EBE">
              <w:rPr>
                <w:sz w:val="12"/>
                <w:szCs w:val="12"/>
              </w:rPr>
              <w:t>$3,423</w:t>
            </w:r>
          </w:p>
        </w:tc>
        <w:tc>
          <w:tcPr>
            <w:tcW w:w="0" w:type="auto"/>
            <w:tcBorders>
              <w:top w:val="nil"/>
              <w:left w:val="nil"/>
              <w:bottom w:val="single" w:sz="4" w:space="0" w:color="auto"/>
              <w:right w:val="single" w:sz="4" w:space="0" w:color="auto"/>
            </w:tcBorders>
            <w:shd w:val="clear" w:color="auto" w:fill="auto"/>
            <w:vAlign w:val="center"/>
            <w:hideMark/>
          </w:tcPr>
          <w:p w14:paraId="42BDF215" w14:textId="77777777" w:rsidR="00572995" w:rsidRPr="00483EBE" w:rsidRDefault="00572995" w:rsidP="00E8324D">
            <w:pPr>
              <w:pStyle w:val="Tablas"/>
              <w:rPr>
                <w:sz w:val="12"/>
                <w:szCs w:val="12"/>
              </w:rPr>
            </w:pPr>
            <w:r w:rsidRPr="00483EBE">
              <w:rPr>
                <w:sz w:val="12"/>
                <w:szCs w:val="12"/>
              </w:rPr>
              <w:t>$285</w:t>
            </w:r>
          </w:p>
        </w:tc>
        <w:tc>
          <w:tcPr>
            <w:tcW w:w="0" w:type="auto"/>
            <w:tcBorders>
              <w:top w:val="nil"/>
              <w:left w:val="nil"/>
              <w:bottom w:val="single" w:sz="4" w:space="0" w:color="auto"/>
              <w:right w:val="single" w:sz="4" w:space="0" w:color="auto"/>
            </w:tcBorders>
            <w:shd w:val="clear" w:color="auto" w:fill="auto"/>
            <w:vAlign w:val="center"/>
            <w:hideMark/>
          </w:tcPr>
          <w:p w14:paraId="0BFCF490"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023EDF2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02ABE9"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E89E8F5" w14:textId="77777777" w:rsidR="00572995" w:rsidRPr="00483EBE" w:rsidRDefault="00572995" w:rsidP="00E8324D">
            <w:pPr>
              <w:pStyle w:val="Tablas"/>
              <w:rPr>
                <w:sz w:val="12"/>
                <w:szCs w:val="12"/>
              </w:rPr>
            </w:pPr>
            <w:r w:rsidRPr="00483EBE">
              <w:rPr>
                <w:sz w:val="12"/>
                <w:szCs w:val="12"/>
              </w:rPr>
              <w:t xml:space="preserve">797 </w:t>
            </w:r>
          </w:p>
        </w:tc>
        <w:tc>
          <w:tcPr>
            <w:tcW w:w="0" w:type="auto"/>
            <w:tcBorders>
              <w:top w:val="nil"/>
              <w:left w:val="nil"/>
              <w:bottom w:val="single" w:sz="4" w:space="0" w:color="auto"/>
              <w:right w:val="single" w:sz="4" w:space="0" w:color="auto"/>
            </w:tcBorders>
            <w:shd w:val="clear" w:color="auto" w:fill="auto"/>
            <w:vAlign w:val="center"/>
            <w:hideMark/>
          </w:tcPr>
          <w:p w14:paraId="2BBACB48" w14:textId="77777777" w:rsidR="00572995" w:rsidRPr="00483EBE" w:rsidRDefault="00572995" w:rsidP="00E8324D">
            <w:pPr>
              <w:pStyle w:val="Tablas"/>
              <w:rPr>
                <w:sz w:val="12"/>
                <w:szCs w:val="12"/>
              </w:rPr>
            </w:pPr>
            <w:r w:rsidRPr="00483EBE">
              <w:rPr>
                <w:sz w:val="12"/>
                <w:szCs w:val="12"/>
              </w:rPr>
              <w:t>$2,815,272</w:t>
            </w:r>
          </w:p>
        </w:tc>
        <w:tc>
          <w:tcPr>
            <w:tcW w:w="0" w:type="auto"/>
            <w:tcBorders>
              <w:top w:val="nil"/>
              <w:left w:val="nil"/>
              <w:bottom w:val="single" w:sz="4" w:space="0" w:color="auto"/>
              <w:right w:val="single" w:sz="4" w:space="0" w:color="auto"/>
            </w:tcBorders>
            <w:shd w:val="clear" w:color="auto" w:fill="auto"/>
            <w:vAlign w:val="center"/>
            <w:hideMark/>
          </w:tcPr>
          <w:p w14:paraId="38155F8D" w14:textId="77777777" w:rsidR="00572995" w:rsidRPr="00483EBE" w:rsidRDefault="00572995" w:rsidP="00E8324D">
            <w:pPr>
              <w:pStyle w:val="Tablas"/>
              <w:rPr>
                <w:sz w:val="12"/>
                <w:szCs w:val="12"/>
              </w:rPr>
            </w:pPr>
            <w:r w:rsidRPr="00483EBE">
              <w:rPr>
                <w:sz w:val="12"/>
                <w:szCs w:val="12"/>
              </w:rPr>
              <w:t>$3,532</w:t>
            </w:r>
          </w:p>
        </w:tc>
        <w:tc>
          <w:tcPr>
            <w:tcW w:w="0" w:type="auto"/>
            <w:tcBorders>
              <w:top w:val="nil"/>
              <w:left w:val="nil"/>
              <w:bottom w:val="single" w:sz="4" w:space="0" w:color="auto"/>
              <w:right w:val="single" w:sz="4" w:space="0" w:color="auto"/>
            </w:tcBorders>
            <w:shd w:val="clear" w:color="auto" w:fill="auto"/>
            <w:vAlign w:val="center"/>
            <w:hideMark/>
          </w:tcPr>
          <w:p w14:paraId="26FF6842" w14:textId="77777777" w:rsidR="00572995" w:rsidRPr="00483EBE" w:rsidRDefault="00572995" w:rsidP="00E8324D">
            <w:pPr>
              <w:pStyle w:val="Tablas"/>
              <w:rPr>
                <w:sz w:val="12"/>
                <w:szCs w:val="12"/>
              </w:rPr>
            </w:pPr>
            <w:r w:rsidRPr="00483EBE">
              <w:rPr>
                <w:sz w:val="12"/>
                <w:szCs w:val="12"/>
              </w:rPr>
              <w:t>$294</w:t>
            </w:r>
          </w:p>
        </w:tc>
        <w:tc>
          <w:tcPr>
            <w:tcW w:w="0" w:type="auto"/>
            <w:tcBorders>
              <w:top w:val="nil"/>
              <w:left w:val="nil"/>
              <w:bottom w:val="single" w:sz="4" w:space="0" w:color="auto"/>
              <w:right w:val="single" w:sz="4" w:space="0" w:color="auto"/>
            </w:tcBorders>
            <w:shd w:val="clear" w:color="auto" w:fill="auto"/>
            <w:vAlign w:val="center"/>
            <w:hideMark/>
          </w:tcPr>
          <w:p w14:paraId="2F4F831F"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1865F942" w14:textId="77777777" w:rsidR="00572995" w:rsidRPr="00483EBE" w:rsidRDefault="00572995" w:rsidP="00E8324D">
            <w:pPr>
              <w:pStyle w:val="Tablas"/>
              <w:rPr>
                <w:sz w:val="12"/>
                <w:szCs w:val="12"/>
              </w:rPr>
            </w:pPr>
            <w:r w:rsidRPr="00483EBE">
              <w:rPr>
                <w:sz w:val="12"/>
                <w:szCs w:val="12"/>
              </w:rPr>
              <w:t>SEBD</w:t>
            </w:r>
          </w:p>
        </w:tc>
      </w:tr>
      <w:tr w:rsidR="00572995" w:rsidRPr="00483EBE" w14:paraId="057A76C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3CDD963"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0B195C0C" w14:textId="77777777" w:rsidR="00572995" w:rsidRPr="00483EBE" w:rsidRDefault="00572995" w:rsidP="00E8324D">
            <w:pPr>
              <w:pStyle w:val="Tablas"/>
              <w:rPr>
                <w:sz w:val="12"/>
                <w:szCs w:val="12"/>
              </w:rPr>
            </w:pPr>
            <w:r w:rsidRPr="00483EBE">
              <w:rPr>
                <w:sz w:val="12"/>
                <w:szCs w:val="12"/>
              </w:rPr>
              <w:t xml:space="preserve">673 </w:t>
            </w:r>
          </w:p>
        </w:tc>
        <w:tc>
          <w:tcPr>
            <w:tcW w:w="0" w:type="auto"/>
            <w:tcBorders>
              <w:top w:val="nil"/>
              <w:left w:val="nil"/>
              <w:bottom w:val="single" w:sz="4" w:space="0" w:color="auto"/>
              <w:right w:val="single" w:sz="4" w:space="0" w:color="auto"/>
            </w:tcBorders>
            <w:shd w:val="clear" w:color="auto" w:fill="auto"/>
            <w:vAlign w:val="center"/>
            <w:hideMark/>
          </w:tcPr>
          <w:p w14:paraId="66ECEADC" w14:textId="77777777" w:rsidR="00572995" w:rsidRPr="00483EBE" w:rsidRDefault="00572995" w:rsidP="00E8324D">
            <w:pPr>
              <w:pStyle w:val="Tablas"/>
              <w:rPr>
                <w:sz w:val="12"/>
                <w:szCs w:val="12"/>
              </w:rPr>
            </w:pPr>
            <w:r w:rsidRPr="00483EBE">
              <w:rPr>
                <w:sz w:val="12"/>
                <w:szCs w:val="12"/>
              </w:rPr>
              <w:t>$2,293,864</w:t>
            </w:r>
          </w:p>
        </w:tc>
        <w:tc>
          <w:tcPr>
            <w:tcW w:w="0" w:type="auto"/>
            <w:tcBorders>
              <w:top w:val="nil"/>
              <w:left w:val="nil"/>
              <w:bottom w:val="single" w:sz="4" w:space="0" w:color="auto"/>
              <w:right w:val="single" w:sz="4" w:space="0" w:color="auto"/>
            </w:tcBorders>
            <w:shd w:val="clear" w:color="auto" w:fill="auto"/>
            <w:vAlign w:val="center"/>
            <w:hideMark/>
          </w:tcPr>
          <w:p w14:paraId="29FAE419" w14:textId="77777777" w:rsidR="00572995" w:rsidRPr="00483EBE" w:rsidRDefault="00572995" w:rsidP="00E8324D">
            <w:pPr>
              <w:pStyle w:val="Tablas"/>
              <w:rPr>
                <w:sz w:val="12"/>
                <w:szCs w:val="12"/>
              </w:rPr>
            </w:pPr>
            <w:r w:rsidRPr="00483EBE">
              <w:rPr>
                <w:sz w:val="12"/>
                <w:szCs w:val="12"/>
              </w:rPr>
              <w:t>$3,408</w:t>
            </w:r>
          </w:p>
        </w:tc>
        <w:tc>
          <w:tcPr>
            <w:tcW w:w="0" w:type="auto"/>
            <w:tcBorders>
              <w:top w:val="nil"/>
              <w:left w:val="nil"/>
              <w:bottom w:val="single" w:sz="4" w:space="0" w:color="auto"/>
              <w:right w:val="single" w:sz="4" w:space="0" w:color="auto"/>
            </w:tcBorders>
            <w:shd w:val="clear" w:color="auto" w:fill="auto"/>
            <w:vAlign w:val="center"/>
            <w:hideMark/>
          </w:tcPr>
          <w:p w14:paraId="190D5552"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2F8EF425"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A39029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260C57"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06B42E24" w14:textId="77777777" w:rsidR="00572995" w:rsidRPr="00483EBE" w:rsidRDefault="00572995" w:rsidP="00E8324D">
            <w:pPr>
              <w:pStyle w:val="Tablas"/>
              <w:rPr>
                <w:sz w:val="12"/>
                <w:szCs w:val="12"/>
              </w:rPr>
            </w:pPr>
            <w:r w:rsidRPr="00483EBE">
              <w:rPr>
                <w:sz w:val="12"/>
                <w:szCs w:val="12"/>
              </w:rPr>
              <w:t xml:space="preserve">700 </w:t>
            </w:r>
          </w:p>
        </w:tc>
        <w:tc>
          <w:tcPr>
            <w:tcW w:w="0" w:type="auto"/>
            <w:tcBorders>
              <w:top w:val="nil"/>
              <w:left w:val="nil"/>
              <w:bottom w:val="single" w:sz="4" w:space="0" w:color="auto"/>
              <w:right w:val="single" w:sz="4" w:space="0" w:color="auto"/>
            </w:tcBorders>
            <w:shd w:val="clear" w:color="auto" w:fill="auto"/>
            <w:vAlign w:val="center"/>
            <w:hideMark/>
          </w:tcPr>
          <w:p w14:paraId="495AC7F6" w14:textId="77777777" w:rsidR="00572995" w:rsidRPr="00483EBE" w:rsidRDefault="00572995" w:rsidP="00E8324D">
            <w:pPr>
              <w:pStyle w:val="Tablas"/>
              <w:rPr>
                <w:sz w:val="12"/>
                <w:szCs w:val="12"/>
              </w:rPr>
            </w:pPr>
            <w:r w:rsidRPr="00483EBE">
              <w:rPr>
                <w:sz w:val="12"/>
                <w:szCs w:val="12"/>
              </w:rPr>
              <w:t>$2,386,125</w:t>
            </w:r>
          </w:p>
        </w:tc>
        <w:tc>
          <w:tcPr>
            <w:tcW w:w="0" w:type="auto"/>
            <w:tcBorders>
              <w:top w:val="nil"/>
              <w:left w:val="nil"/>
              <w:bottom w:val="single" w:sz="4" w:space="0" w:color="auto"/>
              <w:right w:val="single" w:sz="4" w:space="0" w:color="auto"/>
            </w:tcBorders>
            <w:shd w:val="clear" w:color="auto" w:fill="auto"/>
            <w:vAlign w:val="center"/>
            <w:hideMark/>
          </w:tcPr>
          <w:p w14:paraId="3AB5FAA4" w14:textId="77777777" w:rsidR="00572995" w:rsidRPr="00483EBE" w:rsidRDefault="00572995" w:rsidP="00E8324D">
            <w:pPr>
              <w:pStyle w:val="Tablas"/>
              <w:rPr>
                <w:sz w:val="12"/>
                <w:szCs w:val="12"/>
              </w:rPr>
            </w:pPr>
            <w:r w:rsidRPr="00483EBE">
              <w:rPr>
                <w:sz w:val="12"/>
                <w:szCs w:val="12"/>
              </w:rPr>
              <w:t>$3,409</w:t>
            </w:r>
          </w:p>
        </w:tc>
        <w:tc>
          <w:tcPr>
            <w:tcW w:w="0" w:type="auto"/>
            <w:tcBorders>
              <w:top w:val="nil"/>
              <w:left w:val="nil"/>
              <w:bottom w:val="single" w:sz="4" w:space="0" w:color="auto"/>
              <w:right w:val="single" w:sz="4" w:space="0" w:color="auto"/>
            </w:tcBorders>
            <w:shd w:val="clear" w:color="auto" w:fill="auto"/>
            <w:vAlign w:val="center"/>
            <w:hideMark/>
          </w:tcPr>
          <w:p w14:paraId="725D29FC"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7B20A287"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2E080A28" w14:textId="77777777" w:rsidR="00572995" w:rsidRPr="00483EBE" w:rsidRDefault="00572995" w:rsidP="00E8324D">
            <w:pPr>
              <w:pStyle w:val="Tablas"/>
              <w:rPr>
                <w:sz w:val="12"/>
                <w:szCs w:val="12"/>
              </w:rPr>
            </w:pPr>
            <w:r w:rsidRPr="00483EBE">
              <w:rPr>
                <w:sz w:val="12"/>
                <w:szCs w:val="12"/>
              </w:rPr>
              <w:t>SEBD</w:t>
            </w:r>
          </w:p>
        </w:tc>
      </w:tr>
      <w:tr w:rsidR="00572995" w:rsidRPr="00483EBE" w14:paraId="0BFACF9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62B6664"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0A03E9B7" w14:textId="77777777" w:rsidR="00572995" w:rsidRPr="00483EBE" w:rsidRDefault="00572995" w:rsidP="00E8324D">
            <w:pPr>
              <w:pStyle w:val="Tablas"/>
              <w:rPr>
                <w:sz w:val="12"/>
                <w:szCs w:val="12"/>
              </w:rPr>
            </w:pPr>
            <w:r w:rsidRPr="00483EBE">
              <w:rPr>
                <w:sz w:val="12"/>
                <w:szCs w:val="12"/>
              </w:rPr>
              <w:t xml:space="preserve">769 </w:t>
            </w:r>
          </w:p>
        </w:tc>
        <w:tc>
          <w:tcPr>
            <w:tcW w:w="0" w:type="auto"/>
            <w:tcBorders>
              <w:top w:val="nil"/>
              <w:left w:val="nil"/>
              <w:bottom w:val="single" w:sz="4" w:space="0" w:color="auto"/>
              <w:right w:val="single" w:sz="4" w:space="0" w:color="auto"/>
            </w:tcBorders>
            <w:shd w:val="clear" w:color="auto" w:fill="auto"/>
            <w:vAlign w:val="center"/>
            <w:hideMark/>
          </w:tcPr>
          <w:p w14:paraId="5329CDB9" w14:textId="77777777" w:rsidR="00572995" w:rsidRPr="00483EBE" w:rsidRDefault="00572995" w:rsidP="00E8324D">
            <w:pPr>
              <w:pStyle w:val="Tablas"/>
              <w:rPr>
                <w:sz w:val="12"/>
                <w:szCs w:val="12"/>
              </w:rPr>
            </w:pPr>
            <w:r w:rsidRPr="00483EBE">
              <w:rPr>
                <w:sz w:val="12"/>
                <w:szCs w:val="12"/>
              </w:rPr>
              <w:t>$2,616,145</w:t>
            </w:r>
          </w:p>
        </w:tc>
        <w:tc>
          <w:tcPr>
            <w:tcW w:w="0" w:type="auto"/>
            <w:tcBorders>
              <w:top w:val="nil"/>
              <w:left w:val="nil"/>
              <w:bottom w:val="single" w:sz="4" w:space="0" w:color="auto"/>
              <w:right w:val="single" w:sz="4" w:space="0" w:color="auto"/>
            </w:tcBorders>
            <w:shd w:val="clear" w:color="auto" w:fill="auto"/>
            <w:vAlign w:val="center"/>
            <w:hideMark/>
          </w:tcPr>
          <w:p w14:paraId="05C60D8C" w14:textId="77777777" w:rsidR="00572995" w:rsidRPr="00483EBE" w:rsidRDefault="00572995" w:rsidP="00E8324D">
            <w:pPr>
              <w:pStyle w:val="Tablas"/>
              <w:rPr>
                <w:sz w:val="12"/>
                <w:szCs w:val="12"/>
              </w:rPr>
            </w:pPr>
            <w:r w:rsidRPr="00483EBE">
              <w:rPr>
                <w:sz w:val="12"/>
                <w:szCs w:val="12"/>
              </w:rPr>
              <w:t>$3,402</w:t>
            </w:r>
          </w:p>
        </w:tc>
        <w:tc>
          <w:tcPr>
            <w:tcW w:w="0" w:type="auto"/>
            <w:tcBorders>
              <w:top w:val="nil"/>
              <w:left w:val="nil"/>
              <w:bottom w:val="single" w:sz="4" w:space="0" w:color="auto"/>
              <w:right w:val="single" w:sz="4" w:space="0" w:color="auto"/>
            </w:tcBorders>
            <w:shd w:val="clear" w:color="auto" w:fill="auto"/>
            <w:vAlign w:val="center"/>
            <w:hideMark/>
          </w:tcPr>
          <w:p w14:paraId="1A027773"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6BAD241B"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6C4F1BE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EDCBE0"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AB32652" w14:textId="77777777" w:rsidR="00572995" w:rsidRPr="00483EBE" w:rsidRDefault="00572995" w:rsidP="00E8324D">
            <w:pPr>
              <w:pStyle w:val="Tablas"/>
              <w:rPr>
                <w:sz w:val="12"/>
                <w:szCs w:val="12"/>
              </w:rPr>
            </w:pPr>
            <w:r w:rsidRPr="00483EBE">
              <w:rPr>
                <w:sz w:val="12"/>
                <w:szCs w:val="12"/>
              </w:rPr>
              <w:t xml:space="preserve">642 </w:t>
            </w:r>
          </w:p>
        </w:tc>
        <w:tc>
          <w:tcPr>
            <w:tcW w:w="0" w:type="auto"/>
            <w:tcBorders>
              <w:top w:val="nil"/>
              <w:left w:val="nil"/>
              <w:bottom w:val="single" w:sz="4" w:space="0" w:color="auto"/>
              <w:right w:val="single" w:sz="4" w:space="0" w:color="auto"/>
            </w:tcBorders>
            <w:shd w:val="clear" w:color="auto" w:fill="auto"/>
            <w:vAlign w:val="center"/>
            <w:hideMark/>
          </w:tcPr>
          <w:p w14:paraId="15D1D861" w14:textId="77777777" w:rsidR="00572995" w:rsidRPr="00483EBE" w:rsidRDefault="00572995" w:rsidP="00E8324D">
            <w:pPr>
              <w:pStyle w:val="Tablas"/>
              <w:rPr>
                <w:sz w:val="12"/>
                <w:szCs w:val="12"/>
              </w:rPr>
            </w:pPr>
            <w:r w:rsidRPr="00483EBE">
              <w:rPr>
                <w:sz w:val="12"/>
                <w:szCs w:val="12"/>
              </w:rPr>
              <w:t>$2,136,407</w:t>
            </w:r>
          </w:p>
        </w:tc>
        <w:tc>
          <w:tcPr>
            <w:tcW w:w="0" w:type="auto"/>
            <w:tcBorders>
              <w:top w:val="nil"/>
              <w:left w:val="nil"/>
              <w:bottom w:val="single" w:sz="4" w:space="0" w:color="auto"/>
              <w:right w:val="single" w:sz="4" w:space="0" w:color="auto"/>
            </w:tcBorders>
            <w:shd w:val="clear" w:color="auto" w:fill="auto"/>
            <w:vAlign w:val="center"/>
            <w:hideMark/>
          </w:tcPr>
          <w:p w14:paraId="2E66CABF" w14:textId="77777777" w:rsidR="00572995" w:rsidRPr="00483EBE" w:rsidRDefault="00572995" w:rsidP="00E8324D">
            <w:pPr>
              <w:pStyle w:val="Tablas"/>
              <w:rPr>
                <w:sz w:val="12"/>
                <w:szCs w:val="12"/>
              </w:rPr>
            </w:pPr>
            <w:r w:rsidRPr="00483EBE">
              <w:rPr>
                <w:sz w:val="12"/>
                <w:szCs w:val="12"/>
              </w:rPr>
              <w:t>$3,328</w:t>
            </w:r>
          </w:p>
        </w:tc>
        <w:tc>
          <w:tcPr>
            <w:tcW w:w="0" w:type="auto"/>
            <w:tcBorders>
              <w:top w:val="nil"/>
              <w:left w:val="nil"/>
              <w:bottom w:val="single" w:sz="4" w:space="0" w:color="auto"/>
              <w:right w:val="single" w:sz="4" w:space="0" w:color="auto"/>
            </w:tcBorders>
            <w:shd w:val="clear" w:color="auto" w:fill="auto"/>
            <w:vAlign w:val="center"/>
            <w:hideMark/>
          </w:tcPr>
          <w:p w14:paraId="387CBC22" w14:textId="77777777" w:rsidR="00572995" w:rsidRPr="00483EBE" w:rsidRDefault="00572995" w:rsidP="00E8324D">
            <w:pPr>
              <w:pStyle w:val="Tablas"/>
              <w:rPr>
                <w:sz w:val="12"/>
                <w:szCs w:val="12"/>
              </w:rPr>
            </w:pPr>
            <w:r w:rsidRPr="00483EBE">
              <w:rPr>
                <w:sz w:val="12"/>
                <w:szCs w:val="12"/>
              </w:rPr>
              <w:t>$277</w:t>
            </w:r>
          </w:p>
        </w:tc>
        <w:tc>
          <w:tcPr>
            <w:tcW w:w="0" w:type="auto"/>
            <w:tcBorders>
              <w:top w:val="nil"/>
              <w:left w:val="nil"/>
              <w:bottom w:val="single" w:sz="4" w:space="0" w:color="auto"/>
              <w:right w:val="single" w:sz="4" w:space="0" w:color="auto"/>
            </w:tcBorders>
            <w:shd w:val="clear" w:color="auto" w:fill="auto"/>
            <w:vAlign w:val="center"/>
            <w:hideMark/>
          </w:tcPr>
          <w:p w14:paraId="244A276A"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4BD6D6CA" w14:textId="77777777" w:rsidR="00572995" w:rsidRPr="00483EBE" w:rsidRDefault="00572995" w:rsidP="00E8324D">
            <w:pPr>
              <w:pStyle w:val="Tablas"/>
              <w:rPr>
                <w:sz w:val="12"/>
                <w:szCs w:val="12"/>
              </w:rPr>
            </w:pPr>
            <w:r w:rsidRPr="00483EBE">
              <w:rPr>
                <w:sz w:val="12"/>
                <w:szCs w:val="12"/>
              </w:rPr>
              <w:t>SEBD</w:t>
            </w:r>
          </w:p>
        </w:tc>
      </w:tr>
      <w:tr w:rsidR="00572995" w:rsidRPr="00483EBE" w14:paraId="4DA503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FA7CEB"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37970B87" w14:textId="77777777" w:rsidR="00572995" w:rsidRPr="00483EBE" w:rsidRDefault="00572995" w:rsidP="00E8324D">
            <w:pPr>
              <w:pStyle w:val="Tablas"/>
              <w:rPr>
                <w:sz w:val="12"/>
                <w:szCs w:val="12"/>
              </w:rPr>
            </w:pPr>
            <w:r w:rsidRPr="00483EBE">
              <w:rPr>
                <w:sz w:val="12"/>
                <w:szCs w:val="12"/>
              </w:rPr>
              <w:t xml:space="preserve">778 </w:t>
            </w:r>
          </w:p>
        </w:tc>
        <w:tc>
          <w:tcPr>
            <w:tcW w:w="0" w:type="auto"/>
            <w:tcBorders>
              <w:top w:val="nil"/>
              <w:left w:val="nil"/>
              <w:bottom w:val="single" w:sz="4" w:space="0" w:color="auto"/>
              <w:right w:val="single" w:sz="4" w:space="0" w:color="auto"/>
            </w:tcBorders>
            <w:shd w:val="clear" w:color="auto" w:fill="auto"/>
            <w:vAlign w:val="center"/>
            <w:hideMark/>
          </w:tcPr>
          <w:p w14:paraId="38A210D0" w14:textId="77777777" w:rsidR="00572995" w:rsidRPr="00483EBE" w:rsidRDefault="00572995" w:rsidP="00E8324D">
            <w:pPr>
              <w:pStyle w:val="Tablas"/>
              <w:rPr>
                <w:sz w:val="12"/>
                <w:szCs w:val="12"/>
              </w:rPr>
            </w:pPr>
            <w:r w:rsidRPr="00483EBE">
              <w:rPr>
                <w:sz w:val="12"/>
                <w:szCs w:val="12"/>
              </w:rPr>
              <w:t>$2,551,923</w:t>
            </w:r>
          </w:p>
        </w:tc>
        <w:tc>
          <w:tcPr>
            <w:tcW w:w="0" w:type="auto"/>
            <w:tcBorders>
              <w:top w:val="nil"/>
              <w:left w:val="nil"/>
              <w:bottom w:val="single" w:sz="4" w:space="0" w:color="auto"/>
              <w:right w:val="single" w:sz="4" w:space="0" w:color="auto"/>
            </w:tcBorders>
            <w:shd w:val="clear" w:color="auto" w:fill="auto"/>
            <w:vAlign w:val="center"/>
            <w:hideMark/>
          </w:tcPr>
          <w:p w14:paraId="3C6BBC14" w14:textId="77777777" w:rsidR="00572995" w:rsidRPr="00483EBE" w:rsidRDefault="00572995" w:rsidP="00E8324D">
            <w:pPr>
              <w:pStyle w:val="Tablas"/>
              <w:rPr>
                <w:sz w:val="12"/>
                <w:szCs w:val="12"/>
              </w:rPr>
            </w:pPr>
            <w:r w:rsidRPr="00483EBE">
              <w:rPr>
                <w:sz w:val="12"/>
                <w:szCs w:val="12"/>
              </w:rPr>
              <w:t>$3,280</w:t>
            </w:r>
          </w:p>
        </w:tc>
        <w:tc>
          <w:tcPr>
            <w:tcW w:w="0" w:type="auto"/>
            <w:tcBorders>
              <w:top w:val="nil"/>
              <w:left w:val="nil"/>
              <w:bottom w:val="single" w:sz="4" w:space="0" w:color="auto"/>
              <w:right w:val="single" w:sz="4" w:space="0" w:color="auto"/>
            </w:tcBorders>
            <w:shd w:val="clear" w:color="auto" w:fill="auto"/>
            <w:vAlign w:val="center"/>
            <w:hideMark/>
          </w:tcPr>
          <w:p w14:paraId="0C1B0DCE"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04ED56B4"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2023FA1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F3D9E12"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9E5D2FC" w14:textId="77777777" w:rsidR="00572995" w:rsidRPr="00483EBE" w:rsidRDefault="00572995" w:rsidP="00E8324D">
            <w:pPr>
              <w:pStyle w:val="Tablas"/>
              <w:rPr>
                <w:sz w:val="12"/>
                <w:szCs w:val="12"/>
              </w:rPr>
            </w:pPr>
            <w:r w:rsidRPr="00483EBE">
              <w:rPr>
                <w:sz w:val="12"/>
                <w:szCs w:val="12"/>
              </w:rPr>
              <w:t xml:space="preserve">657 </w:t>
            </w:r>
          </w:p>
        </w:tc>
        <w:tc>
          <w:tcPr>
            <w:tcW w:w="0" w:type="auto"/>
            <w:tcBorders>
              <w:top w:val="nil"/>
              <w:left w:val="nil"/>
              <w:bottom w:val="single" w:sz="4" w:space="0" w:color="auto"/>
              <w:right w:val="single" w:sz="4" w:space="0" w:color="auto"/>
            </w:tcBorders>
            <w:shd w:val="clear" w:color="auto" w:fill="auto"/>
            <w:vAlign w:val="center"/>
            <w:hideMark/>
          </w:tcPr>
          <w:p w14:paraId="20DBDB1A" w14:textId="77777777" w:rsidR="00572995" w:rsidRPr="00483EBE" w:rsidRDefault="00572995" w:rsidP="00E8324D">
            <w:pPr>
              <w:pStyle w:val="Tablas"/>
              <w:rPr>
                <w:sz w:val="12"/>
                <w:szCs w:val="12"/>
              </w:rPr>
            </w:pPr>
            <w:r w:rsidRPr="00483EBE">
              <w:rPr>
                <w:sz w:val="12"/>
                <w:szCs w:val="12"/>
              </w:rPr>
              <w:t>$2,163,092</w:t>
            </w:r>
          </w:p>
        </w:tc>
        <w:tc>
          <w:tcPr>
            <w:tcW w:w="0" w:type="auto"/>
            <w:tcBorders>
              <w:top w:val="nil"/>
              <w:left w:val="nil"/>
              <w:bottom w:val="single" w:sz="4" w:space="0" w:color="auto"/>
              <w:right w:val="single" w:sz="4" w:space="0" w:color="auto"/>
            </w:tcBorders>
            <w:shd w:val="clear" w:color="auto" w:fill="auto"/>
            <w:vAlign w:val="center"/>
            <w:hideMark/>
          </w:tcPr>
          <w:p w14:paraId="2D7127D9" w14:textId="77777777" w:rsidR="00572995" w:rsidRPr="00483EBE" w:rsidRDefault="00572995" w:rsidP="00E8324D">
            <w:pPr>
              <w:pStyle w:val="Tablas"/>
              <w:rPr>
                <w:sz w:val="12"/>
                <w:szCs w:val="12"/>
              </w:rPr>
            </w:pPr>
            <w:r w:rsidRPr="00483EBE">
              <w:rPr>
                <w:sz w:val="12"/>
                <w:szCs w:val="12"/>
              </w:rPr>
              <w:t>$3,292</w:t>
            </w:r>
          </w:p>
        </w:tc>
        <w:tc>
          <w:tcPr>
            <w:tcW w:w="0" w:type="auto"/>
            <w:tcBorders>
              <w:top w:val="nil"/>
              <w:left w:val="nil"/>
              <w:bottom w:val="single" w:sz="4" w:space="0" w:color="auto"/>
              <w:right w:val="single" w:sz="4" w:space="0" w:color="auto"/>
            </w:tcBorders>
            <w:shd w:val="clear" w:color="auto" w:fill="auto"/>
            <w:vAlign w:val="center"/>
            <w:hideMark/>
          </w:tcPr>
          <w:p w14:paraId="69127A89" w14:textId="77777777" w:rsidR="00572995" w:rsidRPr="00483EBE" w:rsidRDefault="00572995" w:rsidP="00E8324D">
            <w:pPr>
              <w:pStyle w:val="Tablas"/>
              <w:rPr>
                <w:sz w:val="12"/>
                <w:szCs w:val="12"/>
              </w:rPr>
            </w:pPr>
            <w:r w:rsidRPr="00483EBE">
              <w:rPr>
                <w:sz w:val="12"/>
                <w:szCs w:val="12"/>
              </w:rPr>
              <w:t>$274</w:t>
            </w:r>
          </w:p>
        </w:tc>
        <w:tc>
          <w:tcPr>
            <w:tcW w:w="0" w:type="auto"/>
            <w:tcBorders>
              <w:top w:val="nil"/>
              <w:left w:val="nil"/>
              <w:bottom w:val="single" w:sz="4" w:space="0" w:color="auto"/>
              <w:right w:val="single" w:sz="4" w:space="0" w:color="auto"/>
            </w:tcBorders>
            <w:shd w:val="clear" w:color="auto" w:fill="auto"/>
            <w:vAlign w:val="center"/>
            <w:hideMark/>
          </w:tcPr>
          <w:p w14:paraId="04F3B749"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14CB1302" w14:textId="77777777" w:rsidR="00572995" w:rsidRPr="00483EBE" w:rsidRDefault="00572995" w:rsidP="00E8324D">
            <w:pPr>
              <w:pStyle w:val="Tablas"/>
              <w:rPr>
                <w:sz w:val="12"/>
                <w:szCs w:val="12"/>
              </w:rPr>
            </w:pPr>
            <w:r w:rsidRPr="00483EBE">
              <w:rPr>
                <w:sz w:val="12"/>
                <w:szCs w:val="12"/>
              </w:rPr>
              <w:t>SEBD</w:t>
            </w:r>
          </w:p>
        </w:tc>
      </w:tr>
      <w:tr w:rsidR="00572995" w:rsidRPr="00483EBE" w14:paraId="0F0510A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70F795" w14:textId="77777777" w:rsidR="00572995" w:rsidRPr="00483EBE" w:rsidRDefault="00572995" w:rsidP="00E8324D">
            <w:pPr>
              <w:pStyle w:val="Tablas"/>
              <w:rPr>
                <w:sz w:val="12"/>
                <w:szCs w:val="12"/>
              </w:rPr>
            </w:pPr>
            <w:r w:rsidRPr="00483EBE">
              <w:rPr>
                <w:sz w:val="12"/>
                <w:szCs w:val="12"/>
              </w:rPr>
              <w:lastRenderedPageBreak/>
              <w:t>62</w:t>
            </w:r>
          </w:p>
        </w:tc>
        <w:tc>
          <w:tcPr>
            <w:tcW w:w="0" w:type="auto"/>
            <w:tcBorders>
              <w:top w:val="nil"/>
              <w:left w:val="nil"/>
              <w:bottom w:val="single" w:sz="4" w:space="0" w:color="auto"/>
              <w:right w:val="single" w:sz="4" w:space="0" w:color="auto"/>
            </w:tcBorders>
            <w:shd w:val="clear" w:color="auto" w:fill="auto"/>
            <w:vAlign w:val="center"/>
            <w:hideMark/>
          </w:tcPr>
          <w:p w14:paraId="5ED6EE23" w14:textId="77777777" w:rsidR="00572995" w:rsidRPr="00483EBE" w:rsidRDefault="00572995" w:rsidP="00E8324D">
            <w:pPr>
              <w:pStyle w:val="Tablas"/>
              <w:rPr>
                <w:sz w:val="12"/>
                <w:szCs w:val="12"/>
              </w:rPr>
            </w:pPr>
            <w:r w:rsidRPr="00483EBE">
              <w:rPr>
                <w:sz w:val="12"/>
                <w:szCs w:val="12"/>
              </w:rPr>
              <w:t xml:space="preserve">796 </w:t>
            </w:r>
          </w:p>
        </w:tc>
        <w:tc>
          <w:tcPr>
            <w:tcW w:w="0" w:type="auto"/>
            <w:tcBorders>
              <w:top w:val="nil"/>
              <w:left w:val="nil"/>
              <w:bottom w:val="single" w:sz="4" w:space="0" w:color="auto"/>
              <w:right w:val="single" w:sz="4" w:space="0" w:color="auto"/>
            </w:tcBorders>
            <w:shd w:val="clear" w:color="auto" w:fill="auto"/>
            <w:vAlign w:val="center"/>
            <w:hideMark/>
          </w:tcPr>
          <w:p w14:paraId="767A9AD7" w14:textId="77777777" w:rsidR="00572995" w:rsidRPr="00483EBE" w:rsidRDefault="00572995" w:rsidP="00E8324D">
            <w:pPr>
              <w:pStyle w:val="Tablas"/>
              <w:rPr>
                <w:sz w:val="12"/>
                <w:szCs w:val="12"/>
              </w:rPr>
            </w:pPr>
            <w:r w:rsidRPr="00483EBE">
              <w:rPr>
                <w:sz w:val="12"/>
                <w:szCs w:val="12"/>
              </w:rPr>
              <w:t>$2,604,522</w:t>
            </w:r>
          </w:p>
        </w:tc>
        <w:tc>
          <w:tcPr>
            <w:tcW w:w="0" w:type="auto"/>
            <w:tcBorders>
              <w:top w:val="nil"/>
              <w:left w:val="nil"/>
              <w:bottom w:val="single" w:sz="4" w:space="0" w:color="auto"/>
              <w:right w:val="single" w:sz="4" w:space="0" w:color="auto"/>
            </w:tcBorders>
            <w:shd w:val="clear" w:color="auto" w:fill="auto"/>
            <w:vAlign w:val="center"/>
            <w:hideMark/>
          </w:tcPr>
          <w:p w14:paraId="58931A0C" w14:textId="77777777" w:rsidR="00572995" w:rsidRPr="00483EBE" w:rsidRDefault="00572995" w:rsidP="00E8324D">
            <w:pPr>
              <w:pStyle w:val="Tablas"/>
              <w:rPr>
                <w:sz w:val="12"/>
                <w:szCs w:val="12"/>
              </w:rPr>
            </w:pPr>
            <w:r w:rsidRPr="00483EBE">
              <w:rPr>
                <w:sz w:val="12"/>
                <w:szCs w:val="12"/>
              </w:rPr>
              <w:t>$3,272</w:t>
            </w:r>
          </w:p>
        </w:tc>
        <w:tc>
          <w:tcPr>
            <w:tcW w:w="0" w:type="auto"/>
            <w:tcBorders>
              <w:top w:val="nil"/>
              <w:left w:val="nil"/>
              <w:bottom w:val="single" w:sz="4" w:space="0" w:color="auto"/>
              <w:right w:val="single" w:sz="4" w:space="0" w:color="auto"/>
            </w:tcBorders>
            <w:shd w:val="clear" w:color="auto" w:fill="auto"/>
            <w:vAlign w:val="center"/>
            <w:hideMark/>
          </w:tcPr>
          <w:p w14:paraId="1E5B2696"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29E4155F"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2E149EE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21B386"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6FF11C2E" w14:textId="77777777" w:rsidR="00572995" w:rsidRPr="00483EBE" w:rsidRDefault="00572995" w:rsidP="00E8324D">
            <w:pPr>
              <w:pStyle w:val="Tablas"/>
              <w:rPr>
                <w:sz w:val="12"/>
                <w:szCs w:val="12"/>
              </w:rPr>
            </w:pPr>
            <w:r w:rsidRPr="00483EBE">
              <w:rPr>
                <w:sz w:val="12"/>
                <w:szCs w:val="12"/>
              </w:rPr>
              <w:t xml:space="preserve">609 </w:t>
            </w:r>
          </w:p>
        </w:tc>
        <w:tc>
          <w:tcPr>
            <w:tcW w:w="0" w:type="auto"/>
            <w:tcBorders>
              <w:top w:val="nil"/>
              <w:left w:val="nil"/>
              <w:bottom w:val="single" w:sz="4" w:space="0" w:color="auto"/>
              <w:right w:val="single" w:sz="4" w:space="0" w:color="auto"/>
            </w:tcBorders>
            <w:shd w:val="clear" w:color="auto" w:fill="auto"/>
            <w:vAlign w:val="center"/>
            <w:hideMark/>
          </w:tcPr>
          <w:p w14:paraId="0FD2FE42" w14:textId="77777777" w:rsidR="00572995" w:rsidRPr="00483EBE" w:rsidRDefault="00572995" w:rsidP="00E8324D">
            <w:pPr>
              <w:pStyle w:val="Tablas"/>
              <w:rPr>
                <w:sz w:val="12"/>
                <w:szCs w:val="12"/>
              </w:rPr>
            </w:pPr>
            <w:r w:rsidRPr="00483EBE">
              <w:rPr>
                <w:sz w:val="12"/>
                <w:szCs w:val="12"/>
              </w:rPr>
              <w:t>$1,977,240</w:t>
            </w:r>
          </w:p>
        </w:tc>
        <w:tc>
          <w:tcPr>
            <w:tcW w:w="0" w:type="auto"/>
            <w:tcBorders>
              <w:top w:val="nil"/>
              <w:left w:val="nil"/>
              <w:bottom w:val="single" w:sz="4" w:space="0" w:color="auto"/>
              <w:right w:val="single" w:sz="4" w:space="0" w:color="auto"/>
            </w:tcBorders>
            <w:shd w:val="clear" w:color="auto" w:fill="auto"/>
            <w:vAlign w:val="center"/>
            <w:hideMark/>
          </w:tcPr>
          <w:p w14:paraId="2C70F308" w14:textId="77777777" w:rsidR="00572995" w:rsidRPr="00483EBE" w:rsidRDefault="00572995" w:rsidP="00E8324D">
            <w:pPr>
              <w:pStyle w:val="Tablas"/>
              <w:rPr>
                <w:sz w:val="12"/>
                <w:szCs w:val="12"/>
              </w:rPr>
            </w:pPr>
            <w:r w:rsidRPr="00483EBE">
              <w:rPr>
                <w:sz w:val="12"/>
                <w:szCs w:val="12"/>
              </w:rPr>
              <w:t>$3,247</w:t>
            </w:r>
          </w:p>
        </w:tc>
        <w:tc>
          <w:tcPr>
            <w:tcW w:w="0" w:type="auto"/>
            <w:tcBorders>
              <w:top w:val="nil"/>
              <w:left w:val="nil"/>
              <w:bottom w:val="single" w:sz="4" w:space="0" w:color="auto"/>
              <w:right w:val="single" w:sz="4" w:space="0" w:color="auto"/>
            </w:tcBorders>
            <w:shd w:val="clear" w:color="auto" w:fill="auto"/>
            <w:vAlign w:val="center"/>
            <w:hideMark/>
          </w:tcPr>
          <w:p w14:paraId="04285792" w14:textId="77777777" w:rsidR="00572995" w:rsidRPr="00483EBE" w:rsidRDefault="00572995" w:rsidP="00E8324D">
            <w:pPr>
              <w:pStyle w:val="Tablas"/>
              <w:rPr>
                <w:sz w:val="12"/>
                <w:szCs w:val="12"/>
              </w:rPr>
            </w:pPr>
            <w:r w:rsidRPr="00483EBE">
              <w:rPr>
                <w:sz w:val="12"/>
                <w:szCs w:val="12"/>
              </w:rPr>
              <w:t>$271</w:t>
            </w:r>
          </w:p>
        </w:tc>
        <w:tc>
          <w:tcPr>
            <w:tcW w:w="0" w:type="auto"/>
            <w:tcBorders>
              <w:top w:val="nil"/>
              <w:left w:val="nil"/>
              <w:bottom w:val="single" w:sz="4" w:space="0" w:color="auto"/>
              <w:right w:val="single" w:sz="4" w:space="0" w:color="auto"/>
            </w:tcBorders>
            <w:shd w:val="clear" w:color="auto" w:fill="auto"/>
            <w:vAlign w:val="center"/>
            <w:hideMark/>
          </w:tcPr>
          <w:p w14:paraId="1AB43177"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DDA6944" w14:textId="77777777" w:rsidR="00572995" w:rsidRPr="00483EBE" w:rsidRDefault="00572995" w:rsidP="00E8324D">
            <w:pPr>
              <w:pStyle w:val="Tablas"/>
              <w:rPr>
                <w:sz w:val="12"/>
                <w:szCs w:val="12"/>
              </w:rPr>
            </w:pPr>
            <w:r w:rsidRPr="00483EBE">
              <w:rPr>
                <w:sz w:val="12"/>
                <w:szCs w:val="12"/>
              </w:rPr>
              <w:t>SEBD</w:t>
            </w:r>
          </w:p>
        </w:tc>
      </w:tr>
      <w:tr w:rsidR="00572995" w:rsidRPr="00483EBE" w14:paraId="29B8866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05D6E73"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2B63150F" w14:textId="77777777" w:rsidR="00572995" w:rsidRPr="00483EBE" w:rsidRDefault="00572995" w:rsidP="00E8324D">
            <w:pPr>
              <w:pStyle w:val="Tablas"/>
              <w:rPr>
                <w:sz w:val="12"/>
                <w:szCs w:val="12"/>
              </w:rPr>
            </w:pPr>
            <w:r w:rsidRPr="00483EBE">
              <w:rPr>
                <w:sz w:val="12"/>
                <w:szCs w:val="12"/>
              </w:rPr>
              <w:t xml:space="preserve">760 </w:t>
            </w:r>
          </w:p>
        </w:tc>
        <w:tc>
          <w:tcPr>
            <w:tcW w:w="0" w:type="auto"/>
            <w:tcBorders>
              <w:top w:val="nil"/>
              <w:left w:val="nil"/>
              <w:bottom w:val="single" w:sz="4" w:space="0" w:color="auto"/>
              <w:right w:val="single" w:sz="4" w:space="0" w:color="auto"/>
            </w:tcBorders>
            <w:shd w:val="clear" w:color="auto" w:fill="auto"/>
            <w:vAlign w:val="center"/>
            <w:hideMark/>
          </w:tcPr>
          <w:p w14:paraId="132BADC7" w14:textId="77777777" w:rsidR="00572995" w:rsidRPr="00483EBE" w:rsidRDefault="00572995" w:rsidP="00E8324D">
            <w:pPr>
              <w:pStyle w:val="Tablas"/>
              <w:rPr>
                <w:sz w:val="12"/>
                <w:szCs w:val="12"/>
              </w:rPr>
            </w:pPr>
            <w:r w:rsidRPr="00483EBE">
              <w:rPr>
                <w:sz w:val="12"/>
                <w:szCs w:val="12"/>
              </w:rPr>
              <w:t>$2,404,445</w:t>
            </w:r>
          </w:p>
        </w:tc>
        <w:tc>
          <w:tcPr>
            <w:tcW w:w="0" w:type="auto"/>
            <w:tcBorders>
              <w:top w:val="nil"/>
              <w:left w:val="nil"/>
              <w:bottom w:val="single" w:sz="4" w:space="0" w:color="auto"/>
              <w:right w:val="single" w:sz="4" w:space="0" w:color="auto"/>
            </w:tcBorders>
            <w:shd w:val="clear" w:color="auto" w:fill="auto"/>
            <w:vAlign w:val="center"/>
            <w:hideMark/>
          </w:tcPr>
          <w:p w14:paraId="0DB67028" w14:textId="77777777" w:rsidR="00572995" w:rsidRPr="00483EBE" w:rsidRDefault="00572995" w:rsidP="00E8324D">
            <w:pPr>
              <w:pStyle w:val="Tablas"/>
              <w:rPr>
                <w:sz w:val="12"/>
                <w:szCs w:val="12"/>
              </w:rPr>
            </w:pPr>
            <w:r w:rsidRPr="00483EBE">
              <w:rPr>
                <w:sz w:val="12"/>
                <w:szCs w:val="12"/>
              </w:rPr>
              <w:t>$3,164</w:t>
            </w:r>
          </w:p>
        </w:tc>
        <w:tc>
          <w:tcPr>
            <w:tcW w:w="0" w:type="auto"/>
            <w:tcBorders>
              <w:top w:val="nil"/>
              <w:left w:val="nil"/>
              <w:bottom w:val="single" w:sz="4" w:space="0" w:color="auto"/>
              <w:right w:val="single" w:sz="4" w:space="0" w:color="auto"/>
            </w:tcBorders>
            <w:shd w:val="clear" w:color="auto" w:fill="auto"/>
            <w:vAlign w:val="center"/>
            <w:hideMark/>
          </w:tcPr>
          <w:p w14:paraId="2AF95F3C"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3BC75D2F"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6A4EAC7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3C1E23"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085CFFAE" w14:textId="77777777" w:rsidR="00572995" w:rsidRPr="00483EBE" w:rsidRDefault="00572995" w:rsidP="00E8324D">
            <w:pPr>
              <w:pStyle w:val="Tablas"/>
              <w:rPr>
                <w:sz w:val="12"/>
                <w:szCs w:val="12"/>
              </w:rPr>
            </w:pPr>
            <w:r w:rsidRPr="00483EBE">
              <w:rPr>
                <w:sz w:val="12"/>
                <w:szCs w:val="12"/>
              </w:rPr>
              <w:t xml:space="preserve">562 </w:t>
            </w:r>
          </w:p>
        </w:tc>
        <w:tc>
          <w:tcPr>
            <w:tcW w:w="0" w:type="auto"/>
            <w:tcBorders>
              <w:top w:val="nil"/>
              <w:left w:val="nil"/>
              <w:bottom w:val="single" w:sz="4" w:space="0" w:color="auto"/>
              <w:right w:val="single" w:sz="4" w:space="0" w:color="auto"/>
            </w:tcBorders>
            <w:shd w:val="clear" w:color="auto" w:fill="auto"/>
            <w:vAlign w:val="center"/>
            <w:hideMark/>
          </w:tcPr>
          <w:p w14:paraId="72C97D51" w14:textId="77777777" w:rsidR="00572995" w:rsidRPr="00483EBE" w:rsidRDefault="00572995" w:rsidP="00E8324D">
            <w:pPr>
              <w:pStyle w:val="Tablas"/>
              <w:rPr>
                <w:sz w:val="12"/>
                <w:szCs w:val="12"/>
              </w:rPr>
            </w:pPr>
            <w:r w:rsidRPr="00483EBE">
              <w:rPr>
                <w:sz w:val="12"/>
                <w:szCs w:val="12"/>
              </w:rPr>
              <w:t>$1,819,795</w:t>
            </w:r>
          </w:p>
        </w:tc>
        <w:tc>
          <w:tcPr>
            <w:tcW w:w="0" w:type="auto"/>
            <w:tcBorders>
              <w:top w:val="nil"/>
              <w:left w:val="nil"/>
              <w:bottom w:val="single" w:sz="4" w:space="0" w:color="auto"/>
              <w:right w:val="single" w:sz="4" w:space="0" w:color="auto"/>
            </w:tcBorders>
            <w:shd w:val="clear" w:color="auto" w:fill="auto"/>
            <w:vAlign w:val="center"/>
            <w:hideMark/>
          </w:tcPr>
          <w:p w14:paraId="36D974BA" w14:textId="77777777" w:rsidR="00572995" w:rsidRPr="00483EBE" w:rsidRDefault="00572995" w:rsidP="00E8324D">
            <w:pPr>
              <w:pStyle w:val="Tablas"/>
              <w:rPr>
                <w:sz w:val="12"/>
                <w:szCs w:val="12"/>
              </w:rPr>
            </w:pPr>
            <w:r w:rsidRPr="00483EBE">
              <w:rPr>
                <w:sz w:val="12"/>
                <w:szCs w:val="12"/>
              </w:rPr>
              <w:t>$3,238</w:t>
            </w:r>
          </w:p>
        </w:tc>
        <w:tc>
          <w:tcPr>
            <w:tcW w:w="0" w:type="auto"/>
            <w:tcBorders>
              <w:top w:val="nil"/>
              <w:left w:val="nil"/>
              <w:bottom w:val="single" w:sz="4" w:space="0" w:color="auto"/>
              <w:right w:val="single" w:sz="4" w:space="0" w:color="auto"/>
            </w:tcBorders>
            <w:shd w:val="clear" w:color="auto" w:fill="auto"/>
            <w:vAlign w:val="center"/>
            <w:hideMark/>
          </w:tcPr>
          <w:p w14:paraId="4F5FD76A"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2AD7E12A"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6E5D210" w14:textId="77777777" w:rsidR="00572995" w:rsidRPr="00483EBE" w:rsidRDefault="00572995" w:rsidP="00E8324D">
            <w:pPr>
              <w:pStyle w:val="Tablas"/>
              <w:rPr>
                <w:sz w:val="12"/>
                <w:szCs w:val="12"/>
              </w:rPr>
            </w:pPr>
            <w:r w:rsidRPr="00483EBE">
              <w:rPr>
                <w:sz w:val="12"/>
                <w:szCs w:val="12"/>
              </w:rPr>
              <w:t>SEBD</w:t>
            </w:r>
          </w:p>
        </w:tc>
      </w:tr>
      <w:tr w:rsidR="00572995" w:rsidRPr="00483EBE" w14:paraId="7828927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0A02E7"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461E22B2" w14:textId="77777777" w:rsidR="00572995" w:rsidRPr="00483EBE" w:rsidRDefault="00572995" w:rsidP="00E8324D">
            <w:pPr>
              <w:pStyle w:val="Tablas"/>
              <w:rPr>
                <w:sz w:val="12"/>
                <w:szCs w:val="12"/>
              </w:rPr>
            </w:pPr>
            <w:r w:rsidRPr="00483EBE">
              <w:rPr>
                <w:sz w:val="12"/>
                <w:szCs w:val="12"/>
              </w:rPr>
              <w:t xml:space="preserve">768 </w:t>
            </w:r>
          </w:p>
        </w:tc>
        <w:tc>
          <w:tcPr>
            <w:tcW w:w="0" w:type="auto"/>
            <w:tcBorders>
              <w:top w:val="nil"/>
              <w:left w:val="nil"/>
              <w:bottom w:val="single" w:sz="4" w:space="0" w:color="auto"/>
              <w:right w:val="single" w:sz="4" w:space="0" w:color="auto"/>
            </w:tcBorders>
            <w:shd w:val="clear" w:color="auto" w:fill="auto"/>
            <w:vAlign w:val="center"/>
            <w:hideMark/>
          </w:tcPr>
          <w:p w14:paraId="0D25EB25" w14:textId="77777777" w:rsidR="00572995" w:rsidRPr="00483EBE" w:rsidRDefault="00572995" w:rsidP="00E8324D">
            <w:pPr>
              <w:pStyle w:val="Tablas"/>
              <w:rPr>
                <w:sz w:val="12"/>
                <w:szCs w:val="12"/>
              </w:rPr>
            </w:pPr>
            <w:r w:rsidRPr="00483EBE">
              <w:rPr>
                <w:sz w:val="12"/>
                <w:szCs w:val="12"/>
              </w:rPr>
              <w:t>$2,303,748</w:t>
            </w:r>
          </w:p>
        </w:tc>
        <w:tc>
          <w:tcPr>
            <w:tcW w:w="0" w:type="auto"/>
            <w:tcBorders>
              <w:top w:val="nil"/>
              <w:left w:val="nil"/>
              <w:bottom w:val="single" w:sz="4" w:space="0" w:color="auto"/>
              <w:right w:val="single" w:sz="4" w:space="0" w:color="auto"/>
            </w:tcBorders>
            <w:shd w:val="clear" w:color="auto" w:fill="auto"/>
            <w:vAlign w:val="center"/>
            <w:hideMark/>
          </w:tcPr>
          <w:p w14:paraId="02BAB42D" w14:textId="77777777" w:rsidR="00572995" w:rsidRPr="00483EBE" w:rsidRDefault="00572995" w:rsidP="00E8324D">
            <w:pPr>
              <w:pStyle w:val="Tablas"/>
              <w:rPr>
                <w:sz w:val="12"/>
                <w:szCs w:val="12"/>
              </w:rPr>
            </w:pPr>
            <w:r w:rsidRPr="00483EBE">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14:paraId="4F9ECBA2"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19F6E2EB"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2F6C0C6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251D71"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2DE75736" w14:textId="77777777" w:rsidR="00572995" w:rsidRPr="00483EBE" w:rsidRDefault="00572995" w:rsidP="00E8324D">
            <w:pPr>
              <w:pStyle w:val="Tablas"/>
              <w:rPr>
                <w:sz w:val="12"/>
                <w:szCs w:val="12"/>
              </w:rPr>
            </w:pPr>
            <w:r w:rsidRPr="00483EBE">
              <w:rPr>
                <w:sz w:val="12"/>
                <w:szCs w:val="12"/>
              </w:rPr>
              <w:t xml:space="preserve">465 </w:t>
            </w:r>
          </w:p>
        </w:tc>
        <w:tc>
          <w:tcPr>
            <w:tcW w:w="0" w:type="auto"/>
            <w:tcBorders>
              <w:top w:val="nil"/>
              <w:left w:val="nil"/>
              <w:bottom w:val="single" w:sz="4" w:space="0" w:color="auto"/>
              <w:right w:val="single" w:sz="4" w:space="0" w:color="auto"/>
            </w:tcBorders>
            <w:shd w:val="clear" w:color="auto" w:fill="auto"/>
            <w:vAlign w:val="center"/>
            <w:hideMark/>
          </w:tcPr>
          <w:p w14:paraId="1F098052" w14:textId="77777777" w:rsidR="00572995" w:rsidRPr="00483EBE" w:rsidRDefault="00572995" w:rsidP="00E8324D">
            <w:pPr>
              <w:pStyle w:val="Tablas"/>
              <w:rPr>
                <w:sz w:val="12"/>
                <w:szCs w:val="12"/>
              </w:rPr>
            </w:pPr>
            <w:r w:rsidRPr="00483EBE">
              <w:rPr>
                <w:sz w:val="12"/>
                <w:szCs w:val="12"/>
              </w:rPr>
              <w:t>$1,471,904</w:t>
            </w:r>
          </w:p>
        </w:tc>
        <w:tc>
          <w:tcPr>
            <w:tcW w:w="0" w:type="auto"/>
            <w:tcBorders>
              <w:top w:val="nil"/>
              <w:left w:val="nil"/>
              <w:bottom w:val="single" w:sz="4" w:space="0" w:color="auto"/>
              <w:right w:val="single" w:sz="4" w:space="0" w:color="auto"/>
            </w:tcBorders>
            <w:shd w:val="clear" w:color="auto" w:fill="auto"/>
            <w:vAlign w:val="center"/>
            <w:hideMark/>
          </w:tcPr>
          <w:p w14:paraId="4A8C8B20" w14:textId="77777777" w:rsidR="00572995" w:rsidRPr="00483EBE" w:rsidRDefault="00572995" w:rsidP="00E8324D">
            <w:pPr>
              <w:pStyle w:val="Tablas"/>
              <w:rPr>
                <w:sz w:val="12"/>
                <w:szCs w:val="12"/>
              </w:rPr>
            </w:pPr>
            <w:r w:rsidRPr="00483EBE">
              <w:rPr>
                <w:sz w:val="12"/>
                <w:szCs w:val="12"/>
              </w:rPr>
              <w:t>$3,165</w:t>
            </w:r>
          </w:p>
        </w:tc>
        <w:tc>
          <w:tcPr>
            <w:tcW w:w="0" w:type="auto"/>
            <w:tcBorders>
              <w:top w:val="nil"/>
              <w:left w:val="nil"/>
              <w:bottom w:val="single" w:sz="4" w:space="0" w:color="auto"/>
              <w:right w:val="single" w:sz="4" w:space="0" w:color="auto"/>
            </w:tcBorders>
            <w:shd w:val="clear" w:color="auto" w:fill="auto"/>
            <w:vAlign w:val="center"/>
            <w:hideMark/>
          </w:tcPr>
          <w:p w14:paraId="0CC23374"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113CA10A"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5DFAC370" w14:textId="77777777" w:rsidR="00572995" w:rsidRPr="00483EBE" w:rsidRDefault="00572995" w:rsidP="00E8324D">
            <w:pPr>
              <w:pStyle w:val="Tablas"/>
              <w:rPr>
                <w:sz w:val="12"/>
                <w:szCs w:val="12"/>
              </w:rPr>
            </w:pPr>
            <w:r w:rsidRPr="00483EBE">
              <w:rPr>
                <w:sz w:val="12"/>
                <w:szCs w:val="12"/>
              </w:rPr>
              <w:t>SEBD</w:t>
            </w:r>
          </w:p>
        </w:tc>
      </w:tr>
      <w:tr w:rsidR="00572995" w:rsidRPr="00483EBE" w14:paraId="5FB3A61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78836A6"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FA56089" w14:textId="77777777" w:rsidR="00572995" w:rsidRPr="00483EBE" w:rsidRDefault="00572995" w:rsidP="00E8324D">
            <w:pPr>
              <w:pStyle w:val="Tablas"/>
              <w:rPr>
                <w:sz w:val="12"/>
                <w:szCs w:val="12"/>
              </w:rPr>
            </w:pPr>
            <w:r w:rsidRPr="00483EBE">
              <w:rPr>
                <w:sz w:val="12"/>
                <w:szCs w:val="12"/>
              </w:rPr>
              <w:t xml:space="preserve">727 </w:t>
            </w:r>
          </w:p>
        </w:tc>
        <w:tc>
          <w:tcPr>
            <w:tcW w:w="0" w:type="auto"/>
            <w:tcBorders>
              <w:top w:val="nil"/>
              <w:left w:val="nil"/>
              <w:bottom w:val="single" w:sz="4" w:space="0" w:color="auto"/>
              <w:right w:val="single" w:sz="4" w:space="0" w:color="auto"/>
            </w:tcBorders>
            <w:shd w:val="clear" w:color="auto" w:fill="auto"/>
            <w:vAlign w:val="center"/>
            <w:hideMark/>
          </w:tcPr>
          <w:p w14:paraId="167546A2" w14:textId="77777777" w:rsidR="00572995" w:rsidRPr="00483EBE" w:rsidRDefault="00572995" w:rsidP="00E8324D">
            <w:pPr>
              <w:pStyle w:val="Tablas"/>
              <w:rPr>
                <w:sz w:val="12"/>
                <w:szCs w:val="12"/>
              </w:rPr>
            </w:pPr>
            <w:r w:rsidRPr="00483EBE">
              <w:rPr>
                <w:sz w:val="12"/>
                <w:szCs w:val="12"/>
              </w:rPr>
              <w:t>$2,182,375</w:t>
            </w:r>
          </w:p>
        </w:tc>
        <w:tc>
          <w:tcPr>
            <w:tcW w:w="0" w:type="auto"/>
            <w:tcBorders>
              <w:top w:val="nil"/>
              <w:left w:val="nil"/>
              <w:bottom w:val="single" w:sz="4" w:space="0" w:color="auto"/>
              <w:right w:val="single" w:sz="4" w:space="0" w:color="auto"/>
            </w:tcBorders>
            <w:shd w:val="clear" w:color="auto" w:fill="auto"/>
            <w:vAlign w:val="center"/>
            <w:hideMark/>
          </w:tcPr>
          <w:p w14:paraId="2C2366AE" w14:textId="77777777" w:rsidR="00572995" w:rsidRPr="00483EBE" w:rsidRDefault="00572995" w:rsidP="00E8324D">
            <w:pPr>
              <w:pStyle w:val="Tablas"/>
              <w:rPr>
                <w:sz w:val="12"/>
                <w:szCs w:val="12"/>
              </w:rPr>
            </w:pPr>
            <w:r w:rsidRPr="00483EBE">
              <w:rPr>
                <w:sz w:val="12"/>
                <w:szCs w:val="12"/>
              </w:rPr>
              <w:t>$3,002</w:t>
            </w:r>
          </w:p>
        </w:tc>
        <w:tc>
          <w:tcPr>
            <w:tcW w:w="0" w:type="auto"/>
            <w:tcBorders>
              <w:top w:val="nil"/>
              <w:left w:val="nil"/>
              <w:bottom w:val="single" w:sz="4" w:space="0" w:color="auto"/>
              <w:right w:val="single" w:sz="4" w:space="0" w:color="auto"/>
            </w:tcBorders>
            <w:shd w:val="clear" w:color="auto" w:fill="auto"/>
            <w:vAlign w:val="center"/>
            <w:hideMark/>
          </w:tcPr>
          <w:p w14:paraId="6526F308"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2246613C"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010D00C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AE3C528"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3F0F7AD5" w14:textId="77777777" w:rsidR="00572995" w:rsidRPr="00483EBE" w:rsidRDefault="00572995" w:rsidP="00E8324D">
            <w:pPr>
              <w:pStyle w:val="Tablas"/>
              <w:rPr>
                <w:sz w:val="12"/>
                <w:szCs w:val="12"/>
              </w:rPr>
            </w:pPr>
            <w:r w:rsidRPr="00483EBE">
              <w:rPr>
                <w:sz w:val="12"/>
                <w:szCs w:val="12"/>
              </w:rPr>
              <w:t xml:space="preserve">481 </w:t>
            </w:r>
          </w:p>
        </w:tc>
        <w:tc>
          <w:tcPr>
            <w:tcW w:w="0" w:type="auto"/>
            <w:tcBorders>
              <w:top w:val="nil"/>
              <w:left w:val="nil"/>
              <w:bottom w:val="single" w:sz="4" w:space="0" w:color="auto"/>
              <w:right w:val="single" w:sz="4" w:space="0" w:color="auto"/>
            </w:tcBorders>
            <w:shd w:val="clear" w:color="auto" w:fill="auto"/>
            <w:vAlign w:val="center"/>
            <w:hideMark/>
          </w:tcPr>
          <w:p w14:paraId="4FE80097" w14:textId="77777777" w:rsidR="00572995" w:rsidRPr="00483EBE" w:rsidRDefault="00572995" w:rsidP="00E8324D">
            <w:pPr>
              <w:pStyle w:val="Tablas"/>
              <w:rPr>
                <w:sz w:val="12"/>
                <w:szCs w:val="12"/>
              </w:rPr>
            </w:pPr>
            <w:r w:rsidRPr="00483EBE">
              <w:rPr>
                <w:sz w:val="12"/>
                <w:szCs w:val="12"/>
              </w:rPr>
              <w:t>$1,636,734</w:t>
            </w:r>
          </w:p>
        </w:tc>
        <w:tc>
          <w:tcPr>
            <w:tcW w:w="0" w:type="auto"/>
            <w:tcBorders>
              <w:top w:val="nil"/>
              <w:left w:val="nil"/>
              <w:bottom w:val="single" w:sz="4" w:space="0" w:color="auto"/>
              <w:right w:val="single" w:sz="4" w:space="0" w:color="auto"/>
            </w:tcBorders>
            <w:shd w:val="clear" w:color="auto" w:fill="auto"/>
            <w:vAlign w:val="center"/>
            <w:hideMark/>
          </w:tcPr>
          <w:p w14:paraId="126B7813" w14:textId="77777777" w:rsidR="00572995" w:rsidRPr="00483EBE" w:rsidRDefault="00572995" w:rsidP="00E8324D">
            <w:pPr>
              <w:pStyle w:val="Tablas"/>
              <w:rPr>
                <w:sz w:val="12"/>
                <w:szCs w:val="12"/>
              </w:rPr>
            </w:pPr>
            <w:r w:rsidRPr="00483EBE">
              <w:rPr>
                <w:sz w:val="12"/>
                <w:szCs w:val="12"/>
              </w:rPr>
              <w:t>$3,403</w:t>
            </w:r>
          </w:p>
        </w:tc>
        <w:tc>
          <w:tcPr>
            <w:tcW w:w="0" w:type="auto"/>
            <w:tcBorders>
              <w:top w:val="nil"/>
              <w:left w:val="nil"/>
              <w:bottom w:val="single" w:sz="4" w:space="0" w:color="auto"/>
              <w:right w:val="single" w:sz="4" w:space="0" w:color="auto"/>
            </w:tcBorders>
            <w:shd w:val="clear" w:color="auto" w:fill="auto"/>
            <w:vAlign w:val="center"/>
            <w:hideMark/>
          </w:tcPr>
          <w:p w14:paraId="3FEA34DD"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16FAD27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2F68B9FB" w14:textId="77777777" w:rsidR="00572995" w:rsidRPr="00483EBE" w:rsidRDefault="00572995" w:rsidP="00E8324D">
            <w:pPr>
              <w:pStyle w:val="Tablas"/>
              <w:rPr>
                <w:sz w:val="12"/>
                <w:szCs w:val="12"/>
              </w:rPr>
            </w:pPr>
            <w:r w:rsidRPr="00483EBE">
              <w:rPr>
                <w:sz w:val="12"/>
                <w:szCs w:val="12"/>
              </w:rPr>
              <w:t>SEBD</w:t>
            </w:r>
          </w:p>
        </w:tc>
      </w:tr>
      <w:tr w:rsidR="00572995" w:rsidRPr="00483EBE" w14:paraId="5FE7D2E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9F81E12"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0EA65E3A" w14:textId="77777777" w:rsidR="00572995" w:rsidRPr="00483EBE" w:rsidRDefault="00572995" w:rsidP="00E8324D">
            <w:pPr>
              <w:pStyle w:val="Tablas"/>
              <w:rPr>
                <w:sz w:val="12"/>
                <w:szCs w:val="12"/>
              </w:rPr>
            </w:pPr>
            <w:r w:rsidRPr="00483EBE">
              <w:rPr>
                <w:sz w:val="12"/>
                <w:szCs w:val="12"/>
              </w:rPr>
              <w:t xml:space="preserve">641 </w:t>
            </w:r>
          </w:p>
        </w:tc>
        <w:tc>
          <w:tcPr>
            <w:tcW w:w="0" w:type="auto"/>
            <w:tcBorders>
              <w:top w:val="nil"/>
              <w:left w:val="nil"/>
              <w:bottom w:val="single" w:sz="4" w:space="0" w:color="auto"/>
              <w:right w:val="single" w:sz="4" w:space="0" w:color="auto"/>
            </w:tcBorders>
            <w:shd w:val="clear" w:color="auto" w:fill="auto"/>
            <w:vAlign w:val="center"/>
            <w:hideMark/>
          </w:tcPr>
          <w:p w14:paraId="1F7987B3" w14:textId="77777777" w:rsidR="00572995" w:rsidRPr="00483EBE" w:rsidRDefault="00572995" w:rsidP="00E8324D">
            <w:pPr>
              <w:pStyle w:val="Tablas"/>
              <w:rPr>
                <w:sz w:val="12"/>
                <w:szCs w:val="12"/>
              </w:rPr>
            </w:pPr>
            <w:r w:rsidRPr="00483EBE">
              <w:rPr>
                <w:sz w:val="12"/>
                <w:szCs w:val="12"/>
              </w:rPr>
              <w:t>$1,956,148</w:t>
            </w:r>
          </w:p>
        </w:tc>
        <w:tc>
          <w:tcPr>
            <w:tcW w:w="0" w:type="auto"/>
            <w:tcBorders>
              <w:top w:val="nil"/>
              <w:left w:val="nil"/>
              <w:bottom w:val="single" w:sz="4" w:space="0" w:color="auto"/>
              <w:right w:val="single" w:sz="4" w:space="0" w:color="auto"/>
            </w:tcBorders>
            <w:shd w:val="clear" w:color="auto" w:fill="auto"/>
            <w:vAlign w:val="center"/>
            <w:hideMark/>
          </w:tcPr>
          <w:p w14:paraId="1457B373" w14:textId="77777777" w:rsidR="00572995" w:rsidRPr="00483EBE" w:rsidRDefault="00572995" w:rsidP="00E8324D">
            <w:pPr>
              <w:pStyle w:val="Tablas"/>
              <w:rPr>
                <w:sz w:val="12"/>
                <w:szCs w:val="12"/>
              </w:rPr>
            </w:pPr>
            <w:r w:rsidRPr="00483EBE">
              <w:rPr>
                <w:sz w:val="12"/>
                <w:szCs w:val="12"/>
              </w:rPr>
              <w:t>$3,052</w:t>
            </w:r>
          </w:p>
        </w:tc>
        <w:tc>
          <w:tcPr>
            <w:tcW w:w="0" w:type="auto"/>
            <w:tcBorders>
              <w:top w:val="nil"/>
              <w:left w:val="nil"/>
              <w:bottom w:val="single" w:sz="4" w:space="0" w:color="auto"/>
              <w:right w:val="single" w:sz="4" w:space="0" w:color="auto"/>
            </w:tcBorders>
            <w:shd w:val="clear" w:color="auto" w:fill="auto"/>
            <w:vAlign w:val="center"/>
            <w:hideMark/>
          </w:tcPr>
          <w:p w14:paraId="038BF8F4" w14:textId="77777777" w:rsidR="00572995" w:rsidRPr="00483EBE" w:rsidRDefault="00572995" w:rsidP="00E8324D">
            <w:pPr>
              <w:pStyle w:val="Tablas"/>
              <w:rPr>
                <w:sz w:val="12"/>
                <w:szCs w:val="12"/>
              </w:rPr>
            </w:pPr>
            <w:r w:rsidRPr="00483EBE">
              <w:rPr>
                <w:sz w:val="12"/>
                <w:szCs w:val="12"/>
              </w:rPr>
              <w:t>$254</w:t>
            </w:r>
          </w:p>
        </w:tc>
        <w:tc>
          <w:tcPr>
            <w:tcW w:w="0" w:type="auto"/>
            <w:tcBorders>
              <w:top w:val="nil"/>
              <w:left w:val="nil"/>
              <w:bottom w:val="single" w:sz="4" w:space="0" w:color="auto"/>
              <w:right w:val="single" w:sz="4" w:space="0" w:color="auto"/>
            </w:tcBorders>
            <w:shd w:val="clear" w:color="auto" w:fill="auto"/>
            <w:vAlign w:val="center"/>
            <w:hideMark/>
          </w:tcPr>
          <w:p w14:paraId="2BDA68A2"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74ECC6F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9A1A2B"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44EACA0C" w14:textId="77777777" w:rsidR="00572995" w:rsidRPr="00483EBE" w:rsidRDefault="00572995" w:rsidP="00E8324D">
            <w:pPr>
              <w:pStyle w:val="Tablas"/>
              <w:rPr>
                <w:sz w:val="12"/>
                <w:szCs w:val="12"/>
              </w:rPr>
            </w:pPr>
            <w:r w:rsidRPr="00483EBE">
              <w:rPr>
                <w:sz w:val="12"/>
                <w:szCs w:val="12"/>
              </w:rPr>
              <w:t xml:space="preserve">179 </w:t>
            </w:r>
          </w:p>
        </w:tc>
        <w:tc>
          <w:tcPr>
            <w:tcW w:w="0" w:type="auto"/>
            <w:tcBorders>
              <w:top w:val="nil"/>
              <w:left w:val="nil"/>
              <w:bottom w:val="single" w:sz="4" w:space="0" w:color="auto"/>
              <w:right w:val="single" w:sz="4" w:space="0" w:color="auto"/>
            </w:tcBorders>
            <w:shd w:val="clear" w:color="auto" w:fill="auto"/>
            <w:vAlign w:val="center"/>
            <w:hideMark/>
          </w:tcPr>
          <w:p w14:paraId="7E5613CF" w14:textId="77777777" w:rsidR="00572995" w:rsidRPr="00483EBE" w:rsidRDefault="00572995" w:rsidP="00E8324D">
            <w:pPr>
              <w:pStyle w:val="Tablas"/>
              <w:rPr>
                <w:sz w:val="12"/>
                <w:szCs w:val="12"/>
              </w:rPr>
            </w:pPr>
            <w:r w:rsidRPr="00483EBE">
              <w:rPr>
                <w:sz w:val="12"/>
                <w:szCs w:val="12"/>
              </w:rPr>
              <w:t>$641,923</w:t>
            </w:r>
          </w:p>
        </w:tc>
        <w:tc>
          <w:tcPr>
            <w:tcW w:w="0" w:type="auto"/>
            <w:tcBorders>
              <w:top w:val="nil"/>
              <w:left w:val="nil"/>
              <w:bottom w:val="single" w:sz="4" w:space="0" w:color="auto"/>
              <w:right w:val="single" w:sz="4" w:space="0" w:color="auto"/>
            </w:tcBorders>
            <w:shd w:val="clear" w:color="auto" w:fill="auto"/>
            <w:vAlign w:val="center"/>
            <w:hideMark/>
          </w:tcPr>
          <w:p w14:paraId="4742EA27" w14:textId="77777777" w:rsidR="00572995" w:rsidRPr="00483EBE" w:rsidRDefault="00572995" w:rsidP="00E8324D">
            <w:pPr>
              <w:pStyle w:val="Tablas"/>
              <w:rPr>
                <w:sz w:val="12"/>
                <w:szCs w:val="12"/>
              </w:rPr>
            </w:pPr>
            <w:r w:rsidRPr="00483EBE">
              <w:rPr>
                <w:sz w:val="12"/>
                <w:szCs w:val="12"/>
              </w:rPr>
              <w:t>$3,586</w:t>
            </w:r>
          </w:p>
        </w:tc>
        <w:tc>
          <w:tcPr>
            <w:tcW w:w="0" w:type="auto"/>
            <w:tcBorders>
              <w:top w:val="nil"/>
              <w:left w:val="nil"/>
              <w:bottom w:val="single" w:sz="4" w:space="0" w:color="auto"/>
              <w:right w:val="single" w:sz="4" w:space="0" w:color="auto"/>
            </w:tcBorders>
            <w:shd w:val="clear" w:color="auto" w:fill="auto"/>
            <w:vAlign w:val="center"/>
            <w:hideMark/>
          </w:tcPr>
          <w:p w14:paraId="6D1DC10B" w14:textId="77777777" w:rsidR="00572995" w:rsidRPr="00483EBE" w:rsidRDefault="00572995" w:rsidP="00E8324D">
            <w:pPr>
              <w:pStyle w:val="Tablas"/>
              <w:rPr>
                <w:sz w:val="12"/>
                <w:szCs w:val="12"/>
              </w:rPr>
            </w:pPr>
            <w:r w:rsidRPr="00483EBE">
              <w:rPr>
                <w:sz w:val="12"/>
                <w:szCs w:val="12"/>
              </w:rPr>
              <w:t>$299</w:t>
            </w:r>
          </w:p>
        </w:tc>
        <w:tc>
          <w:tcPr>
            <w:tcW w:w="0" w:type="auto"/>
            <w:tcBorders>
              <w:top w:val="nil"/>
              <w:left w:val="nil"/>
              <w:bottom w:val="single" w:sz="4" w:space="0" w:color="auto"/>
              <w:right w:val="single" w:sz="4" w:space="0" w:color="auto"/>
            </w:tcBorders>
            <w:shd w:val="clear" w:color="auto" w:fill="auto"/>
            <w:vAlign w:val="center"/>
            <w:hideMark/>
          </w:tcPr>
          <w:p w14:paraId="2983ABE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B66556C" w14:textId="77777777" w:rsidR="00572995" w:rsidRPr="00483EBE" w:rsidRDefault="00572995" w:rsidP="00E8324D">
            <w:pPr>
              <w:pStyle w:val="Tablas"/>
              <w:rPr>
                <w:sz w:val="12"/>
                <w:szCs w:val="12"/>
              </w:rPr>
            </w:pPr>
            <w:r w:rsidRPr="00483EBE">
              <w:rPr>
                <w:sz w:val="12"/>
                <w:szCs w:val="12"/>
              </w:rPr>
              <w:t>SEBD</w:t>
            </w:r>
          </w:p>
        </w:tc>
      </w:tr>
      <w:tr w:rsidR="00572995" w:rsidRPr="00483EBE" w14:paraId="5695A6D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B937489"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42EA8C94" w14:textId="77777777" w:rsidR="00572995" w:rsidRPr="00483EBE" w:rsidRDefault="00572995" w:rsidP="00E8324D">
            <w:pPr>
              <w:pStyle w:val="Tablas"/>
              <w:rPr>
                <w:sz w:val="12"/>
                <w:szCs w:val="12"/>
              </w:rPr>
            </w:pPr>
            <w:r w:rsidRPr="00483EBE">
              <w:rPr>
                <w:sz w:val="12"/>
                <w:szCs w:val="12"/>
              </w:rPr>
              <w:t xml:space="preserve">672 </w:t>
            </w:r>
          </w:p>
        </w:tc>
        <w:tc>
          <w:tcPr>
            <w:tcW w:w="0" w:type="auto"/>
            <w:tcBorders>
              <w:top w:val="nil"/>
              <w:left w:val="nil"/>
              <w:bottom w:val="single" w:sz="4" w:space="0" w:color="auto"/>
              <w:right w:val="single" w:sz="4" w:space="0" w:color="auto"/>
            </w:tcBorders>
            <w:shd w:val="clear" w:color="auto" w:fill="auto"/>
            <w:vAlign w:val="center"/>
            <w:hideMark/>
          </w:tcPr>
          <w:p w14:paraId="3B1FD751" w14:textId="77777777" w:rsidR="00572995" w:rsidRPr="00483EBE" w:rsidRDefault="00572995" w:rsidP="00E8324D">
            <w:pPr>
              <w:pStyle w:val="Tablas"/>
              <w:rPr>
                <w:sz w:val="12"/>
                <w:szCs w:val="12"/>
              </w:rPr>
            </w:pPr>
            <w:r w:rsidRPr="00483EBE">
              <w:rPr>
                <w:sz w:val="12"/>
                <w:szCs w:val="12"/>
              </w:rPr>
              <w:t>$1,957,059</w:t>
            </w:r>
          </w:p>
        </w:tc>
        <w:tc>
          <w:tcPr>
            <w:tcW w:w="0" w:type="auto"/>
            <w:tcBorders>
              <w:top w:val="nil"/>
              <w:left w:val="nil"/>
              <w:bottom w:val="single" w:sz="4" w:space="0" w:color="auto"/>
              <w:right w:val="single" w:sz="4" w:space="0" w:color="auto"/>
            </w:tcBorders>
            <w:shd w:val="clear" w:color="auto" w:fill="auto"/>
            <w:vAlign w:val="center"/>
            <w:hideMark/>
          </w:tcPr>
          <w:p w14:paraId="4F941830" w14:textId="77777777" w:rsidR="00572995" w:rsidRPr="00483EBE" w:rsidRDefault="00572995" w:rsidP="00E8324D">
            <w:pPr>
              <w:pStyle w:val="Tablas"/>
              <w:rPr>
                <w:sz w:val="12"/>
                <w:szCs w:val="12"/>
              </w:rPr>
            </w:pPr>
            <w:r w:rsidRPr="00483EBE">
              <w:rPr>
                <w:sz w:val="12"/>
                <w:szCs w:val="12"/>
              </w:rPr>
              <w:t>$2,912</w:t>
            </w:r>
          </w:p>
        </w:tc>
        <w:tc>
          <w:tcPr>
            <w:tcW w:w="0" w:type="auto"/>
            <w:tcBorders>
              <w:top w:val="nil"/>
              <w:left w:val="nil"/>
              <w:bottom w:val="single" w:sz="4" w:space="0" w:color="auto"/>
              <w:right w:val="single" w:sz="4" w:space="0" w:color="auto"/>
            </w:tcBorders>
            <w:shd w:val="clear" w:color="auto" w:fill="auto"/>
            <w:vAlign w:val="center"/>
            <w:hideMark/>
          </w:tcPr>
          <w:p w14:paraId="7F70DA80"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277B6460"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3C684B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DEA2D8"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451A190D" w14:textId="77777777" w:rsidR="00572995" w:rsidRPr="00483EBE" w:rsidRDefault="00572995" w:rsidP="00E8324D">
            <w:pPr>
              <w:pStyle w:val="Tablas"/>
              <w:rPr>
                <w:sz w:val="12"/>
                <w:szCs w:val="12"/>
              </w:rPr>
            </w:pPr>
            <w:r w:rsidRPr="00483EBE">
              <w:rPr>
                <w:sz w:val="12"/>
                <w:szCs w:val="12"/>
              </w:rPr>
              <w:t xml:space="preserve">144 </w:t>
            </w:r>
          </w:p>
        </w:tc>
        <w:tc>
          <w:tcPr>
            <w:tcW w:w="0" w:type="auto"/>
            <w:tcBorders>
              <w:top w:val="nil"/>
              <w:left w:val="nil"/>
              <w:bottom w:val="single" w:sz="4" w:space="0" w:color="auto"/>
              <w:right w:val="single" w:sz="4" w:space="0" w:color="auto"/>
            </w:tcBorders>
            <w:shd w:val="clear" w:color="auto" w:fill="auto"/>
            <w:vAlign w:val="center"/>
            <w:hideMark/>
          </w:tcPr>
          <w:p w14:paraId="153FE6BC" w14:textId="77777777" w:rsidR="00572995" w:rsidRPr="00483EBE" w:rsidRDefault="00572995" w:rsidP="00E8324D">
            <w:pPr>
              <w:pStyle w:val="Tablas"/>
              <w:rPr>
                <w:sz w:val="12"/>
                <w:szCs w:val="12"/>
              </w:rPr>
            </w:pPr>
            <w:r w:rsidRPr="00483EBE">
              <w:rPr>
                <w:sz w:val="12"/>
                <w:szCs w:val="12"/>
              </w:rPr>
              <w:t>$489,303</w:t>
            </w:r>
          </w:p>
        </w:tc>
        <w:tc>
          <w:tcPr>
            <w:tcW w:w="0" w:type="auto"/>
            <w:tcBorders>
              <w:top w:val="nil"/>
              <w:left w:val="nil"/>
              <w:bottom w:val="single" w:sz="4" w:space="0" w:color="auto"/>
              <w:right w:val="single" w:sz="4" w:space="0" w:color="auto"/>
            </w:tcBorders>
            <w:shd w:val="clear" w:color="auto" w:fill="auto"/>
            <w:vAlign w:val="center"/>
            <w:hideMark/>
          </w:tcPr>
          <w:p w14:paraId="4F837A0F" w14:textId="77777777" w:rsidR="00572995" w:rsidRPr="00483EBE" w:rsidRDefault="00572995" w:rsidP="00E8324D">
            <w:pPr>
              <w:pStyle w:val="Tablas"/>
              <w:rPr>
                <w:sz w:val="12"/>
                <w:szCs w:val="12"/>
              </w:rPr>
            </w:pPr>
            <w:r w:rsidRPr="00483EBE">
              <w:rPr>
                <w:sz w:val="12"/>
                <w:szCs w:val="12"/>
              </w:rPr>
              <w:t>$3,398</w:t>
            </w:r>
          </w:p>
        </w:tc>
        <w:tc>
          <w:tcPr>
            <w:tcW w:w="0" w:type="auto"/>
            <w:tcBorders>
              <w:top w:val="nil"/>
              <w:left w:val="nil"/>
              <w:bottom w:val="single" w:sz="4" w:space="0" w:color="auto"/>
              <w:right w:val="single" w:sz="4" w:space="0" w:color="auto"/>
            </w:tcBorders>
            <w:shd w:val="clear" w:color="auto" w:fill="auto"/>
            <w:vAlign w:val="center"/>
            <w:hideMark/>
          </w:tcPr>
          <w:p w14:paraId="01EE8165" w14:textId="77777777" w:rsidR="00572995" w:rsidRPr="00483EBE" w:rsidRDefault="00572995" w:rsidP="00E8324D">
            <w:pPr>
              <w:pStyle w:val="Tablas"/>
              <w:rPr>
                <w:sz w:val="12"/>
                <w:szCs w:val="12"/>
              </w:rPr>
            </w:pPr>
            <w:r w:rsidRPr="00483EBE">
              <w:rPr>
                <w:sz w:val="12"/>
                <w:szCs w:val="12"/>
              </w:rPr>
              <w:t>$283</w:t>
            </w:r>
          </w:p>
        </w:tc>
        <w:tc>
          <w:tcPr>
            <w:tcW w:w="0" w:type="auto"/>
            <w:tcBorders>
              <w:top w:val="nil"/>
              <w:left w:val="nil"/>
              <w:bottom w:val="single" w:sz="4" w:space="0" w:color="auto"/>
              <w:right w:val="single" w:sz="4" w:space="0" w:color="auto"/>
            </w:tcBorders>
            <w:shd w:val="clear" w:color="auto" w:fill="auto"/>
            <w:vAlign w:val="center"/>
            <w:hideMark/>
          </w:tcPr>
          <w:p w14:paraId="35E6C168"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709671B9" w14:textId="77777777" w:rsidR="00572995" w:rsidRPr="00483EBE" w:rsidRDefault="00572995" w:rsidP="00E8324D">
            <w:pPr>
              <w:pStyle w:val="Tablas"/>
              <w:rPr>
                <w:sz w:val="12"/>
                <w:szCs w:val="12"/>
              </w:rPr>
            </w:pPr>
            <w:r w:rsidRPr="00483EBE">
              <w:rPr>
                <w:sz w:val="12"/>
                <w:szCs w:val="12"/>
              </w:rPr>
              <w:t>SEBD</w:t>
            </w:r>
          </w:p>
        </w:tc>
      </w:tr>
      <w:tr w:rsidR="00572995" w:rsidRPr="00483EBE" w14:paraId="1B60AC6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62F526A"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20797617" w14:textId="77777777" w:rsidR="00572995" w:rsidRPr="00483EBE" w:rsidRDefault="00572995" w:rsidP="00E8324D">
            <w:pPr>
              <w:pStyle w:val="Tablas"/>
              <w:rPr>
                <w:sz w:val="12"/>
                <w:szCs w:val="12"/>
              </w:rPr>
            </w:pPr>
            <w:r w:rsidRPr="00483EBE">
              <w:rPr>
                <w:sz w:val="12"/>
                <w:szCs w:val="12"/>
              </w:rPr>
              <w:t xml:space="preserve">592 </w:t>
            </w:r>
          </w:p>
        </w:tc>
        <w:tc>
          <w:tcPr>
            <w:tcW w:w="0" w:type="auto"/>
            <w:tcBorders>
              <w:top w:val="nil"/>
              <w:left w:val="nil"/>
              <w:bottom w:val="single" w:sz="4" w:space="0" w:color="auto"/>
              <w:right w:val="single" w:sz="4" w:space="0" w:color="auto"/>
            </w:tcBorders>
            <w:shd w:val="clear" w:color="auto" w:fill="auto"/>
            <w:vAlign w:val="center"/>
            <w:hideMark/>
          </w:tcPr>
          <w:p w14:paraId="6EB41211" w14:textId="77777777" w:rsidR="00572995" w:rsidRPr="00483EBE" w:rsidRDefault="00572995" w:rsidP="00E8324D">
            <w:pPr>
              <w:pStyle w:val="Tablas"/>
              <w:rPr>
                <w:sz w:val="12"/>
                <w:szCs w:val="12"/>
              </w:rPr>
            </w:pPr>
            <w:r w:rsidRPr="00483EBE">
              <w:rPr>
                <w:sz w:val="12"/>
                <w:szCs w:val="12"/>
              </w:rPr>
              <w:t>$1,805,631</w:t>
            </w:r>
          </w:p>
        </w:tc>
        <w:tc>
          <w:tcPr>
            <w:tcW w:w="0" w:type="auto"/>
            <w:tcBorders>
              <w:top w:val="nil"/>
              <w:left w:val="nil"/>
              <w:bottom w:val="single" w:sz="4" w:space="0" w:color="auto"/>
              <w:right w:val="single" w:sz="4" w:space="0" w:color="auto"/>
            </w:tcBorders>
            <w:shd w:val="clear" w:color="auto" w:fill="auto"/>
            <w:vAlign w:val="center"/>
            <w:hideMark/>
          </w:tcPr>
          <w:p w14:paraId="0D25FB7B" w14:textId="77777777" w:rsidR="00572995" w:rsidRPr="00483EBE" w:rsidRDefault="00572995" w:rsidP="00E8324D">
            <w:pPr>
              <w:pStyle w:val="Tablas"/>
              <w:rPr>
                <w:sz w:val="12"/>
                <w:szCs w:val="12"/>
              </w:rPr>
            </w:pPr>
            <w:r w:rsidRPr="00483EBE">
              <w:rPr>
                <w:sz w:val="12"/>
                <w:szCs w:val="12"/>
              </w:rPr>
              <w:t>$3,050</w:t>
            </w:r>
          </w:p>
        </w:tc>
        <w:tc>
          <w:tcPr>
            <w:tcW w:w="0" w:type="auto"/>
            <w:tcBorders>
              <w:top w:val="nil"/>
              <w:left w:val="nil"/>
              <w:bottom w:val="single" w:sz="4" w:space="0" w:color="auto"/>
              <w:right w:val="single" w:sz="4" w:space="0" w:color="auto"/>
            </w:tcBorders>
            <w:shd w:val="clear" w:color="auto" w:fill="auto"/>
            <w:vAlign w:val="center"/>
            <w:hideMark/>
          </w:tcPr>
          <w:p w14:paraId="052D6758" w14:textId="77777777" w:rsidR="00572995" w:rsidRPr="00483EBE" w:rsidRDefault="00572995" w:rsidP="00E8324D">
            <w:pPr>
              <w:pStyle w:val="Tablas"/>
              <w:rPr>
                <w:sz w:val="12"/>
                <w:szCs w:val="12"/>
              </w:rPr>
            </w:pPr>
            <w:r w:rsidRPr="00483EBE">
              <w:rPr>
                <w:sz w:val="12"/>
                <w:szCs w:val="12"/>
              </w:rPr>
              <w:t>$254</w:t>
            </w:r>
          </w:p>
        </w:tc>
        <w:tc>
          <w:tcPr>
            <w:tcW w:w="0" w:type="auto"/>
            <w:tcBorders>
              <w:top w:val="nil"/>
              <w:left w:val="nil"/>
              <w:bottom w:val="single" w:sz="4" w:space="0" w:color="auto"/>
              <w:right w:val="single" w:sz="4" w:space="0" w:color="auto"/>
            </w:tcBorders>
            <w:shd w:val="clear" w:color="auto" w:fill="auto"/>
            <w:vAlign w:val="center"/>
            <w:hideMark/>
          </w:tcPr>
          <w:p w14:paraId="39E23D49"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3755FAB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7F956B"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51941564" w14:textId="77777777" w:rsidR="00572995" w:rsidRPr="00483EBE" w:rsidRDefault="00572995" w:rsidP="00E8324D">
            <w:pPr>
              <w:pStyle w:val="Tablas"/>
              <w:rPr>
                <w:sz w:val="12"/>
                <w:szCs w:val="12"/>
              </w:rPr>
            </w:pPr>
            <w:r w:rsidRPr="00483EBE">
              <w:rPr>
                <w:sz w:val="12"/>
                <w:szCs w:val="12"/>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9059058" w14:textId="77777777" w:rsidR="00572995" w:rsidRPr="00483EBE" w:rsidRDefault="00572995" w:rsidP="00E8324D">
            <w:pPr>
              <w:pStyle w:val="Tablas"/>
              <w:rPr>
                <w:sz w:val="12"/>
                <w:szCs w:val="12"/>
              </w:rPr>
            </w:pPr>
            <w:r w:rsidRPr="00483EBE">
              <w:rPr>
                <w:sz w:val="12"/>
                <w:szCs w:val="12"/>
              </w:rPr>
              <w:t>$359,656</w:t>
            </w:r>
          </w:p>
        </w:tc>
        <w:tc>
          <w:tcPr>
            <w:tcW w:w="0" w:type="auto"/>
            <w:tcBorders>
              <w:top w:val="nil"/>
              <w:left w:val="nil"/>
              <w:bottom w:val="single" w:sz="4" w:space="0" w:color="auto"/>
              <w:right w:val="single" w:sz="4" w:space="0" w:color="auto"/>
            </w:tcBorders>
            <w:shd w:val="clear" w:color="auto" w:fill="auto"/>
            <w:vAlign w:val="center"/>
            <w:hideMark/>
          </w:tcPr>
          <w:p w14:paraId="257F52D7" w14:textId="77777777" w:rsidR="00572995" w:rsidRPr="00483EBE" w:rsidRDefault="00572995" w:rsidP="00E8324D">
            <w:pPr>
              <w:pStyle w:val="Tablas"/>
              <w:rPr>
                <w:sz w:val="12"/>
                <w:szCs w:val="12"/>
              </w:rPr>
            </w:pPr>
            <w:r w:rsidRPr="00483EBE">
              <w:rPr>
                <w:sz w:val="12"/>
                <w:szCs w:val="12"/>
              </w:rPr>
              <w:t>$3,597</w:t>
            </w:r>
          </w:p>
        </w:tc>
        <w:tc>
          <w:tcPr>
            <w:tcW w:w="0" w:type="auto"/>
            <w:tcBorders>
              <w:top w:val="nil"/>
              <w:left w:val="nil"/>
              <w:bottom w:val="single" w:sz="4" w:space="0" w:color="auto"/>
              <w:right w:val="single" w:sz="4" w:space="0" w:color="auto"/>
            </w:tcBorders>
            <w:shd w:val="clear" w:color="auto" w:fill="auto"/>
            <w:vAlign w:val="center"/>
            <w:hideMark/>
          </w:tcPr>
          <w:p w14:paraId="2099D7E7" w14:textId="77777777" w:rsidR="00572995" w:rsidRPr="00483EBE" w:rsidRDefault="00572995" w:rsidP="00E8324D">
            <w:pPr>
              <w:pStyle w:val="Tablas"/>
              <w:rPr>
                <w:sz w:val="12"/>
                <w:szCs w:val="12"/>
              </w:rPr>
            </w:pPr>
            <w:r w:rsidRPr="00483EBE">
              <w:rPr>
                <w:sz w:val="12"/>
                <w:szCs w:val="12"/>
              </w:rPr>
              <w:t>$300</w:t>
            </w:r>
          </w:p>
        </w:tc>
        <w:tc>
          <w:tcPr>
            <w:tcW w:w="0" w:type="auto"/>
            <w:tcBorders>
              <w:top w:val="nil"/>
              <w:left w:val="nil"/>
              <w:bottom w:val="single" w:sz="4" w:space="0" w:color="auto"/>
              <w:right w:val="single" w:sz="4" w:space="0" w:color="auto"/>
            </w:tcBorders>
            <w:shd w:val="clear" w:color="auto" w:fill="auto"/>
            <w:vAlign w:val="center"/>
            <w:hideMark/>
          </w:tcPr>
          <w:p w14:paraId="48FC6B92"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16B791CA" w14:textId="77777777" w:rsidR="00572995" w:rsidRPr="00483EBE" w:rsidRDefault="00572995" w:rsidP="00E8324D">
            <w:pPr>
              <w:pStyle w:val="Tablas"/>
              <w:rPr>
                <w:sz w:val="12"/>
                <w:szCs w:val="12"/>
              </w:rPr>
            </w:pPr>
            <w:r w:rsidRPr="00483EBE">
              <w:rPr>
                <w:sz w:val="12"/>
                <w:szCs w:val="12"/>
              </w:rPr>
              <w:t>SEBD</w:t>
            </w:r>
          </w:p>
        </w:tc>
      </w:tr>
      <w:tr w:rsidR="00572995" w:rsidRPr="00483EBE" w14:paraId="2514A0E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C1CF57"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343C2F19" w14:textId="77777777" w:rsidR="00572995" w:rsidRPr="00483EBE" w:rsidRDefault="00572995" w:rsidP="00E8324D">
            <w:pPr>
              <w:pStyle w:val="Tablas"/>
              <w:rPr>
                <w:sz w:val="12"/>
                <w:szCs w:val="12"/>
              </w:rPr>
            </w:pPr>
            <w:r w:rsidRPr="00483EBE">
              <w:rPr>
                <w:sz w:val="12"/>
                <w:szCs w:val="12"/>
              </w:rPr>
              <w:t xml:space="preserve">554 </w:t>
            </w:r>
          </w:p>
        </w:tc>
        <w:tc>
          <w:tcPr>
            <w:tcW w:w="0" w:type="auto"/>
            <w:tcBorders>
              <w:top w:val="nil"/>
              <w:left w:val="nil"/>
              <w:bottom w:val="single" w:sz="4" w:space="0" w:color="auto"/>
              <w:right w:val="single" w:sz="4" w:space="0" w:color="auto"/>
            </w:tcBorders>
            <w:shd w:val="clear" w:color="auto" w:fill="auto"/>
            <w:vAlign w:val="center"/>
            <w:hideMark/>
          </w:tcPr>
          <w:p w14:paraId="03E79A8B" w14:textId="77777777" w:rsidR="00572995" w:rsidRPr="00483EBE" w:rsidRDefault="00572995" w:rsidP="00E8324D">
            <w:pPr>
              <w:pStyle w:val="Tablas"/>
              <w:rPr>
                <w:sz w:val="12"/>
                <w:szCs w:val="12"/>
              </w:rPr>
            </w:pPr>
            <w:r w:rsidRPr="00483EBE">
              <w:rPr>
                <w:sz w:val="12"/>
                <w:szCs w:val="12"/>
              </w:rPr>
              <w:t>$1,601,042</w:t>
            </w:r>
          </w:p>
        </w:tc>
        <w:tc>
          <w:tcPr>
            <w:tcW w:w="0" w:type="auto"/>
            <w:tcBorders>
              <w:top w:val="nil"/>
              <w:left w:val="nil"/>
              <w:bottom w:val="single" w:sz="4" w:space="0" w:color="auto"/>
              <w:right w:val="single" w:sz="4" w:space="0" w:color="auto"/>
            </w:tcBorders>
            <w:shd w:val="clear" w:color="auto" w:fill="auto"/>
            <w:vAlign w:val="center"/>
            <w:hideMark/>
          </w:tcPr>
          <w:p w14:paraId="67206C68" w14:textId="77777777" w:rsidR="00572995" w:rsidRPr="00483EBE" w:rsidRDefault="00572995" w:rsidP="00E8324D">
            <w:pPr>
              <w:pStyle w:val="Tablas"/>
              <w:rPr>
                <w:sz w:val="12"/>
                <w:szCs w:val="12"/>
              </w:rPr>
            </w:pPr>
            <w:r w:rsidRPr="00483EBE">
              <w:rPr>
                <w:sz w:val="12"/>
                <w:szCs w:val="12"/>
              </w:rPr>
              <w:t>$2,890</w:t>
            </w:r>
          </w:p>
        </w:tc>
        <w:tc>
          <w:tcPr>
            <w:tcW w:w="0" w:type="auto"/>
            <w:tcBorders>
              <w:top w:val="nil"/>
              <w:left w:val="nil"/>
              <w:bottom w:val="single" w:sz="4" w:space="0" w:color="auto"/>
              <w:right w:val="single" w:sz="4" w:space="0" w:color="auto"/>
            </w:tcBorders>
            <w:shd w:val="clear" w:color="auto" w:fill="auto"/>
            <w:vAlign w:val="center"/>
            <w:hideMark/>
          </w:tcPr>
          <w:p w14:paraId="61EBCE89"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2E5F482B"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86070C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6D2CC32"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1FF06E76" w14:textId="77777777" w:rsidR="00572995" w:rsidRPr="00483EBE" w:rsidRDefault="00572995" w:rsidP="00E8324D">
            <w:pPr>
              <w:pStyle w:val="Tablas"/>
              <w:rPr>
                <w:sz w:val="12"/>
                <w:szCs w:val="12"/>
              </w:rPr>
            </w:pPr>
            <w:r w:rsidRPr="00483EBE">
              <w:rPr>
                <w:sz w:val="12"/>
                <w:szCs w:val="12"/>
              </w:rPr>
              <w:t xml:space="preserve">66 </w:t>
            </w:r>
          </w:p>
        </w:tc>
        <w:tc>
          <w:tcPr>
            <w:tcW w:w="0" w:type="auto"/>
            <w:tcBorders>
              <w:top w:val="nil"/>
              <w:left w:val="nil"/>
              <w:bottom w:val="single" w:sz="4" w:space="0" w:color="auto"/>
              <w:right w:val="single" w:sz="4" w:space="0" w:color="auto"/>
            </w:tcBorders>
            <w:shd w:val="clear" w:color="auto" w:fill="auto"/>
            <w:vAlign w:val="center"/>
            <w:hideMark/>
          </w:tcPr>
          <w:p w14:paraId="65CA659A" w14:textId="77777777" w:rsidR="00572995" w:rsidRPr="00483EBE" w:rsidRDefault="00572995" w:rsidP="00E8324D">
            <w:pPr>
              <w:pStyle w:val="Tablas"/>
              <w:rPr>
                <w:sz w:val="12"/>
                <w:szCs w:val="12"/>
              </w:rPr>
            </w:pPr>
            <w:r w:rsidRPr="00483EBE">
              <w:rPr>
                <w:sz w:val="12"/>
                <w:szCs w:val="12"/>
              </w:rPr>
              <w:t>$235,255</w:t>
            </w:r>
          </w:p>
        </w:tc>
        <w:tc>
          <w:tcPr>
            <w:tcW w:w="0" w:type="auto"/>
            <w:tcBorders>
              <w:top w:val="nil"/>
              <w:left w:val="nil"/>
              <w:bottom w:val="single" w:sz="4" w:space="0" w:color="auto"/>
              <w:right w:val="single" w:sz="4" w:space="0" w:color="auto"/>
            </w:tcBorders>
            <w:shd w:val="clear" w:color="auto" w:fill="auto"/>
            <w:vAlign w:val="center"/>
            <w:hideMark/>
          </w:tcPr>
          <w:p w14:paraId="20A8C2C1" w14:textId="77777777" w:rsidR="00572995" w:rsidRPr="00483EBE" w:rsidRDefault="00572995" w:rsidP="00E8324D">
            <w:pPr>
              <w:pStyle w:val="Tablas"/>
              <w:rPr>
                <w:sz w:val="12"/>
                <w:szCs w:val="12"/>
              </w:rPr>
            </w:pPr>
            <w:r w:rsidRPr="00483EBE">
              <w:rPr>
                <w:sz w:val="12"/>
                <w:szCs w:val="12"/>
              </w:rPr>
              <w:t>$3,564</w:t>
            </w:r>
          </w:p>
        </w:tc>
        <w:tc>
          <w:tcPr>
            <w:tcW w:w="0" w:type="auto"/>
            <w:tcBorders>
              <w:top w:val="nil"/>
              <w:left w:val="nil"/>
              <w:bottom w:val="single" w:sz="4" w:space="0" w:color="auto"/>
              <w:right w:val="single" w:sz="4" w:space="0" w:color="auto"/>
            </w:tcBorders>
            <w:shd w:val="clear" w:color="auto" w:fill="auto"/>
            <w:vAlign w:val="center"/>
            <w:hideMark/>
          </w:tcPr>
          <w:p w14:paraId="0544189E" w14:textId="77777777" w:rsidR="00572995" w:rsidRPr="00483EBE" w:rsidRDefault="00572995" w:rsidP="00E8324D">
            <w:pPr>
              <w:pStyle w:val="Tablas"/>
              <w:rPr>
                <w:sz w:val="12"/>
                <w:szCs w:val="12"/>
              </w:rPr>
            </w:pPr>
            <w:r w:rsidRPr="00483EBE">
              <w:rPr>
                <w:sz w:val="12"/>
                <w:szCs w:val="12"/>
              </w:rPr>
              <w:t>$297</w:t>
            </w:r>
          </w:p>
        </w:tc>
        <w:tc>
          <w:tcPr>
            <w:tcW w:w="0" w:type="auto"/>
            <w:tcBorders>
              <w:top w:val="nil"/>
              <w:left w:val="nil"/>
              <w:bottom w:val="single" w:sz="4" w:space="0" w:color="auto"/>
              <w:right w:val="single" w:sz="4" w:space="0" w:color="auto"/>
            </w:tcBorders>
            <w:shd w:val="clear" w:color="auto" w:fill="auto"/>
            <w:vAlign w:val="center"/>
            <w:hideMark/>
          </w:tcPr>
          <w:p w14:paraId="2071293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046BEDB" w14:textId="77777777" w:rsidR="00572995" w:rsidRPr="00483EBE" w:rsidRDefault="00572995" w:rsidP="00E8324D">
            <w:pPr>
              <w:pStyle w:val="Tablas"/>
              <w:rPr>
                <w:sz w:val="12"/>
                <w:szCs w:val="12"/>
              </w:rPr>
            </w:pPr>
            <w:r w:rsidRPr="00483EBE">
              <w:rPr>
                <w:sz w:val="12"/>
                <w:szCs w:val="12"/>
              </w:rPr>
              <w:t>SEBD</w:t>
            </w:r>
          </w:p>
        </w:tc>
      </w:tr>
      <w:tr w:rsidR="00572995" w:rsidRPr="00483EBE" w14:paraId="05DE05B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36E042E"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4EA32403" w14:textId="77777777" w:rsidR="00572995" w:rsidRPr="00483EBE" w:rsidRDefault="00572995" w:rsidP="00E8324D">
            <w:pPr>
              <w:pStyle w:val="Tablas"/>
              <w:rPr>
                <w:sz w:val="12"/>
                <w:szCs w:val="12"/>
              </w:rPr>
            </w:pPr>
            <w:r w:rsidRPr="00483EBE">
              <w:rPr>
                <w:sz w:val="12"/>
                <w:szCs w:val="12"/>
              </w:rPr>
              <w:t xml:space="preserve">588 </w:t>
            </w:r>
          </w:p>
        </w:tc>
        <w:tc>
          <w:tcPr>
            <w:tcW w:w="0" w:type="auto"/>
            <w:tcBorders>
              <w:top w:val="nil"/>
              <w:left w:val="nil"/>
              <w:bottom w:val="single" w:sz="4" w:space="0" w:color="auto"/>
              <w:right w:val="single" w:sz="4" w:space="0" w:color="auto"/>
            </w:tcBorders>
            <w:shd w:val="clear" w:color="auto" w:fill="auto"/>
            <w:vAlign w:val="center"/>
            <w:hideMark/>
          </w:tcPr>
          <w:p w14:paraId="63A975FB" w14:textId="77777777" w:rsidR="00572995" w:rsidRPr="00483EBE" w:rsidRDefault="00572995" w:rsidP="00E8324D">
            <w:pPr>
              <w:pStyle w:val="Tablas"/>
              <w:rPr>
                <w:sz w:val="12"/>
                <w:szCs w:val="12"/>
              </w:rPr>
            </w:pPr>
            <w:r w:rsidRPr="00483EBE">
              <w:rPr>
                <w:sz w:val="12"/>
                <w:szCs w:val="12"/>
              </w:rPr>
              <w:t>$1,847,422</w:t>
            </w:r>
          </w:p>
        </w:tc>
        <w:tc>
          <w:tcPr>
            <w:tcW w:w="0" w:type="auto"/>
            <w:tcBorders>
              <w:top w:val="nil"/>
              <w:left w:val="nil"/>
              <w:bottom w:val="single" w:sz="4" w:space="0" w:color="auto"/>
              <w:right w:val="single" w:sz="4" w:space="0" w:color="auto"/>
            </w:tcBorders>
            <w:shd w:val="clear" w:color="auto" w:fill="auto"/>
            <w:vAlign w:val="center"/>
            <w:hideMark/>
          </w:tcPr>
          <w:p w14:paraId="772017CA" w14:textId="77777777" w:rsidR="00572995" w:rsidRPr="00483EBE" w:rsidRDefault="00572995" w:rsidP="00E8324D">
            <w:pPr>
              <w:pStyle w:val="Tablas"/>
              <w:rPr>
                <w:sz w:val="12"/>
                <w:szCs w:val="12"/>
              </w:rPr>
            </w:pPr>
            <w:r w:rsidRPr="00483EBE">
              <w:rPr>
                <w:sz w:val="12"/>
                <w:szCs w:val="12"/>
              </w:rPr>
              <w:t>$3,142</w:t>
            </w:r>
          </w:p>
        </w:tc>
        <w:tc>
          <w:tcPr>
            <w:tcW w:w="0" w:type="auto"/>
            <w:tcBorders>
              <w:top w:val="nil"/>
              <w:left w:val="nil"/>
              <w:bottom w:val="single" w:sz="4" w:space="0" w:color="auto"/>
              <w:right w:val="single" w:sz="4" w:space="0" w:color="auto"/>
            </w:tcBorders>
            <w:shd w:val="clear" w:color="auto" w:fill="auto"/>
            <w:vAlign w:val="center"/>
            <w:hideMark/>
          </w:tcPr>
          <w:p w14:paraId="253D9905" w14:textId="77777777" w:rsidR="00572995" w:rsidRPr="00483EBE" w:rsidRDefault="00572995" w:rsidP="00E8324D">
            <w:pPr>
              <w:pStyle w:val="Tablas"/>
              <w:rPr>
                <w:sz w:val="12"/>
                <w:szCs w:val="12"/>
              </w:rPr>
            </w:pPr>
            <w:r w:rsidRPr="00483EBE">
              <w:rPr>
                <w:sz w:val="12"/>
                <w:szCs w:val="12"/>
              </w:rPr>
              <w:t>$262</w:t>
            </w:r>
          </w:p>
        </w:tc>
        <w:tc>
          <w:tcPr>
            <w:tcW w:w="0" w:type="auto"/>
            <w:tcBorders>
              <w:top w:val="nil"/>
              <w:left w:val="nil"/>
              <w:bottom w:val="single" w:sz="4" w:space="0" w:color="auto"/>
              <w:right w:val="single" w:sz="4" w:space="0" w:color="auto"/>
            </w:tcBorders>
            <w:shd w:val="clear" w:color="auto" w:fill="auto"/>
            <w:vAlign w:val="center"/>
            <w:hideMark/>
          </w:tcPr>
          <w:p w14:paraId="47241960"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EEE596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E9BDD5"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2A246B4C" w14:textId="77777777" w:rsidR="00572995" w:rsidRPr="00483EBE" w:rsidRDefault="00572995" w:rsidP="00E8324D">
            <w:pPr>
              <w:pStyle w:val="Tablas"/>
              <w:rPr>
                <w:sz w:val="12"/>
                <w:szCs w:val="12"/>
              </w:rPr>
            </w:pPr>
            <w:r w:rsidRPr="00483EBE">
              <w:rPr>
                <w:sz w:val="12"/>
                <w:szCs w:val="12"/>
              </w:rPr>
              <w:t xml:space="preserve">52 </w:t>
            </w:r>
          </w:p>
        </w:tc>
        <w:tc>
          <w:tcPr>
            <w:tcW w:w="0" w:type="auto"/>
            <w:tcBorders>
              <w:top w:val="nil"/>
              <w:left w:val="nil"/>
              <w:bottom w:val="single" w:sz="4" w:space="0" w:color="auto"/>
              <w:right w:val="single" w:sz="4" w:space="0" w:color="auto"/>
            </w:tcBorders>
            <w:shd w:val="clear" w:color="auto" w:fill="auto"/>
            <w:vAlign w:val="center"/>
            <w:hideMark/>
          </w:tcPr>
          <w:p w14:paraId="5235110F" w14:textId="77777777" w:rsidR="00572995" w:rsidRPr="00483EBE" w:rsidRDefault="00572995" w:rsidP="00E8324D">
            <w:pPr>
              <w:pStyle w:val="Tablas"/>
              <w:rPr>
                <w:sz w:val="12"/>
                <w:szCs w:val="12"/>
              </w:rPr>
            </w:pPr>
            <w:r w:rsidRPr="00483EBE">
              <w:rPr>
                <w:sz w:val="12"/>
                <w:szCs w:val="12"/>
              </w:rPr>
              <w:t>$202,989</w:t>
            </w:r>
          </w:p>
        </w:tc>
        <w:tc>
          <w:tcPr>
            <w:tcW w:w="0" w:type="auto"/>
            <w:tcBorders>
              <w:top w:val="nil"/>
              <w:left w:val="nil"/>
              <w:bottom w:val="single" w:sz="4" w:space="0" w:color="auto"/>
              <w:right w:val="single" w:sz="4" w:space="0" w:color="auto"/>
            </w:tcBorders>
            <w:shd w:val="clear" w:color="auto" w:fill="auto"/>
            <w:vAlign w:val="center"/>
            <w:hideMark/>
          </w:tcPr>
          <w:p w14:paraId="58DC4D1B" w14:textId="77777777" w:rsidR="00572995" w:rsidRPr="00483EBE" w:rsidRDefault="00572995" w:rsidP="00E8324D">
            <w:pPr>
              <w:pStyle w:val="Tablas"/>
              <w:rPr>
                <w:sz w:val="12"/>
                <w:szCs w:val="12"/>
              </w:rPr>
            </w:pPr>
            <w:r w:rsidRPr="00483EBE">
              <w:rPr>
                <w:sz w:val="12"/>
                <w:szCs w:val="12"/>
              </w:rPr>
              <w:t>$3,904</w:t>
            </w:r>
          </w:p>
        </w:tc>
        <w:tc>
          <w:tcPr>
            <w:tcW w:w="0" w:type="auto"/>
            <w:tcBorders>
              <w:top w:val="nil"/>
              <w:left w:val="nil"/>
              <w:bottom w:val="single" w:sz="4" w:space="0" w:color="auto"/>
              <w:right w:val="single" w:sz="4" w:space="0" w:color="auto"/>
            </w:tcBorders>
            <w:shd w:val="clear" w:color="auto" w:fill="auto"/>
            <w:vAlign w:val="center"/>
            <w:hideMark/>
          </w:tcPr>
          <w:p w14:paraId="1686EACA" w14:textId="77777777" w:rsidR="00572995" w:rsidRPr="00483EBE" w:rsidRDefault="00572995" w:rsidP="00E8324D">
            <w:pPr>
              <w:pStyle w:val="Tablas"/>
              <w:rPr>
                <w:sz w:val="12"/>
                <w:szCs w:val="12"/>
              </w:rPr>
            </w:pPr>
            <w:r w:rsidRPr="00483EBE">
              <w:rPr>
                <w:sz w:val="12"/>
                <w:szCs w:val="12"/>
              </w:rPr>
              <w:t>$325</w:t>
            </w:r>
          </w:p>
        </w:tc>
        <w:tc>
          <w:tcPr>
            <w:tcW w:w="0" w:type="auto"/>
            <w:tcBorders>
              <w:top w:val="nil"/>
              <w:left w:val="nil"/>
              <w:bottom w:val="single" w:sz="4" w:space="0" w:color="auto"/>
              <w:right w:val="single" w:sz="4" w:space="0" w:color="auto"/>
            </w:tcBorders>
            <w:shd w:val="clear" w:color="auto" w:fill="auto"/>
            <w:vAlign w:val="center"/>
            <w:hideMark/>
          </w:tcPr>
          <w:p w14:paraId="50EA030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C82ED7F" w14:textId="77777777" w:rsidR="00572995" w:rsidRPr="00483EBE" w:rsidRDefault="00572995" w:rsidP="00E8324D">
            <w:pPr>
              <w:pStyle w:val="Tablas"/>
              <w:rPr>
                <w:sz w:val="12"/>
                <w:szCs w:val="12"/>
              </w:rPr>
            </w:pPr>
            <w:r w:rsidRPr="00483EBE">
              <w:rPr>
                <w:sz w:val="12"/>
                <w:szCs w:val="12"/>
              </w:rPr>
              <w:t>SEBD</w:t>
            </w:r>
          </w:p>
        </w:tc>
      </w:tr>
      <w:tr w:rsidR="00572995" w:rsidRPr="00483EBE" w14:paraId="75D2294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8D2800"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F445388" w14:textId="77777777" w:rsidR="00572995" w:rsidRPr="00483EBE" w:rsidRDefault="00572995" w:rsidP="00E8324D">
            <w:pPr>
              <w:pStyle w:val="Tablas"/>
              <w:rPr>
                <w:sz w:val="12"/>
                <w:szCs w:val="12"/>
              </w:rPr>
            </w:pPr>
            <w:r w:rsidRPr="00483EBE">
              <w:rPr>
                <w:sz w:val="12"/>
                <w:szCs w:val="12"/>
              </w:rPr>
              <w:t xml:space="preserve">557 </w:t>
            </w:r>
          </w:p>
        </w:tc>
        <w:tc>
          <w:tcPr>
            <w:tcW w:w="0" w:type="auto"/>
            <w:tcBorders>
              <w:top w:val="nil"/>
              <w:left w:val="nil"/>
              <w:bottom w:val="single" w:sz="4" w:space="0" w:color="auto"/>
              <w:right w:val="single" w:sz="4" w:space="0" w:color="auto"/>
            </w:tcBorders>
            <w:shd w:val="clear" w:color="auto" w:fill="auto"/>
            <w:vAlign w:val="center"/>
            <w:hideMark/>
          </w:tcPr>
          <w:p w14:paraId="4B453F7A" w14:textId="77777777" w:rsidR="00572995" w:rsidRPr="00483EBE" w:rsidRDefault="00572995" w:rsidP="00E8324D">
            <w:pPr>
              <w:pStyle w:val="Tablas"/>
              <w:rPr>
                <w:sz w:val="12"/>
                <w:szCs w:val="12"/>
              </w:rPr>
            </w:pPr>
            <w:r w:rsidRPr="00483EBE">
              <w:rPr>
                <w:sz w:val="12"/>
                <w:szCs w:val="12"/>
              </w:rPr>
              <w:t>$1,647,024</w:t>
            </w:r>
          </w:p>
        </w:tc>
        <w:tc>
          <w:tcPr>
            <w:tcW w:w="0" w:type="auto"/>
            <w:tcBorders>
              <w:top w:val="nil"/>
              <w:left w:val="nil"/>
              <w:bottom w:val="single" w:sz="4" w:space="0" w:color="auto"/>
              <w:right w:val="single" w:sz="4" w:space="0" w:color="auto"/>
            </w:tcBorders>
            <w:shd w:val="clear" w:color="auto" w:fill="auto"/>
            <w:vAlign w:val="center"/>
            <w:hideMark/>
          </w:tcPr>
          <w:p w14:paraId="3AA11891" w14:textId="77777777" w:rsidR="00572995" w:rsidRPr="00483EBE" w:rsidRDefault="00572995" w:rsidP="00E8324D">
            <w:pPr>
              <w:pStyle w:val="Tablas"/>
              <w:rPr>
                <w:sz w:val="12"/>
                <w:szCs w:val="12"/>
              </w:rPr>
            </w:pPr>
            <w:r w:rsidRPr="00483EBE">
              <w:rPr>
                <w:sz w:val="12"/>
                <w:szCs w:val="12"/>
              </w:rPr>
              <w:t>$2,957</w:t>
            </w:r>
          </w:p>
        </w:tc>
        <w:tc>
          <w:tcPr>
            <w:tcW w:w="0" w:type="auto"/>
            <w:tcBorders>
              <w:top w:val="nil"/>
              <w:left w:val="nil"/>
              <w:bottom w:val="single" w:sz="4" w:space="0" w:color="auto"/>
              <w:right w:val="single" w:sz="4" w:space="0" w:color="auto"/>
            </w:tcBorders>
            <w:shd w:val="clear" w:color="auto" w:fill="auto"/>
            <w:vAlign w:val="center"/>
            <w:hideMark/>
          </w:tcPr>
          <w:p w14:paraId="51384612" w14:textId="77777777" w:rsidR="00572995" w:rsidRPr="00483EBE" w:rsidRDefault="00572995" w:rsidP="00E8324D">
            <w:pPr>
              <w:pStyle w:val="Tablas"/>
              <w:rPr>
                <w:sz w:val="12"/>
                <w:szCs w:val="12"/>
              </w:rPr>
            </w:pPr>
            <w:r w:rsidRPr="00483EBE">
              <w:rPr>
                <w:sz w:val="12"/>
                <w:szCs w:val="12"/>
              </w:rPr>
              <w:t>$246</w:t>
            </w:r>
          </w:p>
        </w:tc>
        <w:tc>
          <w:tcPr>
            <w:tcW w:w="0" w:type="auto"/>
            <w:tcBorders>
              <w:top w:val="nil"/>
              <w:left w:val="nil"/>
              <w:bottom w:val="single" w:sz="4" w:space="0" w:color="auto"/>
              <w:right w:val="single" w:sz="4" w:space="0" w:color="auto"/>
            </w:tcBorders>
            <w:shd w:val="clear" w:color="auto" w:fill="auto"/>
            <w:vAlign w:val="center"/>
            <w:hideMark/>
          </w:tcPr>
          <w:p w14:paraId="76E500BE"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A5A81E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D36E8D2"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0E8E689B"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084FAB26" w14:textId="77777777" w:rsidR="00572995" w:rsidRPr="00483EBE" w:rsidRDefault="00572995" w:rsidP="00E8324D">
            <w:pPr>
              <w:pStyle w:val="Tablas"/>
              <w:rPr>
                <w:sz w:val="12"/>
                <w:szCs w:val="12"/>
              </w:rPr>
            </w:pPr>
            <w:r w:rsidRPr="00483EBE">
              <w:rPr>
                <w:sz w:val="12"/>
                <w:szCs w:val="12"/>
              </w:rPr>
              <w:t>$83,957</w:t>
            </w:r>
          </w:p>
        </w:tc>
        <w:tc>
          <w:tcPr>
            <w:tcW w:w="0" w:type="auto"/>
            <w:tcBorders>
              <w:top w:val="nil"/>
              <w:left w:val="nil"/>
              <w:bottom w:val="single" w:sz="4" w:space="0" w:color="auto"/>
              <w:right w:val="single" w:sz="4" w:space="0" w:color="auto"/>
            </w:tcBorders>
            <w:shd w:val="clear" w:color="auto" w:fill="auto"/>
            <w:vAlign w:val="center"/>
            <w:hideMark/>
          </w:tcPr>
          <w:p w14:paraId="7365840E" w14:textId="77777777" w:rsidR="00572995" w:rsidRPr="00483EBE" w:rsidRDefault="00572995" w:rsidP="00E8324D">
            <w:pPr>
              <w:pStyle w:val="Tablas"/>
              <w:rPr>
                <w:sz w:val="12"/>
                <w:szCs w:val="12"/>
              </w:rPr>
            </w:pPr>
            <w:r w:rsidRPr="00483EBE">
              <w:rPr>
                <w:sz w:val="12"/>
                <w:szCs w:val="12"/>
              </w:rPr>
              <w:t>$2,799</w:t>
            </w:r>
          </w:p>
        </w:tc>
        <w:tc>
          <w:tcPr>
            <w:tcW w:w="0" w:type="auto"/>
            <w:tcBorders>
              <w:top w:val="nil"/>
              <w:left w:val="nil"/>
              <w:bottom w:val="single" w:sz="4" w:space="0" w:color="auto"/>
              <w:right w:val="single" w:sz="4" w:space="0" w:color="auto"/>
            </w:tcBorders>
            <w:shd w:val="clear" w:color="auto" w:fill="auto"/>
            <w:vAlign w:val="center"/>
            <w:hideMark/>
          </w:tcPr>
          <w:p w14:paraId="1887F038" w14:textId="77777777" w:rsidR="00572995" w:rsidRPr="00483EBE" w:rsidRDefault="00572995" w:rsidP="00E8324D">
            <w:pPr>
              <w:pStyle w:val="Tablas"/>
              <w:rPr>
                <w:sz w:val="12"/>
                <w:szCs w:val="12"/>
              </w:rPr>
            </w:pPr>
            <w:r w:rsidRPr="00483EBE">
              <w:rPr>
                <w:sz w:val="12"/>
                <w:szCs w:val="12"/>
              </w:rPr>
              <w:t>$233</w:t>
            </w:r>
          </w:p>
        </w:tc>
        <w:tc>
          <w:tcPr>
            <w:tcW w:w="0" w:type="auto"/>
            <w:tcBorders>
              <w:top w:val="nil"/>
              <w:left w:val="nil"/>
              <w:bottom w:val="single" w:sz="4" w:space="0" w:color="auto"/>
              <w:right w:val="single" w:sz="4" w:space="0" w:color="auto"/>
            </w:tcBorders>
            <w:shd w:val="clear" w:color="auto" w:fill="auto"/>
            <w:vAlign w:val="center"/>
            <w:hideMark/>
          </w:tcPr>
          <w:p w14:paraId="321753CF"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43F70045" w14:textId="77777777" w:rsidR="00572995" w:rsidRPr="00483EBE" w:rsidRDefault="00572995" w:rsidP="00E8324D">
            <w:pPr>
              <w:pStyle w:val="Tablas"/>
              <w:rPr>
                <w:sz w:val="12"/>
                <w:szCs w:val="12"/>
              </w:rPr>
            </w:pPr>
            <w:r w:rsidRPr="00483EBE">
              <w:rPr>
                <w:sz w:val="12"/>
                <w:szCs w:val="12"/>
              </w:rPr>
              <w:t>SEBD</w:t>
            </w:r>
          </w:p>
        </w:tc>
      </w:tr>
      <w:tr w:rsidR="00572995" w:rsidRPr="00483EBE" w14:paraId="341E00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85D326"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B020A2F" w14:textId="77777777" w:rsidR="00572995" w:rsidRPr="00483EBE" w:rsidRDefault="00572995" w:rsidP="00E8324D">
            <w:pPr>
              <w:pStyle w:val="Tablas"/>
              <w:rPr>
                <w:sz w:val="12"/>
                <w:szCs w:val="12"/>
              </w:rPr>
            </w:pPr>
            <w:r w:rsidRPr="00483EBE">
              <w:rPr>
                <w:sz w:val="12"/>
                <w:szCs w:val="12"/>
              </w:rPr>
              <w:t xml:space="preserve">312 </w:t>
            </w:r>
          </w:p>
        </w:tc>
        <w:tc>
          <w:tcPr>
            <w:tcW w:w="0" w:type="auto"/>
            <w:tcBorders>
              <w:top w:val="nil"/>
              <w:left w:val="nil"/>
              <w:bottom w:val="single" w:sz="4" w:space="0" w:color="auto"/>
              <w:right w:val="single" w:sz="4" w:space="0" w:color="auto"/>
            </w:tcBorders>
            <w:shd w:val="clear" w:color="auto" w:fill="auto"/>
            <w:vAlign w:val="center"/>
            <w:hideMark/>
          </w:tcPr>
          <w:p w14:paraId="384D7B73" w14:textId="77777777" w:rsidR="00572995" w:rsidRPr="00483EBE" w:rsidRDefault="00572995" w:rsidP="00E8324D">
            <w:pPr>
              <w:pStyle w:val="Tablas"/>
              <w:rPr>
                <w:sz w:val="12"/>
                <w:szCs w:val="12"/>
              </w:rPr>
            </w:pPr>
            <w:r w:rsidRPr="00483EBE">
              <w:rPr>
                <w:sz w:val="12"/>
                <w:szCs w:val="12"/>
              </w:rPr>
              <w:t>$910,871</w:t>
            </w:r>
          </w:p>
        </w:tc>
        <w:tc>
          <w:tcPr>
            <w:tcW w:w="0" w:type="auto"/>
            <w:tcBorders>
              <w:top w:val="nil"/>
              <w:left w:val="nil"/>
              <w:bottom w:val="single" w:sz="4" w:space="0" w:color="auto"/>
              <w:right w:val="single" w:sz="4" w:space="0" w:color="auto"/>
            </w:tcBorders>
            <w:shd w:val="clear" w:color="auto" w:fill="auto"/>
            <w:vAlign w:val="center"/>
            <w:hideMark/>
          </w:tcPr>
          <w:p w14:paraId="0F85C478" w14:textId="77777777" w:rsidR="00572995" w:rsidRPr="00483EBE" w:rsidRDefault="00572995" w:rsidP="00E8324D">
            <w:pPr>
              <w:pStyle w:val="Tablas"/>
              <w:rPr>
                <w:sz w:val="12"/>
                <w:szCs w:val="12"/>
              </w:rPr>
            </w:pPr>
            <w:r w:rsidRPr="00483EBE">
              <w:rPr>
                <w:sz w:val="12"/>
                <w:szCs w:val="12"/>
              </w:rPr>
              <w:t>$2,919</w:t>
            </w:r>
          </w:p>
        </w:tc>
        <w:tc>
          <w:tcPr>
            <w:tcW w:w="0" w:type="auto"/>
            <w:tcBorders>
              <w:top w:val="nil"/>
              <w:left w:val="nil"/>
              <w:bottom w:val="single" w:sz="4" w:space="0" w:color="auto"/>
              <w:right w:val="single" w:sz="4" w:space="0" w:color="auto"/>
            </w:tcBorders>
            <w:shd w:val="clear" w:color="auto" w:fill="auto"/>
            <w:vAlign w:val="center"/>
            <w:hideMark/>
          </w:tcPr>
          <w:p w14:paraId="19CEF355"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3359BF26"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506E24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23B6F4"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92E7D78"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77901B5D" w14:textId="77777777" w:rsidR="00572995" w:rsidRPr="00483EBE" w:rsidRDefault="00572995" w:rsidP="00E8324D">
            <w:pPr>
              <w:pStyle w:val="Tablas"/>
              <w:rPr>
                <w:sz w:val="12"/>
                <w:szCs w:val="12"/>
              </w:rPr>
            </w:pPr>
            <w:r w:rsidRPr="00483EBE">
              <w:rPr>
                <w:sz w:val="12"/>
                <w:szCs w:val="12"/>
              </w:rPr>
              <w:t>$99,131</w:t>
            </w:r>
          </w:p>
        </w:tc>
        <w:tc>
          <w:tcPr>
            <w:tcW w:w="0" w:type="auto"/>
            <w:tcBorders>
              <w:top w:val="nil"/>
              <w:left w:val="nil"/>
              <w:bottom w:val="single" w:sz="4" w:space="0" w:color="auto"/>
              <w:right w:val="single" w:sz="4" w:space="0" w:color="auto"/>
            </w:tcBorders>
            <w:shd w:val="clear" w:color="auto" w:fill="auto"/>
            <w:vAlign w:val="center"/>
            <w:hideMark/>
          </w:tcPr>
          <w:p w14:paraId="6E76B685" w14:textId="77777777" w:rsidR="00572995" w:rsidRPr="00483EBE" w:rsidRDefault="00572995" w:rsidP="00E8324D">
            <w:pPr>
              <w:pStyle w:val="Tablas"/>
              <w:rPr>
                <w:sz w:val="12"/>
                <w:szCs w:val="12"/>
              </w:rPr>
            </w:pPr>
            <w:r w:rsidRPr="00483EBE">
              <w:rPr>
                <w:sz w:val="12"/>
                <w:szCs w:val="12"/>
              </w:rPr>
              <w:t>$4,130</w:t>
            </w:r>
          </w:p>
        </w:tc>
        <w:tc>
          <w:tcPr>
            <w:tcW w:w="0" w:type="auto"/>
            <w:tcBorders>
              <w:top w:val="nil"/>
              <w:left w:val="nil"/>
              <w:bottom w:val="single" w:sz="4" w:space="0" w:color="auto"/>
              <w:right w:val="single" w:sz="4" w:space="0" w:color="auto"/>
            </w:tcBorders>
            <w:shd w:val="clear" w:color="auto" w:fill="auto"/>
            <w:vAlign w:val="center"/>
            <w:hideMark/>
          </w:tcPr>
          <w:p w14:paraId="5B44F058" w14:textId="77777777" w:rsidR="00572995" w:rsidRPr="00483EBE" w:rsidRDefault="00572995" w:rsidP="00E8324D">
            <w:pPr>
              <w:pStyle w:val="Tablas"/>
              <w:rPr>
                <w:sz w:val="12"/>
                <w:szCs w:val="12"/>
              </w:rPr>
            </w:pPr>
            <w:r w:rsidRPr="00483EBE">
              <w:rPr>
                <w:sz w:val="12"/>
                <w:szCs w:val="12"/>
              </w:rPr>
              <w:t>$344</w:t>
            </w:r>
          </w:p>
        </w:tc>
        <w:tc>
          <w:tcPr>
            <w:tcW w:w="0" w:type="auto"/>
            <w:tcBorders>
              <w:top w:val="nil"/>
              <w:left w:val="nil"/>
              <w:bottom w:val="single" w:sz="4" w:space="0" w:color="auto"/>
              <w:right w:val="single" w:sz="4" w:space="0" w:color="auto"/>
            </w:tcBorders>
            <w:shd w:val="clear" w:color="auto" w:fill="auto"/>
            <w:vAlign w:val="center"/>
            <w:hideMark/>
          </w:tcPr>
          <w:p w14:paraId="7EC54CB0"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721BEB47" w14:textId="77777777" w:rsidR="00572995" w:rsidRPr="00483EBE" w:rsidRDefault="00572995" w:rsidP="00E8324D">
            <w:pPr>
              <w:pStyle w:val="Tablas"/>
              <w:rPr>
                <w:sz w:val="12"/>
                <w:szCs w:val="12"/>
              </w:rPr>
            </w:pPr>
            <w:r w:rsidRPr="00483EBE">
              <w:rPr>
                <w:sz w:val="12"/>
                <w:szCs w:val="12"/>
              </w:rPr>
              <w:t>SEBD</w:t>
            </w:r>
          </w:p>
        </w:tc>
      </w:tr>
      <w:tr w:rsidR="00572995" w:rsidRPr="00483EBE" w14:paraId="2C25D61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F2C78E"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65DE7E55" w14:textId="77777777" w:rsidR="00572995" w:rsidRPr="00483EBE" w:rsidRDefault="00572995" w:rsidP="00E8324D">
            <w:pPr>
              <w:pStyle w:val="Tablas"/>
              <w:rPr>
                <w:sz w:val="12"/>
                <w:szCs w:val="12"/>
              </w:rPr>
            </w:pPr>
            <w:r w:rsidRPr="00483EBE">
              <w:rPr>
                <w:sz w:val="12"/>
                <w:szCs w:val="12"/>
              </w:rPr>
              <w:t xml:space="preserve">242 </w:t>
            </w:r>
          </w:p>
        </w:tc>
        <w:tc>
          <w:tcPr>
            <w:tcW w:w="0" w:type="auto"/>
            <w:tcBorders>
              <w:top w:val="nil"/>
              <w:left w:val="nil"/>
              <w:bottom w:val="single" w:sz="4" w:space="0" w:color="auto"/>
              <w:right w:val="single" w:sz="4" w:space="0" w:color="auto"/>
            </w:tcBorders>
            <w:shd w:val="clear" w:color="auto" w:fill="auto"/>
            <w:vAlign w:val="center"/>
            <w:hideMark/>
          </w:tcPr>
          <w:p w14:paraId="23A16483" w14:textId="77777777" w:rsidR="00572995" w:rsidRPr="00483EBE" w:rsidRDefault="00572995" w:rsidP="00E8324D">
            <w:pPr>
              <w:pStyle w:val="Tablas"/>
              <w:rPr>
                <w:sz w:val="12"/>
                <w:szCs w:val="12"/>
              </w:rPr>
            </w:pPr>
            <w:r w:rsidRPr="00483EBE">
              <w:rPr>
                <w:sz w:val="12"/>
                <w:szCs w:val="12"/>
              </w:rPr>
              <w:t>$685,794</w:t>
            </w:r>
          </w:p>
        </w:tc>
        <w:tc>
          <w:tcPr>
            <w:tcW w:w="0" w:type="auto"/>
            <w:tcBorders>
              <w:top w:val="nil"/>
              <w:left w:val="nil"/>
              <w:bottom w:val="single" w:sz="4" w:space="0" w:color="auto"/>
              <w:right w:val="single" w:sz="4" w:space="0" w:color="auto"/>
            </w:tcBorders>
            <w:shd w:val="clear" w:color="auto" w:fill="auto"/>
            <w:vAlign w:val="center"/>
            <w:hideMark/>
          </w:tcPr>
          <w:p w14:paraId="0199C312" w14:textId="77777777" w:rsidR="00572995" w:rsidRPr="00483EBE" w:rsidRDefault="00572995" w:rsidP="00E8324D">
            <w:pPr>
              <w:pStyle w:val="Tablas"/>
              <w:rPr>
                <w:sz w:val="12"/>
                <w:szCs w:val="12"/>
              </w:rPr>
            </w:pPr>
            <w:r w:rsidRPr="00483EBE">
              <w:rPr>
                <w:sz w:val="12"/>
                <w:szCs w:val="12"/>
              </w:rPr>
              <w:t>$2,834</w:t>
            </w:r>
          </w:p>
        </w:tc>
        <w:tc>
          <w:tcPr>
            <w:tcW w:w="0" w:type="auto"/>
            <w:tcBorders>
              <w:top w:val="nil"/>
              <w:left w:val="nil"/>
              <w:bottom w:val="single" w:sz="4" w:space="0" w:color="auto"/>
              <w:right w:val="single" w:sz="4" w:space="0" w:color="auto"/>
            </w:tcBorders>
            <w:shd w:val="clear" w:color="auto" w:fill="auto"/>
            <w:vAlign w:val="center"/>
            <w:hideMark/>
          </w:tcPr>
          <w:p w14:paraId="02DD35FA" w14:textId="77777777" w:rsidR="00572995" w:rsidRPr="00483EBE" w:rsidRDefault="00572995" w:rsidP="00E8324D">
            <w:pPr>
              <w:pStyle w:val="Tablas"/>
              <w:rPr>
                <w:sz w:val="12"/>
                <w:szCs w:val="12"/>
              </w:rPr>
            </w:pPr>
            <w:r w:rsidRPr="00483EBE">
              <w:rPr>
                <w:sz w:val="12"/>
                <w:szCs w:val="12"/>
              </w:rPr>
              <w:t>$236</w:t>
            </w:r>
          </w:p>
        </w:tc>
        <w:tc>
          <w:tcPr>
            <w:tcW w:w="0" w:type="auto"/>
            <w:tcBorders>
              <w:top w:val="nil"/>
              <w:left w:val="nil"/>
              <w:bottom w:val="single" w:sz="4" w:space="0" w:color="auto"/>
              <w:right w:val="single" w:sz="4" w:space="0" w:color="auto"/>
            </w:tcBorders>
            <w:shd w:val="clear" w:color="auto" w:fill="auto"/>
            <w:vAlign w:val="center"/>
            <w:hideMark/>
          </w:tcPr>
          <w:p w14:paraId="7B6C6048"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07B692C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22A3ECE"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9B81C22"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171C2025" w14:textId="77777777" w:rsidR="00572995" w:rsidRPr="00483EBE" w:rsidRDefault="00572995" w:rsidP="00E8324D">
            <w:pPr>
              <w:pStyle w:val="Tablas"/>
              <w:rPr>
                <w:sz w:val="12"/>
                <w:szCs w:val="12"/>
              </w:rPr>
            </w:pPr>
            <w:r w:rsidRPr="00483EBE">
              <w:rPr>
                <w:sz w:val="12"/>
                <w:szCs w:val="12"/>
              </w:rPr>
              <w:t>$101,754</w:t>
            </w:r>
          </w:p>
        </w:tc>
        <w:tc>
          <w:tcPr>
            <w:tcW w:w="0" w:type="auto"/>
            <w:tcBorders>
              <w:top w:val="nil"/>
              <w:left w:val="nil"/>
              <w:bottom w:val="single" w:sz="4" w:space="0" w:color="auto"/>
              <w:right w:val="single" w:sz="4" w:space="0" w:color="auto"/>
            </w:tcBorders>
            <w:shd w:val="clear" w:color="auto" w:fill="auto"/>
            <w:vAlign w:val="center"/>
            <w:hideMark/>
          </w:tcPr>
          <w:p w14:paraId="2D09E31D" w14:textId="77777777" w:rsidR="00572995" w:rsidRPr="00483EBE" w:rsidRDefault="00572995" w:rsidP="00E8324D">
            <w:pPr>
              <w:pStyle w:val="Tablas"/>
              <w:rPr>
                <w:sz w:val="12"/>
                <w:szCs w:val="12"/>
              </w:rPr>
            </w:pPr>
            <w:r w:rsidRPr="00483EBE">
              <w:rPr>
                <w:sz w:val="12"/>
                <w:szCs w:val="12"/>
              </w:rPr>
              <w:t>$3,769</w:t>
            </w:r>
          </w:p>
        </w:tc>
        <w:tc>
          <w:tcPr>
            <w:tcW w:w="0" w:type="auto"/>
            <w:tcBorders>
              <w:top w:val="nil"/>
              <w:left w:val="nil"/>
              <w:bottom w:val="single" w:sz="4" w:space="0" w:color="auto"/>
              <w:right w:val="single" w:sz="4" w:space="0" w:color="auto"/>
            </w:tcBorders>
            <w:shd w:val="clear" w:color="auto" w:fill="auto"/>
            <w:vAlign w:val="center"/>
            <w:hideMark/>
          </w:tcPr>
          <w:p w14:paraId="6F5AA7CC" w14:textId="77777777" w:rsidR="00572995" w:rsidRPr="00483EBE" w:rsidRDefault="00572995" w:rsidP="00E8324D">
            <w:pPr>
              <w:pStyle w:val="Tablas"/>
              <w:rPr>
                <w:sz w:val="12"/>
                <w:szCs w:val="12"/>
              </w:rPr>
            </w:pPr>
            <w:r w:rsidRPr="00483EBE">
              <w:rPr>
                <w:sz w:val="12"/>
                <w:szCs w:val="12"/>
              </w:rPr>
              <w:t>$314</w:t>
            </w:r>
          </w:p>
        </w:tc>
        <w:tc>
          <w:tcPr>
            <w:tcW w:w="0" w:type="auto"/>
            <w:tcBorders>
              <w:top w:val="nil"/>
              <w:left w:val="nil"/>
              <w:bottom w:val="single" w:sz="4" w:space="0" w:color="auto"/>
              <w:right w:val="single" w:sz="4" w:space="0" w:color="auto"/>
            </w:tcBorders>
            <w:shd w:val="clear" w:color="auto" w:fill="auto"/>
            <w:vAlign w:val="center"/>
            <w:hideMark/>
          </w:tcPr>
          <w:p w14:paraId="03E43C44"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65E8B99E" w14:textId="77777777" w:rsidR="00572995" w:rsidRPr="00483EBE" w:rsidRDefault="00572995" w:rsidP="00E8324D">
            <w:pPr>
              <w:pStyle w:val="Tablas"/>
              <w:rPr>
                <w:sz w:val="12"/>
                <w:szCs w:val="12"/>
              </w:rPr>
            </w:pPr>
            <w:r w:rsidRPr="00483EBE">
              <w:rPr>
                <w:sz w:val="12"/>
                <w:szCs w:val="12"/>
              </w:rPr>
              <w:t>SEBD</w:t>
            </w:r>
          </w:p>
        </w:tc>
      </w:tr>
      <w:tr w:rsidR="00572995" w:rsidRPr="00483EBE" w14:paraId="187DFC3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292F537"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1AD6160D" w14:textId="77777777" w:rsidR="00572995" w:rsidRPr="00483EBE" w:rsidRDefault="00572995" w:rsidP="00E8324D">
            <w:pPr>
              <w:pStyle w:val="Tablas"/>
              <w:rPr>
                <w:sz w:val="12"/>
                <w:szCs w:val="12"/>
              </w:rPr>
            </w:pPr>
            <w:r w:rsidRPr="00483EBE">
              <w:rPr>
                <w:sz w:val="12"/>
                <w:szCs w:val="12"/>
              </w:rPr>
              <w:t xml:space="preserve">175 </w:t>
            </w:r>
          </w:p>
        </w:tc>
        <w:tc>
          <w:tcPr>
            <w:tcW w:w="0" w:type="auto"/>
            <w:tcBorders>
              <w:top w:val="nil"/>
              <w:left w:val="nil"/>
              <w:bottom w:val="single" w:sz="4" w:space="0" w:color="auto"/>
              <w:right w:val="single" w:sz="4" w:space="0" w:color="auto"/>
            </w:tcBorders>
            <w:shd w:val="clear" w:color="auto" w:fill="auto"/>
            <w:vAlign w:val="center"/>
            <w:hideMark/>
          </w:tcPr>
          <w:p w14:paraId="2218A6C0" w14:textId="77777777" w:rsidR="00572995" w:rsidRPr="00483EBE" w:rsidRDefault="00572995" w:rsidP="00E8324D">
            <w:pPr>
              <w:pStyle w:val="Tablas"/>
              <w:rPr>
                <w:sz w:val="12"/>
                <w:szCs w:val="12"/>
              </w:rPr>
            </w:pPr>
            <w:r w:rsidRPr="00483EBE">
              <w:rPr>
                <w:sz w:val="12"/>
                <w:szCs w:val="12"/>
              </w:rPr>
              <w:t>$475,108</w:t>
            </w:r>
          </w:p>
        </w:tc>
        <w:tc>
          <w:tcPr>
            <w:tcW w:w="0" w:type="auto"/>
            <w:tcBorders>
              <w:top w:val="nil"/>
              <w:left w:val="nil"/>
              <w:bottom w:val="single" w:sz="4" w:space="0" w:color="auto"/>
              <w:right w:val="single" w:sz="4" w:space="0" w:color="auto"/>
            </w:tcBorders>
            <w:shd w:val="clear" w:color="auto" w:fill="auto"/>
            <w:vAlign w:val="center"/>
            <w:hideMark/>
          </w:tcPr>
          <w:p w14:paraId="26C1C5CE" w14:textId="77777777" w:rsidR="00572995" w:rsidRPr="00483EBE" w:rsidRDefault="00572995" w:rsidP="00E8324D">
            <w:pPr>
              <w:pStyle w:val="Tablas"/>
              <w:rPr>
                <w:sz w:val="12"/>
                <w:szCs w:val="12"/>
              </w:rPr>
            </w:pPr>
            <w:r w:rsidRPr="00483EBE">
              <w:rPr>
                <w:sz w:val="12"/>
                <w:szCs w:val="12"/>
              </w:rPr>
              <w:t>$2,715</w:t>
            </w:r>
          </w:p>
        </w:tc>
        <w:tc>
          <w:tcPr>
            <w:tcW w:w="0" w:type="auto"/>
            <w:tcBorders>
              <w:top w:val="nil"/>
              <w:left w:val="nil"/>
              <w:bottom w:val="single" w:sz="4" w:space="0" w:color="auto"/>
              <w:right w:val="single" w:sz="4" w:space="0" w:color="auto"/>
            </w:tcBorders>
            <w:shd w:val="clear" w:color="auto" w:fill="auto"/>
            <w:vAlign w:val="center"/>
            <w:hideMark/>
          </w:tcPr>
          <w:p w14:paraId="72CE3032" w14:textId="77777777" w:rsidR="00572995" w:rsidRPr="00483EBE" w:rsidRDefault="00572995" w:rsidP="00E8324D">
            <w:pPr>
              <w:pStyle w:val="Tablas"/>
              <w:rPr>
                <w:sz w:val="12"/>
                <w:szCs w:val="12"/>
              </w:rPr>
            </w:pPr>
            <w:r w:rsidRPr="00483EBE">
              <w:rPr>
                <w:sz w:val="12"/>
                <w:szCs w:val="12"/>
              </w:rPr>
              <w:t>$226</w:t>
            </w:r>
          </w:p>
        </w:tc>
        <w:tc>
          <w:tcPr>
            <w:tcW w:w="0" w:type="auto"/>
            <w:tcBorders>
              <w:top w:val="nil"/>
              <w:left w:val="nil"/>
              <w:bottom w:val="single" w:sz="4" w:space="0" w:color="auto"/>
              <w:right w:val="single" w:sz="4" w:space="0" w:color="auto"/>
            </w:tcBorders>
            <w:shd w:val="clear" w:color="auto" w:fill="auto"/>
            <w:vAlign w:val="center"/>
            <w:hideMark/>
          </w:tcPr>
          <w:p w14:paraId="6B1BEF7D"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29BF7C0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2060EDB"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2D74BA22"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72156445" w14:textId="77777777" w:rsidR="00572995" w:rsidRPr="00483EBE" w:rsidRDefault="00572995" w:rsidP="00E8324D">
            <w:pPr>
              <w:pStyle w:val="Tablas"/>
              <w:rPr>
                <w:sz w:val="12"/>
                <w:szCs w:val="12"/>
              </w:rPr>
            </w:pPr>
            <w:r w:rsidRPr="00483EBE">
              <w:rPr>
                <w:sz w:val="12"/>
                <w:szCs w:val="12"/>
              </w:rPr>
              <w:t>$44,097</w:t>
            </w:r>
          </w:p>
        </w:tc>
        <w:tc>
          <w:tcPr>
            <w:tcW w:w="0" w:type="auto"/>
            <w:tcBorders>
              <w:top w:val="nil"/>
              <w:left w:val="nil"/>
              <w:bottom w:val="single" w:sz="4" w:space="0" w:color="auto"/>
              <w:right w:val="single" w:sz="4" w:space="0" w:color="auto"/>
            </w:tcBorders>
            <w:shd w:val="clear" w:color="auto" w:fill="auto"/>
            <w:vAlign w:val="center"/>
            <w:hideMark/>
          </w:tcPr>
          <w:p w14:paraId="39B49491" w14:textId="77777777" w:rsidR="00572995" w:rsidRPr="00483EBE" w:rsidRDefault="00572995" w:rsidP="00E8324D">
            <w:pPr>
              <w:pStyle w:val="Tablas"/>
              <w:rPr>
                <w:sz w:val="12"/>
                <w:szCs w:val="12"/>
              </w:rPr>
            </w:pPr>
            <w:r w:rsidRPr="00483EBE">
              <w:rPr>
                <w:sz w:val="12"/>
                <w:szCs w:val="12"/>
              </w:rPr>
              <w:t>$3,675</w:t>
            </w:r>
          </w:p>
        </w:tc>
        <w:tc>
          <w:tcPr>
            <w:tcW w:w="0" w:type="auto"/>
            <w:tcBorders>
              <w:top w:val="nil"/>
              <w:left w:val="nil"/>
              <w:bottom w:val="single" w:sz="4" w:space="0" w:color="auto"/>
              <w:right w:val="single" w:sz="4" w:space="0" w:color="auto"/>
            </w:tcBorders>
            <w:shd w:val="clear" w:color="auto" w:fill="auto"/>
            <w:vAlign w:val="center"/>
            <w:hideMark/>
          </w:tcPr>
          <w:p w14:paraId="5FB44EEC" w14:textId="77777777" w:rsidR="00572995" w:rsidRPr="00483EBE" w:rsidRDefault="00572995" w:rsidP="00E8324D">
            <w:pPr>
              <w:pStyle w:val="Tablas"/>
              <w:rPr>
                <w:sz w:val="12"/>
                <w:szCs w:val="12"/>
              </w:rPr>
            </w:pPr>
            <w:r w:rsidRPr="00483EBE">
              <w:rPr>
                <w:sz w:val="12"/>
                <w:szCs w:val="12"/>
              </w:rPr>
              <w:t>$306</w:t>
            </w:r>
          </w:p>
        </w:tc>
        <w:tc>
          <w:tcPr>
            <w:tcW w:w="0" w:type="auto"/>
            <w:tcBorders>
              <w:top w:val="nil"/>
              <w:left w:val="nil"/>
              <w:bottom w:val="single" w:sz="4" w:space="0" w:color="auto"/>
              <w:right w:val="single" w:sz="4" w:space="0" w:color="auto"/>
            </w:tcBorders>
            <w:shd w:val="clear" w:color="auto" w:fill="auto"/>
            <w:vAlign w:val="center"/>
            <w:hideMark/>
          </w:tcPr>
          <w:p w14:paraId="2344A22E"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1B0E8E83" w14:textId="77777777" w:rsidR="00572995" w:rsidRPr="00483EBE" w:rsidRDefault="00572995" w:rsidP="00E8324D">
            <w:pPr>
              <w:pStyle w:val="Tablas"/>
              <w:rPr>
                <w:sz w:val="12"/>
                <w:szCs w:val="12"/>
              </w:rPr>
            </w:pPr>
            <w:r w:rsidRPr="00483EBE">
              <w:rPr>
                <w:sz w:val="12"/>
                <w:szCs w:val="12"/>
              </w:rPr>
              <w:t>SEBD</w:t>
            </w:r>
          </w:p>
        </w:tc>
      </w:tr>
      <w:tr w:rsidR="00572995" w:rsidRPr="00483EBE" w14:paraId="7B402CA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41FF3C"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62E9632E" w14:textId="77777777" w:rsidR="00572995" w:rsidRPr="00483EBE" w:rsidRDefault="00572995" w:rsidP="00E8324D">
            <w:pPr>
              <w:pStyle w:val="Tablas"/>
              <w:rPr>
                <w:sz w:val="12"/>
                <w:szCs w:val="12"/>
              </w:rPr>
            </w:pPr>
            <w:r w:rsidRPr="00483EBE">
              <w:rPr>
                <w:sz w:val="12"/>
                <w:szCs w:val="12"/>
              </w:rPr>
              <w:t xml:space="preserve">137 </w:t>
            </w:r>
          </w:p>
        </w:tc>
        <w:tc>
          <w:tcPr>
            <w:tcW w:w="0" w:type="auto"/>
            <w:tcBorders>
              <w:top w:val="nil"/>
              <w:left w:val="nil"/>
              <w:bottom w:val="single" w:sz="4" w:space="0" w:color="auto"/>
              <w:right w:val="single" w:sz="4" w:space="0" w:color="auto"/>
            </w:tcBorders>
            <w:shd w:val="clear" w:color="auto" w:fill="auto"/>
            <w:vAlign w:val="center"/>
            <w:hideMark/>
          </w:tcPr>
          <w:p w14:paraId="2E8ED95E" w14:textId="77777777" w:rsidR="00572995" w:rsidRPr="00483EBE" w:rsidRDefault="00572995" w:rsidP="00E8324D">
            <w:pPr>
              <w:pStyle w:val="Tablas"/>
              <w:rPr>
                <w:sz w:val="12"/>
                <w:szCs w:val="12"/>
              </w:rPr>
            </w:pPr>
            <w:r w:rsidRPr="00483EBE">
              <w:rPr>
                <w:sz w:val="12"/>
                <w:szCs w:val="12"/>
              </w:rPr>
              <w:t>$389,372</w:t>
            </w:r>
          </w:p>
        </w:tc>
        <w:tc>
          <w:tcPr>
            <w:tcW w:w="0" w:type="auto"/>
            <w:tcBorders>
              <w:top w:val="nil"/>
              <w:left w:val="nil"/>
              <w:bottom w:val="single" w:sz="4" w:space="0" w:color="auto"/>
              <w:right w:val="single" w:sz="4" w:space="0" w:color="auto"/>
            </w:tcBorders>
            <w:shd w:val="clear" w:color="auto" w:fill="auto"/>
            <w:vAlign w:val="center"/>
            <w:hideMark/>
          </w:tcPr>
          <w:p w14:paraId="3935B614" w14:textId="77777777" w:rsidR="00572995" w:rsidRPr="00483EBE" w:rsidRDefault="00572995" w:rsidP="00E8324D">
            <w:pPr>
              <w:pStyle w:val="Tablas"/>
              <w:rPr>
                <w:sz w:val="12"/>
                <w:szCs w:val="12"/>
              </w:rPr>
            </w:pPr>
            <w:r w:rsidRPr="00483EBE">
              <w:rPr>
                <w:sz w:val="12"/>
                <w:szCs w:val="12"/>
              </w:rPr>
              <w:t>$2,842</w:t>
            </w:r>
          </w:p>
        </w:tc>
        <w:tc>
          <w:tcPr>
            <w:tcW w:w="0" w:type="auto"/>
            <w:tcBorders>
              <w:top w:val="nil"/>
              <w:left w:val="nil"/>
              <w:bottom w:val="single" w:sz="4" w:space="0" w:color="auto"/>
              <w:right w:val="single" w:sz="4" w:space="0" w:color="auto"/>
            </w:tcBorders>
            <w:shd w:val="clear" w:color="auto" w:fill="auto"/>
            <w:vAlign w:val="center"/>
            <w:hideMark/>
          </w:tcPr>
          <w:p w14:paraId="5C96E951" w14:textId="77777777" w:rsidR="00572995" w:rsidRPr="00483EBE" w:rsidRDefault="00572995" w:rsidP="00E8324D">
            <w:pPr>
              <w:pStyle w:val="Tablas"/>
              <w:rPr>
                <w:sz w:val="12"/>
                <w:szCs w:val="12"/>
              </w:rPr>
            </w:pPr>
            <w:r w:rsidRPr="00483EBE">
              <w:rPr>
                <w:sz w:val="12"/>
                <w:szCs w:val="12"/>
              </w:rPr>
              <w:t>$237</w:t>
            </w:r>
          </w:p>
        </w:tc>
        <w:tc>
          <w:tcPr>
            <w:tcW w:w="0" w:type="auto"/>
            <w:tcBorders>
              <w:top w:val="nil"/>
              <w:left w:val="nil"/>
              <w:bottom w:val="single" w:sz="4" w:space="0" w:color="auto"/>
              <w:right w:val="single" w:sz="4" w:space="0" w:color="auto"/>
            </w:tcBorders>
            <w:shd w:val="clear" w:color="auto" w:fill="auto"/>
            <w:vAlign w:val="center"/>
            <w:hideMark/>
          </w:tcPr>
          <w:p w14:paraId="2481B047"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E54643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9481D2"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2A451CD9"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38707637" w14:textId="77777777" w:rsidR="00572995" w:rsidRPr="00483EBE" w:rsidRDefault="00572995" w:rsidP="00E8324D">
            <w:pPr>
              <w:pStyle w:val="Tablas"/>
              <w:rPr>
                <w:sz w:val="12"/>
                <w:szCs w:val="12"/>
              </w:rPr>
            </w:pPr>
            <w:r w:rsidRPr="00483EBE">
              <w:rPr>
                <w:sz w:val="12"/>
                <w:szCs w:val="12"/>
              </w:rPr>
              <w:t>$48,016</w:t>
            </w:r>
          </w:p>
        </w:tc>
        <w:tc>
          <w:tcPr>
            <w:tcW w:w="0" w:type="auto"/>
            <w:tcBorders>
              <w:top w:val="nil"/>
              <w:left w:val="nil"/>
              <w:bottom w:val="single" w:sz="4" w:space="0" w:color="auto"/>
              <w:right w:val="single" w:sz="4" w:space="0" w:color="auto"/>
            </w:tcBorders>
            <w:shd w:val="clear" w:color="auto" w:fill="auto"/>
            <w:vAlign w:val="center"/>
            <w:hideMark/>
          </w:tcPr>
          <w:p w14:paraId="4D73FD76" w14:textId="77777777" w:rsidR="00572995" w:rsidRPr="00483EBE" w:rsidRDefault="00572995" w:rsidP="00E8324D">
            <w:pPr>
              <w:pStyle w:val="Tablas"/>
              <w:rPr>
                <w:sz w:val="12"/>
                <w:szCs w:val="12"/>
              </w:rPr>
            </w:pPr>
            <w:r w:rsidRPr="00483EBE">
              <w:rPr>
                <w:sz w:val="12"/>
                <w:szCs w:val="12"/>
              </w:rPr>
              <w:t>$3,001</w:t>
            </w:r>
          </w:p>
        </w:tc>
        <w:tc>
          <w:tcPr>
            <w:tcW w:w="0" w:type="auto"/>
            <w:tcBorders>
              <w:top w:val="nil"/>
              <w:left w:val="nil"/>
              <w:bottom w:val="single" w:sz="4" w:space="0" w:color="auto"/>
              <w:right w:val="single" w:sz="4" w:space="0" w:color="auto"/>
            </w:tcBorders>
            <w:shd w:val="clear" w:color="auto" w:fill="auto"/>
            <w:vAlign w:val="center"/>
            <w:hideMark/>
          </w:tcPr>
          <w:p w14:paraId="75CF7DC4"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3418C99B"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5FB0D76" w14:textId="77777777" w:rsidR="00572995" w:rsidRPr="00483EBE" w:rsidRDefault="00572995" w:rsidP="00E8324D">
            <w:pPr>
              <w:pStyle w:val="Tablas"/>
              <w:rPr>
                <w:sz w:val="12"/>
                <w:szCs w:val="12"/>
              </w:rPr>
            </w:pPr>
            <w:r w:rsidRPr="00483EBE">
              <w:rPr>
                <w:sz w:val="12"/>
                <w:szCs w:val="12"/>
              </w:rPr>
              <w:t>SEBD</w:t>
            </w:r>
          </w:p>
        </w:tc>
      </w:tr>
      <w:tr w:rsidR="00572995" w:rsidRPr="00483EBE" w14:paraId="73D5C98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FDD2C4"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0F8B89CA" w14:textId="77777777" w:rsidR="00572995" w:rsidRPr="00483EBE" w:rsidRDefault="00572995" w:rsidP="00E8324D">
            <w:pPr>
              <w:pStyle w:val="Tablas"/>
              <w:rPr>
                <w:sz w:val="12"/>
                <w:szCs w:val="12"/>
              </w:rPr>
            </w:pPr>
            <w:r w:rsidRPr="00483EBE">
              <w:rPr>
                <w:sz w:val="12"/>
                <w:szCs w:val="12"/>
              </w:rPr>
              <w:t xml:space="preserve">99 </w:t>
            </w:r>
          </w:p>
        </w:tc>
        <w:tc>
          <w:tcPr>
            <w:tcW w:w="0" w:type="auto"/>
            <w:tcBorders>
              <w:top w:val="nil"/>
              <w:left w:val="nil"/>
              <w:bottom w:val="single" w:sz="4" w:space="0" w:color="auto"/>
              <w:right w:val="single" w:sz="4" w:space="0" w:color="auto"/>
            </w:tcBorders>
            <w:shd w:val="clear" w:color="auto" w:fill="auto"/>
            <w:vAlign w:val="center"/>
            <w:hideMark/>
          </w:tcPr>
          <w:p w14:paraId="7731C307" w14:textId="77777777" w:rsidR="00572995" w:rsidRPr="00483EBE" w:rsidRDefault="00572995" w:rsidP="00E8324D">
            <w:pPr>
              <w:pStyle w:val="Tablas"/>
              <w:rPr>
                <w:sz w:val="12"/>
                <w:szCs w:val="12"/>
              </w:rPr>
            </w:pPr>
            <w:r w:rsidRPr="00483EBE">
              <w:rPr>
                <w:sz w:val="12"/>
                <w:szCs w:val="12"/>
              </w:rPr>
              <w:t>$273,088</w:t>
            </w:r>
          </w:p>
        </w:tc>
        <w:tc>
          <w:tcPr>
            <w:tcW w:w="0" w:type="auto"/>
            <w:tcBorders>
              <w:top w:val="nil"/>
              <w:left w:val="nil"/>
              <w:bottom w:val="single" w:sz="4" w:space="0" w:color="auto"/>
              <w:right w:val="single" w:sz="4" w:space="0" w:color="auto"/>
            </w:tcBorders>
            <w:shd w:val="clear" w:color="auto" w:fill="auto"/>
            <w:vAlign w:val="center"/>
            <w:hideMark/>
          </w:tcPr>
          <w:p w14:paraId="4B13C9AB" w14:textId="77777777" w:rsidR="00572995" w:rsidRPr="00483EBE" w:rsidRDefault="00572995" w:rsidP="00E8324D">
            <w:pPr>
              <w:pStyle w:val="Tablas"/>
              <w:rPr>
                <w:sz w:val="12"/>
                <w:szCs w:val="12"/>
              </w:rPr>
            </w:pPr>
            <w:r w:rsidRPr="00483EBE">
              <w:rPr>
                <w:sz w:val="12"/>
                <w:szCs w:val="12"/>
              </w:rPr>
              <w:t>$2,758</w:t>
            </w:r>
          </w:p>
        </w:tc>
        <w:tc>
          <w:tcPr>
            <w:tcW w:w="0" w:type="auto"/>
            <w:tcBorders>
              <w:top w:val="nil"/>
              <w:left w:val="nil"/>
              <w:bottom w:val="single" w:sz="4" w:space="0" w:color="auto"/>
              <w:right w:val="single" w:sz="4" w:space="0" w:color="auto"/>
            </w:tcBorders>
            <w:shd w:val="clear" w:color="auto" w:fill="auto"/>
            <w:vAlign w:val="center"/>
            <w:hideMark/>
          </w:tcPr>
          <w:p w14:paraId="512C9523"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36624EC2"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747449A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3AA26D"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6075F4C1"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283B830E" w14:textId="77777777" w:rsidR="00572995" w:rsidRPr="00483EBE" w:rsidRDefault="00572995" w:rsidP="00E8324D">
            <w:pPr>
              <w:pStyle w:val="Tablas"/>
              <w:rPr>
                <w:sz w:val="12"/>
                <w:szCs w:val="12"/>
              </w:rPr>
            </w:pPr>
            <w:r w:rsidRPr="00483EBE">
              <w:rPr>
                <w:sz w:val="12"/>
                <w:szCs w:val="12"/>
              </w:rPr>
              <w:t>$23,756</w:t>
            </w:r>
          </w:p>
        </w:tc>
        <w:tc>
          <w:tcPr>
            <w:tcW w:w="0" w:type="auto"/>
            <w:tcBorders>
              <w:top w:val="nil"/>
              <w:left w:val="nil"/>
              <w:bottom w:val="single" w:sz="4" w:space="0" w:color="auto"/>
              <w:right w:val="single" w:sz="4" w:space="0" w:color="auto"/>
            </w:tcBorders>
            <w:shd w:val="clear" w:color="auto" w:fill="auto"/>
            <w:vAlign w:val="center"/>
            <w:hideMark/>
          </w:tcPr>
          <w:p w14:paraId="0E1F7BFE" w14:textId="77777777" w:rsidR="00572995" w:rsidRPr="00483EBE" w:rsidRDefault="00572995" w:rsidP="00E8324D">
            <w:pPr>
              <w:pStyle w:val="Tablas"/>
              <w:rPr>
                <w:sz w:val="12"/>
                <w:szCs w:val="12"/>
              </w:rPr>
            </w:pPr>
            <w:r w:rsidRPr="00483EBE">
              <w:rPr>
                <w:sz w:val="12"/>
                <w:szCs w:val="12"/>
              </w:rPr>
              <w:t>$2,969</w:t>
            </w:r>
          </w:p>
        </w:tc>
        <w:tc>
          <w:tcPr>
            <w:tcW w:w="0" w:type="auto"/>
            <w:tcBorders>
              <w:top w:val="nil"/>
              <w:left w:val="nil"/>
              <w:bottom w:val="single" w:sz="4" w:space="0" w:color="auto"/>
              <w:right w:val="single" w:sz="4" w:space="0" w:color="auto"/>
            </w:tcBorders>
            <w:shd w:val="clear" w:color="auto" w:fill="auto"/>
            <w:vAlign w:val="center"/>
            <w:hideMark/>
          </w:tcPr>
          <w:p w14:paraId="68E472D2"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1F15E14B"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2570CF84" w14:textId="77777777" w:rsidR="00572995" w:rsidRPr="00483EBE" w:rsidRDefault="00572995" w:rsidP="00E8324D">
            <w:pPr>
              <w:pStyle w:val="Tablas"/>
              <w:rPr>
                <w:sz w:val="12"/>
                <w:szCs w:val="12"/>
              </w:rPr>
            </w:pPr>
            <w:r w:rsidRPr="00483EBE">
              <w:rPr>
                <w:sz w:val="12"/>
                <w:szCs w:val="12"/>
              </w:rPr>
              <w:t>SEBD</w:t>
            </w:r>
          </w:p>
        </w:tc>
      </w:tr>
      <w:tr w:rsidR="00572995" w:rsidRPr="00483EBE" w14:paraId="318C137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BA214D1"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440573A9" w14:textId="77777777" w:rsidR="00572995" w:rsidRPr="00483EBE" w:rsidRDefault="00572995" w:rsidP="00E8324D">
            <w:pPr>
              <w:pStyle w:val="Tablas"/>
              <w:rPr>
                <w:sz w:val="12"/>
                <w:szCs w:val="12"/>
              </w:rPr>
            </w:pPr>
            <w:r w:rsidRPr="00483EBE">
              <w:rPr>
                <w:sz w:val="12"/>
                <w:szCs w:val="12"/>
              </w:rPr>
              <w:t xml:space="preserve">67 </w:t>
            </w:r>
          </w:p>
        </w:tc>
        <w:tc>
          <w:tcPr>
            <w:tcW w:w="0" w:type="auto"/>
            <w:tcBorders>
              <w:top w:val="nil"/>
              <w:left w:val="nil"/>
              <w:bottom w:val="single" w:sz="4" w:space="0" w:color="auto"/>
              <w:right w:val="single" w:sz="4" w:space="0" w:color="auto"/>
            </w:tcBorders>
            <w:shd w:val="clear" w:color="auto" w:fill="auto"/>
            <w:vAlign w:val="center"/>
            <w:hideMark/>
          </w:tcPr>
          <w:p w14:paraId="2032FD3A" w14:textId="77777777" w:rsidR="00572995" w:rsidRPr="00483EBE" w:rsidRDefault="00572995" w:rsidP="00E8324D">
            <w:pPr>
              <w:pStyle w:val="Tablas"/>
              <w:rPr>
                <w:sz w:val="12"/>
                <w:szCs w:val="12"/>
              </w:rPr>
            </w:pPr>
            <w:r w:rsidRPr="00483EBE">
              <w:rPr>
                <w:sz w:val="12"/>
                <w:szCs w:val="12"/>
              </w:rPr>
              <w:t>$177,738</w:t>
            </w:r>
          </w:p>
        </w:tc>
        <w:tc>
          <w:tcPr>
            <w:tcW w:w="0" w:type="auto"/>
            <w:tcBorders>
              <w:top w:val="nil"/>
              <w:left w:val="nil"/>
              <w:bottom w:val="single" w:sz="4" w:space="0" w:color="auto"/>
              <w:right w:val="single" w:sz="4" w:space="0" w:color="auto"/>
            </w:tcBorders>
            <w:shd w:val="clear" w:color="auto" w:fill="auto"/>
            <w:vAlign w:val="center"/>
            <w:hideMark/>
          </w:tcPr>
          <w:p w14:paraId="5F2963F3" w14:textId="77777777" w:rsidR="00572995" w:rsidRPr="00483EBE" w:rsidRDefault="00572995" w:rsidP="00E8324D">
            <w:pPr>
              <w:pStyle w:val="Tablas"/>
              <w:rPr>
                <w:sz w:val="12"/>
                <w:szCs w:val="12"/>
              </w:rPr>
            </w:pPr>
            <w:r w:rsidRPr="00483EBE">
              <w:rPr>
                <w:sz w:val="12"/>
                <w:szCs w:val="12"/>
              </w:rPr>
              <w:t>$2,653</w:t>
            </w:r>
          </w:p>
        </w:tc>
        <w:tc>
          <w:tcPr>
            <w:tcW w:w="0" w:type="auto"/>
            <w:tcBorders>
              <w:top w:val="nil"/>
              <w:left w:val="nil"/>
              <w:bottom w:val="single" w:sz="4" w:space="0" w:color="auto"/>
              <w:right w:val="single" w:sz="4" w:space="0" w:color="auto"/>
            </w:tcBorders>
            <w:shd w:val="clear" w:color="auto" w:fill="auto"/>
            <w:vAlign w:val="center"/>
            <w:hideMark/>
          </w:tcPr>
          <w:p w14:paraId="51EC3EDD" w14:textId="77777777" w:rsidR="00572995" w:rsidRPr="00483EBE" w:rsidRDefault="00572995" w:rsidP="00E8324D">
            <w:pPr>
              <w:pStyle w:val="Tablas"/>
              <w:rPr>
                <w:sz w:val="12"/>
                <w:szCs w:val="12"/>
              </w:rPr>
            </w:pPr>
            <w:r w:rsidRPr="00483EBE">
              <w:rPr>
                <w:sz w:val="12"/>
                <w:szCs w:val="12"/>
              </w:rPr>
              <w:t>$221</w:t>
            </w:r>
          </w:p>
        </w:tc>
        <w:tc>
          <w:tcPr>
            <w:tcW w:w="0" w:type="auto"/>
            <w:tcBorders>
              <w:top w:val="nil"/>
              <w:left w:val="nil"/>
              <w:bottom w:val="single" w:sz="4" w:space="0" w:color="auto"/>
              <w:right w:val="single" w:sz="4" w:space="0" w:color="auto"/>
            </w:tcBorders>
            <w:shd w:val="clear" w:color="auto" w:fill="auto"/>
            <w:vAlign w:val="center"/>
            <w:hideMark/>
          </w:tcPr>
          <w:p w14:paraId="6F34791A"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B16CBF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9B7D66"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1C269483"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F1C32FE" w14:textId="77777777" w:rsidR="00572995" w:rsidRPr="00483EBE" w:rsidRDefault="00572995" w:rsidP="00E8324D">
            <w:pPr>
              <w:pStyle w:val="Tablas"/>
              <w:rPr>
                <w:sz w:val="12"/>
                <w:szCs w:val="12"/>
              </w:rPr>
            </w:pPr>
            <w:r w:rsidRPr="00483EBE">
              <w:rPr>
                <w:sz w:val="12"/>
                <w:szCs w:val="12"/>
              </w:rPr>
              <w:t>$10,298</w:t>
            </w:r>
          </w:p>
        </w:tc>
        <w:tc>
          <w:tcPr>
            <w:tcW w:w="0" w:type="auto"/>
            <w:tcBorders>
              <w:top w:val="nil"/>
              <w:left w:val="nil"/>
              <w:bottom w:val="single" w:sz="4" w:space="0" w:color="auto"/>
              <w:right w:val="single" w:sz="4" w:space="0" w:color="auto"/>
            </w:tcBorders>
            <w:shd w:val="clear" w:color="auto" w:fill="auto"/>
            <w:vAlign w:val="center"/>
            <w:hideMark/>
          </w:tcPr>
          <w:p w14:paraId="47DD061A" w14:textId="77777777" w:rsidR="00572995" w:rsidRPr="00483EBE" w:rsidRDefault="00572995" w:rsidP="00E8324D">
            <w:pPr>
              <w:pStyle w:val="Tablas"/>
              <w:rPr>
                <w:sz w:val="12"/>
                <w:szCs w:val="12"/>
              </w:rPr>
            </w:pPr>
            <w:r w:rsidRPr="00483EBE">
              <w:rPr>
                <w:sz w:val="12"/>
                <w:szCs w:val="12"/>
              </w:rPr>
              <w:t>$3,433</w:t>
            </w:r>
          </w:p>
        </w:tc>
        <w:tc>
          <w:tcPr>
            <w:tcW w:w="0" w:type="auto"/>
            <w:tcBorders>
              <w:top w:val="nil"/>
              <w:left w:val="nil"/>
              <w:bottom w:val="single" w:sz="4" w:space="0" w:color="auto"/>
              <w:right w:val="single" w:sz="4" w:space="0" w:color="auto"/>
            </w:tcBorders>
            <w:shd w:val="clear" w:color="auto" w:fill="auto"/>
            <w:vAlign w:val="center"/>
            <w:hideMark/>
          </w:tcPr>
          <w:p w14:paraId="053FE665" w14:textId="77777777" w:rsidR="00572995" w:rsidRPr="00483EBE" w:rsidRDefault="00572995" w:rsidP="00E8324D">
            <w:pPr>
              <w:pStyle w:val="Tablas"/>
              <w:rPr>
                <w:sz w:val="12"/>
                <w:szCs w:val="12"/>
              </w:rPr>
            </w:pPr>
            <w:r w:rsidRPr="00483EBE">
              <w:rPr>
                <w:sz w:val="12"/>
                <w:szCs w:val="12"/>
              </w:rPr>
              <w:t>$286</w:t>
            </w:r>
          </w:p>
        </w:tc>
        <w:tc>
          <w:tcPr>
            <w:tcW w:w="0" w:type="auto"/>
            <w:tcBorders>
              <w:top w:val="nil"/>
              <w:left w:val="nil"/>
              <w:bottom w:val="single" w:sz="4" w:space="0" w:color="auto"/>
              <w:right w:val="single" w:sz="4" w:space="0" w:color="auto"/>
            </w:tcBorders>
            <w:shd w:val="clear" w:color="auto" w:fill="auto"/>
            <w:vAlign w:val="center"/>
            <w:hideMark/>
          </w:tcPr>
          <w:p w14:paraId="7F76671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7C5DB23F" w14:textId="77777777" w:rsidR="00572995" w:rsidRPr="00483EBE" w:rsidRDefault="00572995" w:rsidP="00E8324D">
            <w:pPr>
              <w:pStyle w:val="Tablas"/>
              <w:rPr>
                <w:sz w:val="12"/>
                <w:szCs w:val="12"/>
              </w:rPr>
            </w:pPr>
            <w:r w:rsidRPr="00483EBE">
              <w:rPr>
                <w:sz w:val="12"/>
                <w:szCs w:val="12"/>
              </w:rPr>
              <w:t>SEBD</w:t>
            </w:r>
          </w:p>
        </w:tc>
      </w:tr>
      <w:tr w:rsidR="00572995" w:rsidRPr="00483EBE" w14:paraId="33BAB55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D2E04B"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65F37BF4" w14:textId="77777777" w:rsidR="00572995" w:rsidRPr="00483EBE" w:rsidRDefault="00572995" w:rsidP="00E8324D">
            <w:pPr>
              <w:pStyle w:val="Tablas"/>
              <w:rPr>
                <w:sz w:val="12"/>
                <w:szCs w:val="12"/>
              </w:rPr>
            </w:pPr>
            <w:r w:rsidRPr="00483EBE">
              <w:rPr>
                <w:sz w:val="12"/>
                <w:szCs w:val="12"/>
              </w:rPr>
              <w:t xml:space="preserve">65 </w:t>
            </w:r>
          </w:p>
        </w:tc>
        <w:tc>
          <w:tcPr>
            <w:tcW w:w="0" w:type="auto"/>
            <w:tcBorders>
              <w:top w:val="nil"/>
              <w:left w:val="nil"/>
              <w:bottom w:val="single" w:sz="4" w:space="0" w:color="auto"/>
              <w:right w:val="single" w:sz="4" w:space="0" w:color="auto"/>
            </w:tcBorders>
            <w:shd w:val="clear" w:color="auto" w:fill="auto"/>
            <w:vAlign w:val="center"/>
            <w:hideMark/>
          </w:tcPr>
          <w:p w14:paraId="48E73042" w14:textId="77777777" w:rsidR="00572995" w:rsidRPr="00483EBE" w:rsidRDefault="00572995" w:rsidP="00E8324D">
            <w:pPr>
              <w:pStyle w:val="Tablas"/>
              <w:rPr>
                <w:sz w:val="12"/>
                <w:szCs w:val="12"/>
              </w:rPr>
            </w:pPr>
            <w:r w:rsidRPr="00483EBE">
              <w:rPr>
                <w:sz w:val="12"/>
                <w:szCs w:val="12"/>
              </w:rPr>
              <w:t>$186,011</w:t>
            </w:r>
          </w:p>
        </w:tc>
        <w:tc>
          <w:tcPr>
            <w:tcW w:w="0" w:type="auto"/>
            <w:tcBorders>
              <w:top w:val="nil"/>
              <w:left w:val="nil"/>
              <w:bottom w:val="single" w:sz="4" w:space="0" w:color="auto"/>
              <w:right w:val="single" w:sz="4" w:space="0" w:color="auto"/>
            </w:tcBorders>
            <w:shd w:val="clear" w:color="auto" w:fill="auto"/>
            <w:vAlign w:val="center"/>
            <w:hideMark/>
          </w:tcPr>
          <w:p w14:paraId="68332E0A" w14:textId="77777777" w:rsidR="00572995" w:rsidRPr="00483EBE" w:rsidRDefault="00572995" w:rsidP="00E8324D">
            <w:pPr>
              <w:pStyle w:val="Tablas"/>
              <w:rPr>
                <w:sz w:val="12"/>
                <w:szCs w:val="12"/>
              </w:rPr>
            </w:pPr>
            <w:r w:rsidRPr="00483EBE">
              <w:rPr>
                <w:sz w:val="12"/>
                <w:szCs w:val="12"/>
              </w:rPr>
              <w:t>$2,862</w:t>
            </w:r>
          </w:p>
        </w:tc>
        <w:tc>
          <w:tcPr>
            <w:tcW w:w="0" w:type="auto"/>
            <w:tcBorders>
              <w:top w:val="nil"/>
              <w:left w:val="nil"/>
              <w:bottom w:val="single" w:sz="4" w:space="0" w:color="auto"/>
              <w:right w:val="single" w:sz="4" w:space="0" w:color="auto"/>
            </w:tcBorders>
            <w:shd w:val="clear" w:color="auto" w:fill="auto"/>
            <w:vAlign w:val="center"/>
            <w:hideMark/>
          </w:tcPr>
          <w:p w14:paraId="0E7A1C37"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7D9910A4"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7420594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0E5383"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78A68428"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2728DBE2" w14:textId="77777777" w:rsidR="00572995" w:rsidRPr="00483EBE" w:rsidRDefault="00572995" w:rsidP="00E8324D">
            <w:pPr>
              <w:pStyle w:val="Tablas"/>
              <w:rPr>
                <w:sz w:val="12"/>
                <w:szCs w:val="12"/>
              </w:rPr>
            </w:pPr>
            <w:r w:rsidRPr="00483EBE">
              <w:rPr>
                <w:sz w:val="12"/>
                <w:szCs w:val="12"/>
              </w:rPr>
              <w:t>$15,702</w:t>
            </w:r>
          </w:p>
        </w:tc>
        <w:tc>
          <w:tcPr>
            <w:tcW w:w="0" w:type="auto"/>
            <w:tcBorders>
              <w:top w:val="nil"/>
              <w:left w:val="nil"/>
              <w:bottom w:val="single" w:sz="4" w:space="0" w:color="auto"/>
              <w:right w:val="single" w:sz="4" w:space="0" w:color="auto"/>
            </w:tcBorders>
            <w:shd w:val="clear" w:color="auto" w:fill="auto"/>
            <w:vAlign w:val="center"/>
            <w:hideMark/>
          </w:tcPr>
          <w:p w14:paraId="65882F90" w14:textId="77777777" w:rsidR="00572995" w:rsidRPr="00483EBE" w:rsidRDefault="00572995" w:rsidP="00E8324D">
            <w:pPr>
              <w:pStyle w:val="Tablas"/>
              <w:rPr>
                <w:sz w:val="12"/>
                <w:szCs w:val="12"/>
              </w:rPr>
            </w:pPr>
            <w:r w:rsidRPr="00483EBE">
              <w:rPr>
                <w:sz w:val="12"/>
                <w:szCs w:val="12"/>
              </w:rPr>
              <w:t>$2,617</w:t>
            </w:r>
          </w:p>
        </w:tc>
        <w:tc>
          <w:tcPr>
            <w:tcW w:w="0" w:type="auto"/>
            <w:tcBorders>
              <w:top w:val="nil"/>
              <w:left w:val="nil"/>
              <w:bottom w:val="single" w:sz="4" w:space="0" w:color="auto"/>
              <w:right w:val="single" w:sz="4" w:space="0" w:color="auto"/>
            </w:tcBorders>
            <w:shd w:val="clear" w:color="auto" w:fill="auto"/>
            <w:vAlign w:val="center"/>
            <w:hideMark/>
          </w:tcPr>
          <w:p w14:paraId="34958593" w14:textId="77777777" w:rsidR="00572995" w:rsidRPr="00483EBE" w:rsidRDefault="00572995" w:rsidP="00E8324D">
            <w:pPr>
              <w:pStyle w:val="Tablas"/>
              <w:rPr>
                <w:sz w:val="12"/>
                <w:szCs w:val="12"/>
              </w:rPr>
            </w:pPr>
            <w:r w:rsidRPr="00483EBE">
              <w:rPr>
                <w:sz w:val="12"/>
                <w:szCs w:val="12"/>
              </w:rPr>
              <w:t>$218</w:t>
            </w:r>
          </w:p>
        </w:tc>
        <w:tc>
          <w:tcPr>
            <w:tcW w:w="0" w:type="auto"/>
            <w:tcBorders>
              <w:top w:val="nil"/>
              <w:left w:val="nil"/>
              <w:bottom w:val="single" w:sz="4" w:space="0" w:color="auto"/>
              <w:right w:val="single" w:sz="4" w:space="0" w:color="auto"/>
            </w:tcBorders>
            <w:shd w:val="clear" w:color="auto" w:fill="auto"/>
            <w:vAlign w:val="center"/>
            <w:hideMark/>
          </w:tcPr>
          <w:p w14:paraId="67321F35"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8E4270C" w14:textId="77777777" w:rsidR="00572995" w:rsidRPr="00483EBE" w:rsidRDefault="00572995" w:rsidP="00E8324D">
            <w:pPr>
              <w:pStyle w:val="Tablas"/>
              <w:rPr>
                <w:sz w:val="12"/>
                <w:szCs w:val="12"/>
              </w:rPr>
            </w:pPr>
            <w:r w:rsidRPr="00483EBE">
              <w:rPr>
                <w:sz w:val="12"/>
                <w:szCs w:val="12"/>
              </w:rPr>
              <w:t>SEBD</w:t>
            </w:r>
          </w:p>
        </w:tc>
      </w:tr>
      <w:tr w:rsidR="00572995" w:rsidRPr="00483EBE" w14:paraId="0D4E3DC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CCB1350"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35B09597"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52679E2B" w14:textId="77777777" w:rsidR="00572995" w:rsidRPr="00483EBE" w:rsidRDefault="00572995" w:rsidP="00E8324D">
            <w:pPr>
              <w:pStyle w:val="Tablas"/>
              <w:rPr>
                <w:sz w:val="12"/>
                <w:szCs w:val="12"/>
              </w:rPr>
            </w:pPr>
            <w:r w:rsidRPr="00483EBE">
              <w:rPr>
                <w:sz w:val="12"/>
                <w:szCs w:val="12"/>
              </w:rPr>
              <w:t>$101,656</w:t>
            </w:r>
          </w:p>
        </w:tc>
        <w:tc>
          <w:tcPr>
            <w:tcW w:w="0" w:type="auto"/>
            <w:tcBorders>
              <w:top w:val="nil"/>
              <w:left w:val="nil"/>
              <w:bottom w:val="single" w:sz="4" w:space="0" w:color="auto"/>
              <w:right w:val="single" w:sz="4" w:space="0" w:color="auto"/>
            </w:tcBorders>
            <w:shd w:val="clear" w:color="auto" w:fill="auto"/>
            <w:vAlign w:val="center"/>
            <w:hideMark/>
          </w:tcPr>
          <w:p w14:paraId="6C2BA911" w14:textId="77777777" w:rsidR="00572995" w:rsidRPr="00483EBE" w:rsidRDefault="00572995" w:rsidP="00E8324D">
            <w:pPr>
              <w:pStyle w:val="Tablas"/>
              <w:rPr>
                <w:sz w:val="12"/>
                <w:szCs w:val="12"/>
              </w:rPr>
            </w:pPr>
            <w:r w:rsidRPr="00483EBE">
              <w:rPr>
                <w:sz w:val="12"/>
                <w:szCs w:val="12"/>
              </w:rPr>
              <w:t>$2,747</w:t>
            </w:r>
          </w:p>
        </w:tc>
        <w:tc>
          <w:tcPr>
            <w:tcW w:w="0" w:type="auto"/>
            <w:tcBorders>
              <w:top w:val="nil"/>
              <w:left w:val="nil"/>
              <w:bottom w:val="single" w:sz="4" w:space="0" w:color="auto"/>
              <w:right w:val="single" w:sz="4" w:space="0" w:color="auto"/>
            </w:tcBorders>
            <w:shd w:val="clear" w:color="auto" w:fill="auto"/>
            <w:vAlign w:val="center"/>
            <w:hideMark/>
          </w:tcPr>
          <w:p w14:paraId="6201DC06" w14:textId="77777777" w:rsidR="00572995" w:rsidRPr="00483EBE" w:rsidRDefault="00572995" w:rsidP="00E8324D">
            <w:pPr>
              <w:pStyle w:val="Tablas"/>
              <w:rPr>
                <w:sz w:val="12"/>
                <w:szCs w:val="12"/>
              </w:rPr>
            </w:pPr>
            <w:r w:rsidRPr="00483EBE">
              <w:rPr>
                <w:sz w:val="12"/>
                <w:szCs w:val="12"/>
              </w:rPr>
              <w:t>$229</w:t>
            </w:r>
          </w:p>
        </w:tc>
        <w:tc>
          <w:tcPr>
            <w:tcW w:w="0" w:type="auto"/>
            <w:tcBorders>
              <w:top w:val="nil"/>
              <w:left w:val="nil"/>
              <w:bottom w:val="single" w:sz="4" w:space="0" w:color="auto"/>
              <w:right w:val="single" w:sz="4" w:space="0" w:color="auto"/>
            </w:tcBorders>
            <w:shd w:val="clear" w:color="auto" w:fill="auto"/>
            <w:vAlign w:val="center"/>
            <w:hideMark/>
          </w:tcPr>
          <w:p w14:paraId="7C62ACEA"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70908BE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5544A2"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063701F3"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07528DF0" w14:textId="77777777" w:rsidR="00572995" w:rsidRPr="00483EBE" w:rsidRDefault="00572995" w:rsidP="00E8324D">
            <w:pPr>
              <w:pStyle w:val="Tablas"/>
              <w:rPr>
                <w:sz w:val="12"/>
                <w:szCs w:val="12"/>
              </w:rPr>
            </w:pPr>
            <w:r w:rsidRPr="00483EBE">
              <w:rPr>
                <w:sz w:val="12"/>
                <w:szCs w:val="12"/>
              </w:rPr>
              <w:t>$14,954</w:t>
            </w:r>
          </w:p>
        </w:tc>
        <w:tc>
          <w:tcPr>
            <w:tcW w:w="0" w:type="auto"/>
            <w:tcBorders>
              <w:top w:val="nil"/>
              <w:left w:val="nil"/>
              <w:bottom w:val="single" w:sz="4" w:space="0" w:color="auto"/>
              <w:right w:val="single" w:sz="4" w:space="0" w:color="auto"/>
            </w:tcBorders>
            <w:shd w:val="clear" w:color="auto" w:fill="auto"/>
            <w:vAlign w:val="center"/>
            <w:hideMark/>
          </w:tcPr>
          <w:p w14:paraId="051BEEAE" w14:textId="77777777" w:rsidR="00572995" w:rsidRPr="00483EBE" w:rsidRDefault="00572995" w:rsidP="00E8324D">
            <w:pPr>
              <w:pStyle w:val="Tablas"/>
              <w:rPr>
                <w:sz w:val="12"/>
                <w:szCs w:val="12"/>
              </w:rPr>
            </w:pPr>
            <w:r w:rsidRPr="00483EBE">
              <w:rPr>
                <w:sz w:val="12"/>
                <w:szCs w:val="12"/>
              </w:rPr>
              <w:t>$2,492</w:t>
            </w:r>
          </w:p>
        </w:tc>
        <w:tc>
          <w:tcPr>
            <w:tcW w:w="0" w:type="auto"/>
            <w:tcBorders>
              <w:top w:val="nil"/>
              <w:left w:val="nil"/>
              <w:bottom w:val="single" w:sz="4" w:space="0" w:color="auto"/>
              <w:right w:val="single" w:sz="4" w:space="0" w:color="auto"/>
            </w:tcBorders>
            <w:shd w:val="clear" w:color="auto" w:fill="auto"/>
            <w:vAlign w:val="center"/>
            <w:hideMark/>
          </w:tcPr>
          <w:p w14:paraId="1BA04F6C" w14:textId="77777777" w:rsidR="00572995" w:rsidRPr="00483EBE" w:rsidRDefault="00572995" w:rsidP="00E8324D">
            <w:pPr>
              <w:pStyle w:val="Tablas"/>
              <w:rPr>
                <w:sz w:val="12"/>
                <w:szCs w:val="12"/>
              </w:rPr>
            </w:pPr>
            <w:r w:rsidRPr="00483EBE">
              <w:rPr>
                <w:sz w:val="12"/>
                <w:szCs w:val="12"/>
              </w:rPr>
              <w:t>$208</w:t>
            </w:r>
          </w:p>
        </w:tc>
        <w:tc>
          <w:tcPr>
            <w:tcW w:w="0" w:type="auto"/>
            <w:tcBorders>
              <w:top w:val="nil"/>
              <w:left w:val="nil"/>
              <w:bottom w:val="single" w:sz="4" w:space="0" w:color="auto"/>
              <w:right w:val="single" w:sz="4" w:space="0" w:color="auto"/>
            </w:tcBorders>
            <w:shd w:val="clear" w:color="auto" w:fill="auto"/>
            <w:vAlign w:val="center"/>
            <w:hideMark/>
          </w:tcPr>
          <w:p w14:paraId="70139D46"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3B858BBA" w14:textId="77777777" w:rsidR="00572995" w:rsidRPr="00483EBE" w:rsidRDefault="00572995" w:rsidP="00E8324D">
            <w:pPr>
              <w:pStyle w:val="Tablas"/>
              <w:rPr>
                <w:sz w:val="12"/>
                <w:szCs w:val="12"/>
              </w:rPr>
            </w:pPr>
            <w:r w:rsidRPr="00483EBE">
              <w:rPr>
                <w:sz w:val="12"/>
                <w:szCs w:val="12"/>
              </w:rPr>
              <w:t>SEBD</w:t>
            </w:r>
          </w:p>
        </w:tc>
      </w:tr>
      <w:tr w:rsidR="00572995" w:rsidRPr="00483EBE" w14:paraId="331BCB1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DA5DC82"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2F092472" w14:textId="77777777" w:rsidR="00572995" w:rsidRPr="00483EBE" w:rsidRDefault="00572995" w:rsidP="00E8324D">
            <w:pPr>
              <w:pStyle w:val="Tablas"/>
              <w:rPr>
                <w:sz w:val="12"/>
                <w:szCs w:val="12"/>
              </w:rPr>
            </w:pPr>
            <w:r w:rsidRPr="00483EBE">
              <w:rPr>
                <w:sz w:val="12"/>
                <w:szCs w:val="12"/>
              </w:rPr>
              <w:t xml:space="preserve">40 </w:t>
            </w:r>
          </w:p>
        </w:tc>
        <w:tc>
          <w:tcPr>
            <w:tcW w:w="0" w:type="auto"/>
            <w:tcBorders>
              <w:top w:val="nil"/>
              <w:left w:val="nil"/>
              <w:bottom w:val="single" w:sz="4" w:space="0" w:color="auto"/>
              <w:right w:val="single" w:sz="4" w:space="0" w:color="auto"/>
            </w:tcBorders>
            <w:shd w:val="clear" w:color="auto" w:fill="auto"/>
            <w:vAlign w:val="center"/>
            <w:hideMark/>
          </w:tcPr>
          <w:p w14:paraId="0CC7EC41" w14:textId="77777777" w:rsidR="00572995" w:rsidRPr="00483EBE" w:rsidRDefault="00572995" w:rsidP="00E8324D">
            <w:pPr>
              <w:pStyle w:val="Tablas"/>
              <w:rPr>
                <w:sz w:val="12"/>
                <w:szCs w:val="12"/>
              </w:rPr>
            </w:pPr>
            <w:r w:rsidRPr="00483EBE">
              <w:rPr>
                <w:sz w:val="12"/>
                <w:szCs w:val="12"/>
              </w:rPr>
              <w:t>$99,641</w:t>
            </w:r>
          </w:p>
        </w:tc>
        <w:tc>
          <w:tcPr>
            <w:tcW w:w="0" w:type="auto"/>
            <w:tcBorders>
              <w:top w:val="nil"/>
              <w:left w:val="nil"/>
              <w:bottom w:val="single" w:sz="4" w:space="0" w:color="auto"/>
              <w:right w:val="single" w:sz="4" w:space="0" w:color="auto"/>
            </w:tcBorders>
            <w:shd w:val="clear" w:color="auto" w:fill="auto"/>
            <w:vAlign w:val="center"/>
            <w:hideMark/>
          </w:tcPr>
          <w:p w14:paraId="6CBF2DFC" w14:textId="77777777" w:rsidR="00572995" w:rsidRPr="00483EBE" w:rsidRDefault="00572995" w:rsidP="00E8324D">
            <w:pPr>
              <w:pStyle w:val="Tablas"/>
              <w:rPr>
                <w:sz w:val="12"/>
                <w:szCs w:val="12"/>
              </w:rPr>
            </w:pPr>
            <w:r w:rsidRPr="00483EBE">
              <w:rPr>
                <w:sz w:val="12"/>
                <w:szCs w:val="12"/>
              </w:rPr>
              <w:t>$2,491</w:t>
            </w:r>
          </w:p>
        </w:tc>
        <w:tc>
          <w:tcPr>
            <w:tcW w:w="0" w:type="auto"/>
            <w:tcBorders>
              <w:top w:val="nil"/>
              <w:left w:val="nil"/>
              <w:bottom w:val="single" w:sz="4" w:space="0" w:color="auto"/>
              <w:right w:val="single" w:sz="4" w:space="0" w:color="auto"/>
            </w:tcBorders>
            <w:shd w:val="clear" w:color="auto" w:fill="auto"/>
            <w:vAlign w:val="center"/>
            <w:hideMark/>
          </w:tcPr>
          <w:p w14:paraId="7D541B79" w14:textId="77777777" w:rsidR="00572995" w:rsidRPr="00483EBE" w:rsidRDefault="00572995" w:rsidP="00E8324D">
            <w:pPr>
              <w:pStyle w:val="Tablas"/>
              <w:rPr>
                <w:sz w:val="12"/>
                <w:szCs w:val="12"/>
              </w:rPr>
            </w:pPr>
            <w:r w:rsidRPr="00483EBE">
              <w:rPr>
                <w:sz w:val="12"/>
                <w:szCs w:val="12"/>
              </w:rPr>
              <w:t>$208</w:t>
            </w:r>
          </w:p>
        </w:tc>
        <w:tc>
          <w:tcPr>
            <w:tcW w:w="0" w:type="auto"/>
            <w:tcBorders>
              <w:top w:val="nil"/>
              <w:left w:val="nil"/>
              <w:bottom w:val="single" w:sz="4" w:space="0" w:color="auto"/>
              <w:right w:val="single" w:sz="4" w:space="0" w:color="auto"/>
            </w:tcBorders>
            <w:shd w:val="clear" w:color="auto" w:fill="auto"/>
            <w:vAlign w:val="center"/>
            <w:hideMark/>
          </w:tcPr>
          <w:p w14:paraId="1EAEE5C6"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36B1974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6062B8E"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45C1C479"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59B2049" w14:textId="77777777" w:rsidR="00572995" w:rsidRPr="00483EBE" w:rsidRDefault="00572995" w:rsidP="00E8324D">
            <w:pPr>
              <w:pStyle w:val="Tablas"/>
              <w:rPr>
                <w:sz w:val="12"/>
                <w:szCs w:val="12"/>
              </w:rPr>
            </w:pPr>
            <w:r w:rsidRPr="00483EBE">
              <w:rPr>
                <w:sz w:val="12"/>
                <w:szCs w:val="12"/>
              </w:rPr>
              <w:t>$7,615</w:t>
            </w:r>
          </w:p>
        </w:tc>
        <w:tc>
          <w:tcPr>
            <w:tcW w:w="0" w:type="auto"/>
            <w:tcBorders>
              <w:top w:val="nil"/>
              <w:left w:val="nil"/>
              <w:bottom w:val="single" w:sz="4" w:space="0" w:color="auto"/>
              <w:right w:val="single" w:sz="4" w:space="0" w:color="auto"/>
            </w:tcBorders>
            <w:shd w:val="clear" w:color="auto" w:fill="auto"/>
            <w:vAlign w:val="center"/>
            <w:hideMark/>
          </w:tcPr>
          <w:p w14:paraId="1B32718E" w14:textId="77777777" w:rsidR="00572995" w:rsidRPr="00483EBE" w:rsidRDefault="00572995" w:rsidP="00E8324D">
            <w:pPr>
              <w:pStyle w:val="Tablas"/>
              <w:rPr>
                <w:sz w:val="12"/>
                <w:szCs w:val="12"/>
              </w:rPr>
            </w:pPr>
            <w:r w:rsidRPr="00483EBE">
              <w:rPr>
                <w:sz w:val="12"/>
                <w:szCs w:val="12"/>
              </w:rPr>
              <w:t>$2,538</w:t>
            </w:r>
          </w:p>
        </w:tc>
        <w:tc>
          <w:tcPr>
            <w:tcW w:w="0" w:type="auto"/>
            <w:tcBorders>
              <w:top w:val="nil"/>
              <w:left w:val="nil"/>
              <w:bottom w:val="single" w:sz="4" w:space="0" w:color="auto"/>
              <w:right w:val="single" w:sz="4" w:space="0" w:color="auto"/>
            </w:tcBorders>
            <w:shd w:val="clear" w:color="auto" w:fill="auto"/>
            <w:vAlign w:val="center"/>
            <w:hideMark/>
          </w:tcPr>
          <w:p w14:paraId="793B10AD" w14:textId="77777777" w:rsidR="00572995" w:rsidRPr="00483EBE" w:rsidRDefault="00572995" w:rsidP="00E8324D">
            <w:pPr>
              <w:pStyle w:val="Tablas"/>
              <w:rPr>
                <w:sz w:val="12"/>
                <w:szCs w:val="12"/>
              </w:rPr>
            </w:pPr>
            <w:r w:rsidRPr="00483EBE">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69FBB09C"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77B342EF" w14:textId="77777777" w:rsidR="00572995" w:rsidRPr="00483EBE" w:rsidRDefault="00572995" w:rsidP="00E8324D">
            <w:pPr>
              <w:pStyle w:val="Tablas"/>
              <w:rPr>
                <w:sz w:val="12"/>
                <w:szCs w:val="12"/>
              </w:rPr>
            </w:pPr>
            <w:r w:rsidRPr="00483EBE">
              <w:rPr>
                <w:sz w:val="12"/>
                <w:szCs w:val="12"/>
              </w:rPr>
              <w:t>SEBD</w:t>
            </w:r>
          </w:p>
        </w:tc>
      </w:tr>
      <w:tr w:rsidR="00572995" w:rsidRPr="00483EBE" w14:paraId="4243951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4B7D16"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070A8A44"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3A66FAF1" w14:textId="77777777" w:rsidR="00572995" w:rsidRPr="00483EBE" w:rsidRDefault="00572995" w:rsidP="00E8324D">
            <w:pPr>
              <w:pStyle w:val="Tablas"/>
              <w:rPr>
                <w:sz w:val="12"/>
                <w:szCs w:val="12"/>
              </w:rPr>
            </w:pPr>
            <w:r w:rsidRPr="00483EBE">
              <w:rPr>
                <w:sz w:val="12"/>
                <w:szCs w:val="12"/>
              </w:rPr>
              <w:t>$81,127</w:t>
            </w:r>
          </w:p>
        </w:tc>
        <w:tc>
          <w:tcPr>
            <w:tcW w:w="0" w:type="auto"/>
            <w:tcBorders>
              <w:top w:val="nil"/>
              <w:left w:val="nil"/>
              <w:bottom w:val="single" w:sz="4" w:space="0" w:color="auto"/>
              <w:right w:val="single" w:sz="4" w:space="0" w:color="auto"/>
            </w:tcBorders>
            <w:shd w:val="clear" w:color="auto" w:fill="auto"/>
            <w:vAlign w:val="center"/>
            <w:hideMark/>
          </w:tcPr>
          <w:p w14:paraId="1BB5B7C9" w14:textId="77777777" w:rsidR="00572995" w:rsidRPr="00483EBE" w:rsidRDefault="00572995" w:rsidP="00E8324D">
            <w:pPr>
              <w:pStyle w:val="Tablas"/>
              <w:rPr>
                <w:sz w:val="12"/>
                <w:szCs w:val="12"/>
              </w:rPr>
            </w:pPr>
            <w:r w:rsidRPr="00483EBE">
              <w:rPr>
                <w:sz w:val="12"/>
                <w:szCs w:val="12"/>
              </w:rPr>
              <w:t>$3,005</w:t>
            </w:r>
          </w:p>
        </w:tc>
        <w:tc>
          <w:tcPr>
            <w:tcW w:w="0" w:type="auto"/>
            <w:tcBorders>
              <w:top w:val="nil"/>
              <w:left w:val="nil"/>
              <w:bottom w:val="single" w:sz="4" w:space="0" w:color="auto"/>
              <w:right w:val="single" w:sz="4" w:space="0" w:color="auto"/>
            </w:tcBorders>
            <w:shd w:val="clear" w:color="auto" w:fill="auto"/>
            <w:vAlign w:val="center"/>
            <w:hideMark/>
          </w:tcPr>
          <w:p w14:paraId="25585165"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48374C15"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0C6EAAE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C9F41A1"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54A56B91"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91C8EB6" w14:textId="77777777" w:rsidR="00572995" w:rsidRPr="00483EBE" w:rsidRDefault="00572995" w:rsidP="00E8324D">
            <w:pPr>
              <w:pStyle w:val="Tablas"/>
              <w:rPr>
                <w:sz w:val="12"/>
                <w:szCs w:val="12"/>
              </w:rPr>
            </w:pPr>
            <w:r w:rsidRPr="00483EBE">
              <w:rPr>
                <w:sz w:val="12"/>
                <w:szCs w:val="12"/>
              </w:rPr>
              <w:t>$8,431</w:t>
            </w:r>
          </w:p>
        </w:tc>
        <w:tc>
          <w:tcPr>
            <w:tcW w:w="0" w:type="auto"/>
            <w:tcBorders>
              <w:top w:val="nil"/>
              <w:left w:val="nil"/>
              <w:bottom w:val="single" w:sz="4" w:space="0" w:color="auto"/>
              <w:right w:val="single" w:sz="4" w:space="0" w:color="auto"/>
            </w:tcBorders>
            <w:shd w:val="clear" w:color="auto" w:fill="auto"/>
            <w:vAlign w:val="center"/>
            <w:hideMark/>
          </w:tcPr>
          <w:p w14:paraId="079BD1AF" w14:textId="77777777" w:rsidR="00572995" w:rsidRPr="00483EBE" w:rsidRDefault="00572995" w:rsidP="00E8324D">
            <w:pPr>
              <w:pStyle w:val="Tablas"/>
              <w:rPr>
                <w:sz w:val="12"/>
                <w:szCs w:val="12"/>
              </w:rPr>
            </w:pPr>
            <w:r w:rsidRPr="00483EBE">
              <w:rPr>
                <w:sz w:val="12"/>
                <w:szCs w:val="12"/>
              </w:rPr>
              <w:t>$2,108</w:t>
            </w:r>
          </w:p>
        </w:tc>
        <w:tc>
          <w:tcPr>
            <w:tcW w:w="0" w:type="auto"/>
            <w:tcBorders>
              <w:top w:val="nil"/>
              <w:left w:val="nil"/>
              <w:bottom w:val="single" w:sz="4" w:space="0" w:color="auto"/>
              <w:right w:val="single" w:sz="4" w:space="0" w:color="auto"/>
            </w:tcBorders>
            <w:shd w:val="clear" w:color="auto" w:fill="auto"/>
            <w:vAlign w:val="center"/>
            <w:hideMark/>
          </w:tcPr>
          <w:p w14:paraId="7FC7D9D2" w14:textId="77777777" w:rsidR="00572995" w:rsidRPr="00483EBE" w:rsidRDefault="00572995" w:rsidP="00E8324D">
            <w:pPr>
              <w:pStyle w:val="Tablas"/>
              <w:rPr>
                <w:sz w:val="12"/>
                <w:szCs w:val="12"/>
              </w:rPr>
            </w:pPr>
            <w:r w:rsidRPr="00483EBE">
              <w:rPr>
                <w:sz w:val="12"/>
                <w:szCs w:val="12"/>
              </w:rPr>
              <w:t>$176</w:t>
            </w:r>
          </w:p>
        </w:tc>
        <w:tc>
          <w:tcPr>
            <w:tcW w:w="0" w:type="auto"/>
            <w:tcBorders>
              <w:top w:val="nil"/>
              <w:left w:val="nil"/>
              <w:bottom w:val="single" w:sz="4" w:space="0" w:color="auto"/>
              <w:right w:val="single" w:sz="4" w:space="0" w:color="auto"/>
            </w:tcBorders>
            <w:shd w:val="clear" w:color="auto" w:fill="auto"/>
            <w:vAlign w:val="center"/>
            <w:hideMark/>
          </w:tcPr>
          <w:p w14:paraId="30FC56C9"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5B9A1C7C" w14:textId="77777777" w:rsidR="00572995" w:rsidRPr="00483EBE" w:rsidRDefault="00572995" w:rsidP="00E8324D">
            <w:pPr>
              <w:pStyle w:val="Tablas"/>
              <w:rPr>
                <w:sz w:val="12"/>
                <w:szCs w:val="12"/>
              </w:rPr>
            </w:pPr>
            <w:r w:rsidRPr="00483EBE">
              <w:rPr>
                <w:sz w:val="12"/>
                <w:szCs w:val="12"/>
              </w:rPr>
              <w:t>SEBD</w:t>
            </w:r>
          </w:p>
        </w:tc>
      </w:tr>
      <w:tr w:rsidR="00572995" w:rsidRPr="00483EBE" w14:paraId="07D43C6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5BC7219"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1971E687"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41A57A6C" w14:textId="77777777" w:rsidR="00572995" w:rsidRPr="00483EBE" w:rsidRDefault="00572995" w:rsidP="00E8324D">
            <w:pPr>
              <w:pStyle w:val="Tablas"/>
              <w:rPr>
                <w:sz w:val="12"/>
                <w:szCs w:val="12"/>
              </w:rPr>
            </w:pPr>
            <w:r w:rsidRPr="00483EBE">
              <w:rPr>
                <w:sz w:val="12"/>
                <w:szCs w:val="12"/>
              </w:rPr>
              <w:t>$52,404</w:t>
            </w:r>
          </w:p>
        </w:tc>
        <w:tc>
          <w:tcPr>
            <w:tcW w:w="0" w:type="auto"/>
            <w:tcBorders>
              <w:top w:val="nil"/>
              <w:left w:val="nil"/>
              <w:bottom w:val="single" w:sz="4" w:space="0" w:color="auto"/>
              <w:right w:val="single" w:sz="4" w:space="0" w:color="auto"/>
            </w:tcBorders>
            <w:shd w:val="clear" w:color="auto" w:fill="auto"/>
            <w:vAlign w:val="center"/>
            <w:hideMark/>
          </w:tcPr>
          <w:p w14:paraId="04564F9D" w14:textId="77777777" w:rsidR="00572995" w:rsidRPr="00483EBE" w:rsidRDefault="00572995" w:rsidP="00E8324D">
            <w:pPr>
              <w:pStyle w:val="Tablas"/>
              <w:rPr>
                <w:sz w:val="12"/>
                <w:szCs w:val="12"/>
              </w:rPr>
            </w:pPr>
            <w:r w:rsidRPr="00483EBE">
              <w:rPr>
                <w:sz w:val="12"/>
                <w:szCs w:val="12"/>
              </w:rPr>
              <w:t>$2,758</w:t>
            </w:r>
          </w:p>
        </w:tc>
        <w:tc>
          <w:tcPr>
            <w:tcW w:w="0" w:type="auto"/>
            <w:tcBorders>
              <w:top w:val="nil"/>
              <w:left w:val="nil"/>
              <w:bottom w:val="single" w:sz="4" w:space="0" w:color="auto"/>
              <w:right w:val="single" w:sz="4" w:space="0" w:color="auto"/>
            </w:tcBorders>
            <w:shd w:val="clear" w:color="auto" w:fill="auto"/>
            <w:vAlign w:val="center"/>
            <w:hideMark/>
          </w:tcPr>
          <w:p w14:paraId="7E38ED5C"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68F6CC85"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5F10EBF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73896C1"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0FC3CE9"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27B98579" w14:textId="77777777" w:rsidR="00572995" w:rsidRPr="00483EBE" w:rsidRDefault="00572995" w:rsidP="00E8324D">
            <w:pPr>
              <w:pStyle w:val="Tablas"/>
              <w:rPr>
                <w:sz w:val="12"/>
                <w:szCs w:val="12"/>
              </w:rPr>
            </w:pPr>
            <w:r w:rsidRPr="00483EBE">
              <w:rPr>
                <w:sz w:val="12"/>
                <w:szCs w:val="12"/>
              </w:rPr>
              <w:t>$6,374</w:t>
            </w:r>
          </w:p>
        </w:tc>
        <w:tc>
          <w:tcPr>
            <w:tcW w:w="0" w:type="auto"/>
            <w:tcBorders>
              <w:top w:val="nil"/>
              <w:left w:val="nil"/>
              <w:bottom w:val="single" w:sz="4" w:space="0" w:color="auto"/>
              <w:right w:val="single" w:sz="4" w:space="0" w:color="auto"/>
            </w:tcBorders>
            <w:shd w:val="clear" w:color="auto" w:fill="auto"/>
            <w:vAlign w:val="center"/>
            <w:hideMark/>
          </w:tcPr>
          <w:p w14:paraId="134229BC" w14:textId="77777777" w:rsidR="00572995" w:rsidRPr="00483EBE" w:rsidRDefault="00572995" w:rsidP="00E8324D">
            <w:pPr>
              <w:pStyle w:val="Tablas"/>
              <w:rPr>
                <w:sz w:val="12"/>
                <w:szCs w:val="12"/>
              </w:rPr>
            </w:pPr>
            <w:r w:rsidRPr="00483EBE">
              <w:rPr>
                <w:sz w:val="12"/>
                <w:szCs w:val="12"/>
              </w:rPr>
              <w:t>$2,125</w:t>
            </w:r>
          </w:p>
        </w:tc>
        <w:tc>
          <w:tcPr>
            <w:tcW w:w="0" w:type="auto"/>
            <w:tcBorders>
              <w:top w:val="nil"/>
              <w:left w:val="nil"/>
              <w:bottom w:val="single" w:sz="4" w:space="0" w:color="auto"/>
              <w:right w:val="single" w:sz="4" w:space="0" w:color="auto"/>
            </w:tcBorders>
            <w:shd w:val="clear" w:color="auto" w:fill="auto"/>
            <w:vAlign w:val="center"/>
            <w:hideMark/>
          </w:tcPr>
          <w:p w14:paraId="6C47BC4E" w14:textId="77777777" w:rsidR="00572995" w:rsidRPr="00483EBE" w:rsidRDefault="00572995" w:rsidP="00E8324D">
            <w:pPr>
              <w:pStyle w:val="Tablas"/>
              <w:rPr>
                <w:sz w:val="12"/>
                <w:szCs w:val="12"/>
              </w:rPr>
            </w:pPr>
            <w:r w:rsidRPr="00483EBE">
              <w:rPr>
                <w:sz w:val="12"/>
                <w:szCs w:val="12"/>
              </w:rPr>
              <w:t>$177</w:t>
            </w:r>
          </w:p>
        </w:tc>
        <w:tc>
          <w:tcPr>
            <w:tcW w:w="0" w:type="auto"/>
            <w:tcBorders>
              <w:top w:val="nil"/>
              <w:left w:val="nil"/>
              <w:bottom w:val="single" w:sz="4" w:space="0" w:color="auto"/>
              <w:right w:val="single" w:sz="4" w:space="0" w:color="auto"/>
            </w:tcBorders>
            <w:shd w:val="clear" w:color="auto" w:fill="auto"/>
            <w:vAlign w:val="center"/>
            <w:hideMark/>
          </w:tcPr>
          <w:p w14:paraId="170FE038"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57197CC4" w14:textId="77777777" w:rsidR="00572995" w:rsidRPr="00483EBE" w:rsidRDefault="00572995" w:rsidP="00E8324D">
            <w:pPr>
              <w:pStyle w:val="Tablas"/>
              <w:rPr>
                <w:sz w:val="12"/>
                <w:szCs w:val="12"/>
              </w:rPr>
            </w:pPr>
            <w:r w:rsidRPr="00483EBE">
              <w:rPr>
                <w:sz w:val="12"/>
                <w:szCs w:val="12"/>
              </w:rPr>
              <w:t>SEBD</w:t>
            </w:r>
          </w:p>
        </w:tc>
      </w:tr>
      <w:tr w:rsidR="00572995" w:rsidRPr="00483EBE" w14:paraId="75F754D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1EF78A"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30B5015"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440C25A6" w14:textId="77777777" w:rsidR="00572995" w:rsidRPr="00483EBE" w:rsidRDefault="00572995" w:rsidP="00E8324D">
            <w:pPr>
              <w:pStyle w:val="Tablas"/>
              <w:rPr>
                <w:sz w:val="12"/>
                <w:szCs w:val="12"/>
              </w:rPr>
            </w:pPr>
            <w:r w:rsidRPr="00483EBE">
              <w:rPr>
                <w:sz w:val="12"/>
                <w:szCs w:val="12"/>
              </w:rPr>
              <w:t>$20,617</w:t>
            </w:r>
          </w:p>
        </w:tc>
        <w:tc>
          <w:tcPr>
            <w:tcW w:w="0" w:type="auto"/>
            <w:tcBorders>
              <w:top w:val="nil"/>
              <w:left w:val="nil"/>
              <w:bottom w:val="single" w:sz="4" w:space="0" w:color="auto"/>
              <w:right w:val="single" w:sz="4" w:space="0" w:color="auto"/>
            </w:tcBorders>
            <w:shd w:val="clear" w:color="auto" w:fill="auto"/>
            <w:vAlign w:val="center"/>
            <w:hideMark/>
          </w:tcPr>
          <w:p w14:paraId="210D19FD" w14:textId="77777777" w:rsidR="00572995" w:rsidRPr="00483EBE" w:rsidRDefault="00572995" w:rsidP="00E8324D">
            <w:pPr>
              <w:pStyle w:val="Tablas"/>
              <w:rPr>
                <w:sz w:val="12"/>
                <w:szCs w:val="12"/>
              </w:rPr>
            </w:pPr>
            <w:r w:rsidRPr="00483EBE">
              <w:rPr>
                <w:sz w:val="12"/>
                <w:szCs w:val="12"/>
              </w:rPr>
              <w:t>$2,291</w:t>
            </w:r>
          </w:p>
        </w:tc>
        <w:tc>
          <w:tcPr>
            <w:tcW w:w="0" w:type="auto"/>
            <w:tcBorders>
              <w:top w:val="nil"/>
              <w:left w:val="nil"/>
              <w:bottom w:val="single" w:sz="4" w:space="0" w:color="auto"/>
              <w:right w:val="single" w:sz="4" w:space="0" w:color="auto"/>
            </w:tcBorders>
            <w:shd w:val="clear" w:color="auto" w:fill="auto"/>
            <w:vAlign w:val="center"/>
            <w:hideMark/>
          </w:tcPr>
          <w:p w14:paraId="0EAAB9BB" w14:textId="77777777" w:rsidR="00572995" w:rsidRPr="00483EBE" w:rsidRDefault="00572995" w:rsidP="00E8324D">
            <w:pPr>
              <w:pStyle w:val="Tablas"/>
              <w:rPr>
                <w:sz w:val="12"/>
                <w:szCs w:val="12"/>
              </w:rPr>
            </w:pPr>
            <w:r w:rsidRPr="00483EBE">
              <w:rPr>
                <w:sz w:val="12"/>
                <w:szCs w:val="12"/>
              </w:rPr>
              <w:t>$191</w:t>
            </w:r>
          </w:p>
        </w:tc>
        <w:tc>
          <w:tcPr>
            <w:tcW w:w="0" w:type="auto"/>
            <w:tcBorders>
              <w:top w:val="nil"/>
              <w:left w:val="nil"/>
              <w:bottom w:val="single" w:sz="4" w:space="0" w:color="auto"/>
              <w:right w:val="single" w:sz="4" w:space="0" w:color="auto"/>
            </w:tcBorders>
            <w:shd w:val="clear" w:color="auto" w:fill="auto"/>
            <w:vAlign w:val="center"/>
            <w:hideMark/>
          </w:tcPr>
          <w:p w14:paraId="46A404F6"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D5F3CE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AFC367"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16E838B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5D36B7C" w14:textId="77777777" w:rsidR="00572995" w:rsidRPr="00483EBE" w:rsidRDefault="00572995" w:rsidP="00E8324D">
            <w:pPr>
              <w:pStyle w:val="Tablas"/>
              <w:rPr>
                <w:sz w:val="12"/>
                <w:szCs w:val="12"/>
              </w:rPr>
            </w:pPr>
            <w:r w:rsidRPr="00483EBE">
              <w:rPr>
                <w:sz w:val="12"/>
                <w:szCs w:val="12"/>
              </w:rPr>
              <w:t>$2,210</w:t>
            </w:r>
          </w:p>
        </w:tc>
        <w:tc>
          <w:tcPr>
            <w:tcW w:w="0" w:type="auto"/>
            <w:tcBorders>
              <w:top w:val="nil"/>
              <w:left w:val="nil"/>
              <w:bottom w:val="single" w:sz="4" w:space="0" w:color="auto"/>
              <w:right w:val="single" w:sz="4" w:space="0" w:color="auto"/>
            </w:tcBorders>
            <w:shd w:val="clear" w:color="auto" w:fill="auto"/>
            <w:vAlign w:val="center"/>
            <w:hideMark/>
          </w:tcPr>
          <w:p w14:paraId="7ACF730C" w14:textId="77777777" w:rsidR="00572995" w:rsidRPr="00483EBE" w:rsidRDefault="00572995" w:rsidP="00E8324D">
            <w:pPr>
              <w:pStyle w:val="Tablas"/>
              <w:rPr>
                <w:sz w:val="12"/>
                <w:szCs w:val="12"/>
              </w:rPr>
            </w:pPr>
            <w:r w:rsidRPr="00483EBE">
              <w:rPr>
                <w:sz w:val="12"/>
                <w:szCs w:val="12"/>
              </w:rPr>
              <w:t>$2,210</w:t>
            </w:r>
          </w:p>
        </w:tc>
        <w:tc>
          <w:tcPr>
            <w:tcW w:w="0" w:type="auto"/>
            <w:tcBorders>
              <w:top w:val="nil"/>
              <w:left w:val="nil"/>
              <w:bottom w:val="single" w:sz="4" w:space="0" w:color="auto"/>
              <w:right w:val="single" w:sz="4" w:space="0" w:color="auto"/>
            </w:tcBorders>
            <w:shd w:val="clear" w:color="auto" w:fill="auto"/>
            <w:vAlign w:val="center"/>
            <w:hideMark/>
          </w:tcPr>
          <w:p w14:paraId="037D8EFF" w14:textId="77777777" w:rsidR="00572995" w:rsidRPr="00483EBE" w:rsidRDefault="00572995" w:rsidP="00E8324D">
            <w:pPr>
              <w:pStyle w:val="Tablas"/>
              <w:rPr>
                <w:sz w:val="12"/>
                <w:szCs w:val="12"/>
              </w:rPr>
            </w:pPr>
            <w:r w:rsidRPr="00483EBE">
              <w:rPr>
                <w:sz w:val="12"/>
                <w:szCs w:val="12"/>
              </w:rPr>
              <w:t>$184</w:t>
            </w:r>
          </w:p>
        </w:tc>
        <w:tc>
          <w:tcPr>
            <w:tcW w:w="0" w:type="auto"/>
            <w:tcBorders>
              <w:top w:val="nil"/>
              <w:left w:val="nil"/>
              <w:bottom w:val="single" w:sz="4" w:space="0" w:color="auto"/>
              <w:right w:val="single" w:sz="4" w:space="0" w:color="auto"/>
            </w:tcBorders>
            <w:shd w:val="clear" w:color="auto" w:fill="auto"/>
            <w:vAlign w:val="center"/>
            <w:hideMark/>
          </w:tcPr>
          <w:p w14:paraId="02E37507"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6B0D3D58" w14:textId="77777777" w:rsidR="00572995" w:rsidRPr="00483EBE" w:rsidRDefault="00572995" w:rsidP="00E8324D">
            <w:pPr>
              <w:pStyle w:val="Tablas"/>
              <w:rPr>
                <w:sz w:val="12"/>
                <w:szCs w:val="12"/>
              </w:rPr>
            </w:pPr>
            <w:r w:rsidRPr="00483EBE">
              <w:rPr>
                <w:sz w:val="12"/>
                <w:szCs w:val="12"/>
              </w:rPr>
              <w:t>SEBD</w:t>
            </w:r>
          </w:p>
        </w:tc>
      </w:tr>
      <w:tr w:rsidR="00572995" w:rsidRPr="00483EBE" w14:paraId="4AC5F5B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7E1D29"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7D318721"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701A0A00" w14:textId="77777777" w:rsidR="00572995" w:rsidRPr="00483EBE" w:rsidRDefault="00572995" w:rsidP="00E8324D">
            <w:pPr>
              <w:pStyle w:val="Tablas"/>
              <w:rPr>
                <w:sz w:val="12"/>
                <w:szCs w:val="12"/>
              </w:rPr>
            </w:pPr>
            <w:r w:rsidRPr="00483EBE">
              <w:rPr>
                <w:sz w:val="12"/>
                <w:szCs w:val="12"/>
              </w:rPr>
              <w:t>$42,528</w:t>
            </w:r>
          </w:p>
        </w:tc>
        <w:tc>
          <w:tcPr>
            <w:tcW w:w="0" w:type="auto"/>
            <w:tcBorders>
              <w:top w:val="nil"/>
              <w:left w:val="nil"/>
              <w:bottom w:val="single" w:sz="4" w:space="0" w:color="auto"/>
              <w:right w:val="single" w:sz="4" w:space="0" w:color="auto"/>
            </w:tcBorders>
            <w:shd w:val="clear" w:color="auto" w:fill="auto"/>
            <w:vAlign w:val="center"/>
            <w:hideMark/>
          </w:tcPr>
          <w:p w14:paraId="31FE9C82" w14:textId="77777777" w:rsidR="00572995" w:rsidRPr="00483EBE" w:rsidRDefault="00572995" w:rsidP="00E8324D">
            <w:pPr>
              <w:pStyle w:val="Tablas"/>
              <w:rPr>
                <w:sz w:val="12"/>
                <w:szCs w:val="12"/>
              </w:rPr>
            </w:pPr>
            <w:r w:rsidRPr="00483EBE">
              <w:rPr>
                <w:sz w:val="12"/>
                <w:szCs w:val="12"/>
              </w:rPr>
              <w:t>$2,502</w:t>
            </w:r>
          </w:p>
        </w:tc>
        <w:tc>
          <w:tcPr>
            <w:tcW w:w="0" w:type="auto"/>
            <w:tcBorders>
              <w:top w:val="nil"/>
              <w:left w:val="nil"/>
              <w:bottom w:val="single" w:sz="4" w:space="0" w:color="auto"/>
              <w:right w:val="single" w:sz="4" w:space="0" w:color="auto"/>
            </w:tcBorders>
            <w:shd w:val="clear" w:color="auto" w:fill="auto"/>
            <w:vAlign w:val="center"/>
            <w:hideMark/>
          </w:tcPr>
          <w:p w14:paraId="0FC70078" w14:textId="77777777" w:rsidR="00572995" w:rsidRPr="00483EBE" w:rsidRDefault="00572995" w:rsidP="00E8324D">
            <w:pPr>
              <w:pStyle w:val="Tablas"/>
              <w:rPr>
                <w:sz w:val="12"/>
                <w:szCs w:val="12"/>
              </w:rPr>
            </w:pPr>
            <w:r w:rsidRPr="00483EBE">
              <w:rPr>
                <w:sz w:val="12"/>
                <w:szCs w:val="12"/>
              </w:rPr>
              <w:t>$208</w:t>
            </w:r>
          </w:p>
        </w:tc>
        <w:tc>
          <w:tcPr>
            <w:tcW w:w="0" w:type="auto"/>
            <w:tcBorders>
              <w:top w:val="nil"/>
              <w:left w:val="nil"/>
              <w:bottom w:val="single" w:sz="4" w:space="0" w:color="auto"/>
              <w:right w:val="single" w:sz="4" w:space="0" w:color="auto"/>
            </w:tcBorders>
            <w:shd w:val="clear" w:color="auto" w:fill="auto"/>
            <w:vAlign w:val="center"/>
            <w:hideMark/>
          </w:tcPr>
          <w:p w14:paraId="6069BBE1"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5359A11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0860750"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0D349A1"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4BC567D" w14:textId="77777777" w:rsidR="00572995" w:rsidRPr="00483EBE" w:rsidRDefault="00572995" w:rsidP="00E8324D">
            <w:pPr>
              <w:pStyle w:val="Tablas"/>
              <w:rPr>
                <w:sz w:val="12"/>
                <w:szCs w:val="12"/>
              </w:rPr>
            </w:pPr>
            <w:r w:rsidRPr="00483EBE">
              <w:rPr>
                <w:sz w:val="12"/>
                <w:szCs w:val="12"/>
              </w:rPr>
              <w:t>$9,028</w:t>
            </w:r>
          </w:p>
        </w:tc>
        <w:tc>
          <w:tcPr>
            <w:tcW w:w="0" w:type="auto"/>
            <w:tcBorders>
              <w:top w:val="nil"/>
              <w:left w:val="nil"/>
              <w:bottom w:val="single" w:sz="4" w:space="0" w:color="auto"/>
              <w:right w:val="single" w:sz="4" w:space="0" w:color="auto"/>
            </w:tcBorders>
            <w:shd w:val="clear" w:color="auto" w:fill="auto"/>
            <w:vAlign w:val="center"/>
            <w:hideMark/>
          </w:tcPr>
          <w:p w14:paraId="284EF1AC" w14:textId="77777777" w:rsidR="00572995" w:rsidRPr="00483EBE" w:rsidRDefault="00572995" w:rsidP="00E8324D">
            <w:pPr>
              <w:pStyle w:val="Tablas"/>
              <w:rPr>
                <w:sz w:val="12"/>
                <w:szCs w:val="12"/>
              </w:rPr>
            </w:pPr>
            <w:r w:rsidRPr="00483EBE">
              <w:rPr>
                <w:sz w:val="12"/>
                <w:szCs w:val="12"/>
              </w:rPr>
              <w:t>$3,009</w:t>
            </w:r>
          </w:p>
        </w:tc>
        <w:tc>
          <w:tcPr>
            <w:tcW w:w="0" w:type="auto"/>
            <w:tcBorders>
              <w:top w:val="nil"/>
              <w:left w:val="nil"/>
              <w:bottom w:val="single" w:sz="4" w:space="0" w:color="auto"/>
              <w:right w:val="single" w:sz="4" w:space="0" w:color="auto"/>
            </w:tcBorders>
            <w:shd w:val="clear" w:color="auto" w:fill="auto"/>
            <w:vAlign w:val="center"/>
            <w:hideMark/>
          </w:tcPr>
          <w:p w14:paraId="779A1B6A"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6E1A99BB"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0D888E40" w14:textId="77777777" w:rsidR="00572995" w:rsidRPr="00483EBE" w:rsidRDefault="00572995" w:rsidP="00E8324D">
            <w:pPr>
              <w:pStyle w:val="Tablas"/>
              <w:rPr>
                <w:sz w:val="12"/>
                <w:szCs w:val="12"/>
              </w:rPr>
            </w:pPr>
            <w:r w:rsidRPr="00483EBE">
              <w:rPr>
                <w:sz w:val="12"/>
                <w:szCs w:val="12"/>
              </w:rPr>
              <w:t>SEBD</w:t>
            </w:r>
          </w:p>
        </w:tc>
      </w:tr>
      <w:tr w:rsidR="00572995" w:rsidRPr="00483EBE" w14:paraId="2097579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6FED08"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0BE5224D"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7061A801" w14:textId="77777777" w:rsidR="00572995" w:rsidRPr="00483EBE" w:rsidRDefault="00572995" w:rsidP="00E8324D">
            <w:pPr>
              <w:pStyle w:val="Tablas"/>
              <w:rPr>
                <w:sz w:val="12"/>
                <w:szCs w:val="12"/>
              </w:rPr>
            </w:pPr>
            <w:r w:rsidRPr="00483EBE">
              <w:rPr>
                <w:sz w:val="12"/>
                <w:szCs w:val="12"/>
              </w:rPr>
              <w:t>$22,304</w:t>
            </w:r>
          </w:p>
        </w:tc>
        <w:tc>
          <w:tcPr>
            <w:tcW w:w="0" w:type="auto"/>
            <w:tcBorders>
              <w:top w:val="nil"/>
              <w:left w:val="nil"/>
              <w:bottom w:val="single" w:sz="4" w:space="0" w:color="auto"/>
              <w:right w:val="single" w:sz="4" w:space="0" w:color="auto"/>
            </w:tcBorders>
            <w:shd w:val="clear" w:color="auto" w:fill="auto"/>
            <w:vAlign w:val="center"/>
            <w:hideMark/>
          </w:tcPr>
          <w:p w14:paraId="6D772BDE" w14:textId="77777777" w:rsidR="00572995" w:rsidRPr="00483EBE" w:rsidRDefault="00572995" w:rsidP="00E8324D">
            <w:pPr>
              <w:pStyle w:val="Tablas"/>
              <w:rPr>
                <w:sz w:val="12"/>
                <w:szCs w:val="12"/>
              </w:rPr>
            </w:pPr>
            <w:r w:rsidRPr="00483EBE">
              <w:rPr>
                <w:sz w:val="12"/>
                <w:szCs w:val="12"/>
              </w:rPr>
              <w:t>$2,478</w:t>
            </w:r>
          </w:p>
        </w:tc>
        <w:tc>
          <w:tcPr>
            <w:tcW w:w="0" w:type="auto"/>
            <w:tcBorders>
              <w:top w:val="nil"/>
              <w:left w:val="nil"/>
              <w:bottom w:val="single" w:sz="4" w:space="0" w:color="auto"/>
              <w:right w:val="single" w:sz="4" w:space="0" w:color="auto"/>
            </w:tcBorders>
            <w:shd w:val="clear" w:color="auto" w:fill="auto"/>
            <w:vAlign w:val="center"/>
            <w:hideMark/>
          </w:tcPr>
          <w:p w14:paraId="0FDAC715" w14:textId="77777777" w:rsidR="00572995" w:rsidRPr="00483EBE" w:rsidRDefault="00572995" w:rsidP="00E8324D">
            <w:pPr>
              <w:pStyle w:val="Tablas"/>
              <w:rPr>
                <w:sz w:val="12"/>
                <w:szCs w:val="12"/>
              </w:rPr>
            </w:pPr>
            <w:r w:rsidRPr="00483EBE">
              <w:rPr>
                <w:sz w:val="12"/>
                <w:szCs w:val="12"/>
              </w:rPr>
              <w:t>$207</w:t>
            </w:r>
          </w:p>
        </w:tc>
        <w:tc>
          <w:tcPr>
            <w:tcW w:w="0" w:type="auto"/>
            <w:tcBorders>
              <w:top w:val="nil"/>
              <w:left w:val="nil"/>
              <w:bottom w:val="single" w:sz="4" w:space="0" w:color="auto"/>
              <w:right w:val="single" w:sz="4" w:space="0" w:color="auto"/>
            </w:tcBorders>
            <w:shd w:val="clear" w:color="auto" w:fill="auto"/>
            <w:vAlign w:val="center"/>
            <w:hideMark/>
          </w:tcPr>
          <w:p w14:paraId="5714259A"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3AF36EE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7F21AE3"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0DFE4C3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FBD791E" w14:textId="77777777" w:rsidR="00572995" w:rsidRPr="00483EBE" w:rsidRDefault="00572995" w:rsidP="00E8324D">
            <w:pPr>
              <w:pStyle w:val="Tablas"/>
              <w:rPr>
                <w:sz w:val="12"/>
                <w:szCs w:val="12"/>
              </w:rPr>
            </w:pPr>
            <w:r w:rsidRPr="00483EBE">
              <w:rPr>
                <w:sz w:val="12"/>
                <w:szCs w:val="12"/>
              </w:rPr>
              <w:t>$5,972</w:t>
            </w:r>
          </w:p>
        </w:tc>
        <w:tc>
          <w:tcPr>
            <w:tcW w:w="0" w:type="auto"/>
            <w:tcBorders>
              <w:top w:val="nil"/>
              <w:left w:val="nil"/>
              <w:bottom w:val="single" w:sz="4" w:space="0" w:color="auto"/>
              <w:right w:val="single" w:sz="4" w:space="0" w:color="auto"/>
            </w:tcBorders>
            <w:shd w:val="clear" w:color="auto" w:fill="auto"/>
            <w:vAlign w:val="center"/>
            <w:hideMark/>
          </w:tcPr>
          <w:p w14:paraId="52DC7021" w14:textId="77777777" w:rsidR="00572995" w:rsidRPr="00483EBE" w:rsidRDefault="00572995" w:rsidP="00E8324D">
            <w:pPr>
              <w:pStyle w:val="Tablas"/>
              <w:rPr>
                <w:sz w:val="12"/>
                <w:szCs w:val="12"/>
              </w:rPr>
            </w:pPr>
            <w:r w:rsidRPr="00483EBE">
              <w:rPr>
                <w:sz w:val="12"/>
                <w:szCs w:val="12"/>
              </w:rPr>
              <w:t>$2,986</w:t>
            </w:r>
          </w:p>
        </w:tc>
        <w:tc>
          <w:tcPr>
            <w:tcW w:w="0" w:type="auto"/>
            <w:tcBorders>
              <w:top w:val="nil"/>
              <w:left w:val="nil"/>
              <w:bottom w:val="single" w:sz="4" w:space="0" w:color="auto"/>
              <w:right w:val="single" w:sz="4" w:space="0" w:color="auto"/>
            </w:tcBorders>
            <w:shd w:val="clear" w:color="auto" w:fill="auto"/>
            <w:vAlign w:val="center"/>
            <w:hideMark/>
          </w:tcPr>
          <w:p w14:paraId="6DC6821E" w14:textId="77777777" w:rsidR="00572995" w:rsidRPr="00483EBE" w:rsidRDefault="00572995" w:rsidP="00E8324D">
            <w:pPr>
              <w:pStyle w:val="Tablas"/>
              <w:rPr>
                <w:sz w:val="12"/>
                <w:szCs w:val="12"/>
              </w:rPr>
            </w:pPr>
            <w:r w:rsidRPr="00483EBE">
              <w:rPr>
                <w:sz w:val="12"/>
                <w:szCs w:val="12"/>
              </w:rPr>
              <w:t>$249</w:t>
            </w:r>
          </w:p>
        </w:tc>
        <w:tc>
          <w:tcPr>
            <w:tcW w:w="0" w:type="auto"/>
            <w:tcBorders>
              <w:top w:val="nil"/>
              <w:left w:val="nil"/>
              <w:bottom w:val="single" w:sz="4" w:space="0" w:color="auto"/>
              <w:right w:val="single" w:sz="4" w:space="0" w:color="auto"/>
            </w:tcBorders>
            <w:shd w:val="clear" w:color="auto" w:fill="auto"/>
            <w:vAlign w:val="center"/>
            <w:hideMark/>
          </w:tcPr>
          <w:p w14:paraId="737ABAD2" w14:textId="77777777" w:rsidR="00572995" w:rsidRPr="00483EBE" w:rsidRDefault="00572995" w:rsidP="00E8324D">
            <w:pPr>
              <w:pStyle w:val="Tablas"/>
              <w:rPr>
                <w:sz w:val="12"/>
                <w:szCs w:val="12"/>
              </w:rPr>
            </w:pPr>
            <w:r w:rsidRPr="00483EBE">
              <w:rPr>
                <w:sz w:val="12"/>
                <w:szCs w:val="12"/>
              </w:rPr>
              <w:t>PROPORCIONAL</w:t>
            </w:r>
          </w:p>
        </w:tc>
        <w:tc>
          <w:tcPr>
            <w:tcW w:w="582" w:type="dxa"/>
            <w:tcBorders>
              <w:top w:val="nil"/>
              <w:left w:val="nil"/>
              <w:bottom w:val="single" w:sz="4" w:space="0" w:color="auto"/>
              <w:right w:val="single" w:sz="8" w:space="0" w:color="auto"/>
            </w:tcBorders>
            <w:shd w:val="clear" w:color="auto" w:fill="auto"/>
            <w:vAlign w:val="center"/>
            <w:hideMark/>
          </w:tcPr>
          <w:p w14:paraId="465E094B" w14:textId="77777777" w:rsidR="00572995" w:rsidRPr="00483EBE" w:rsidRDefault="00572995" w:rsidP="00E8324D">
            <w:pPr>
              <w:pStyle w:val="Tablas"/>
              <w:rPr>
                <w:sz w:val="12"/>
                <w:szCs w:val="12"/>
              </w:rPr>
            </w:pPr>
            <w:r w:rsidRPr="00483EBE">
              <w:rPr>
                <w:sz w:val="12"/>
                <w:szCs w:val="12"/>
              </w:rPr>
              <w:t>SEBD</w:t>
            </w:r>
          </w:p>
        </w:tc>
      </w:tr>
      <w:tr w:rsidR="00572995" w:rsidRPr="00483EBE" w14:paraId="38C3797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908116C"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59146B4"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61526BDD" w14:textId="77777777" w:rsidR="00572995" w:rsidRPr="00483EBE" w:rsidRDefault="00572995" w:rsidP="00E8324D">
            <w:pPr>
              <w:pStyle w:val="Tablas"/>
              <w:rPr>
                <w:sz w:val="12"/>
                <w:szCs w:val="12"/>
              </w:rPr>
            </w:pPr>
            <w:r w:rsidRPr="00483EBE">
              <w:rPr>
                <w:sz w:val="12"/>
                <w:szCs w:val="12"/>
              </w:rPr>
              <w:t>$39,286</w:t>
            </w:r>
          </w:p>
        </w:tc>
        <w:tc>
          <w:tcPr>
            <w:tcW w:w="0" w:type="auto"/>
            <w:tcBorders>
              <w:top w:val="nil"/>
              <w:left w:val="nil"/>
              <w:bottom w:val="single" w:sz="4" w:space="0" w:color="auto"/>
              <w:right w:val="single" w:sz="4" w:space="0" w:color="auto"/>
            </w:tcBorders>
            <w:shd w:val="clear" w:color="auto" w:fill="auto"/>
            <w:vAlign w:val="center"/>
            <w:hideMark/>
          </w:tcPr>
          <w:p w14:paraId="3200DC85" w14:textId="77777777" w:rsidR="00572995" w:rsidRPr="00483EBE" w:rsidRDefault="00572995" w:rsidP="00E8324D">
            <w:pPr>
              <w:pStyle w:val="Tablas"/>
              <w:rPr>
                <w:sz w:val="12"/>
                <w:szCs w:val="12"/>
              </w:rPr>
            </w:pPr>
            <w:r w:rsidRPr="00483EBE">
              <w:rPr>
                <w:sz w:val="12"/>
                <w:szCs w:val="12"/>
              </w:rPr>
              <w:t>$2,311</w:t>
            </w:r>
          </w:p>
        </w:tc>
        <w:tc>
          <w:tcPr>
            <w:tcW w:w="0" w:type="auto"/>
            <w:tcBorders>
              <w:top w:val="nil"/>
              <w:left w:val="nil"/>
              <w:bottom w:val="single" w:sz="4" w:space="0" w:color="auto"/>
              <w:right w:val="single" w:sz="4" w:space="0" w:color="auto"/>
            </w:tcBorders>
            <w:shd w:val="clear" w:color="auto" w:fill="auto"/>
            <w:vAlign w:val="center"/>
            <w:hideMark/>
          </w:tcPr>
          <w:p w14:paraId="6618AEFC" w14:textId="77777777" w:rsidR="00572995" w:rsidRPr="00483EBE" w:rsidRDefault="00572995" w:rsidP="00E8324D">
            <w:pPr>
              <w:pStyle w:val="Tablas"/>
              <w:rPr>
                <w:sz w:val="12"/>
                <w:szCs w:val="12"/>
              </w:rPr>
            </w:pPr>
            <w:r w:rsidRPr="00483EBE">
              <w:rPr>
                <w:sz w:val="12"/>
                <w:szCs w:val="12"/>
              </w:rPr>
              <w:t>$193</w:t>
            </w:r>
          </w:p>
        </w:tc>
        <w:tc>
          <w:tcPr>
            <w:tcW w:w="0" w:type="auto"/>
            <w:tcBorders>
              <w:top w:val="nil"/>
              <w:left w:val="nil"/>
              <w:bottom w:val="single" w:sz="4" w:space="0" w:color="auto"/>
              <w:right w:val="single" w:sz="4" w:space="0" w:color="auto"/>
            </w:tcBorders>
            <w:shd w:val="clear" w:color="auto" w:fill="auto"/>
            <w:vAlign w:val="center"/>
            <w:hideMark/>
          </w:tcPr>
          <w:p w14:paraId="5BFDDD20"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3518FDD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ACE6265"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7AA16EE4" w14:textId="77777777" w:rsidR="00572995" w:rsidRPr="00483EBE" w:rsidRDefault="00572995" w:rsidP="00E8324D">
            <w:pPr>
              <w:pStyle w:val="Tablas"/>
              <w:rPr>
                <w:sz w:val="12"/>
                <w:szCs w:val="12"/>
              </w:rPr>
            </w:pPr>
            <w:r w:rsidRPr="00483EBE">
              <w:rPr>
                <w:sz w:val="12"/>
                <w:szCs w:val="12"/>
              </w:rPr>
              <w:t xml:space="preserve">1,255 </w:t>
            </w:r>
          </w:p>
        </w:tc>
        <w:tc>
          <w:tcPr>
            <w:tcW w:w="0" w:type="auto"/>
            <w:tcBorders>
              <w:top w:val="nil"/>
              <w:left w:val="nil"/>
              <w:bottom w:val="single" w:sz="4" w:space="0" w:color="auto"/>
              <w:right w:val="single" w:sz="4" w:space="0" w:color="auto"/>
            </w:tcBorders>
            <w:shd w:val="clear" w:color="auto" w:fill="auto"/>
            <w:vAlign w:val="center"/>
            <w:hideMark/>
          </w:tcPr>
          <w:p w14:paraId="1E28157E" w14:textId="77777777" w:rsidR="00572995" w:rsidRPr="00483EBE" w:rsidRDefault="00572995" w:rsidP="00E8324D">
            <w:pPr>
              <w:pStyle w:val="Tablas"/>
              <w:rPr>
                <w:sz w:val="12"/>
                <w:szCs w:val="12"/>
              </w:rPr>
            </w:pPr>
            <w:r w:rsidRPr="00483EBE">
              <w:rPr>
                <w:sz w:val="12"/>
                <w:szCs w:val="12"/>
              </w:rPr>
              <w:t>$7,832,288</w:t>
            </w:r>
          </w:p>
        </w:tc>
        <w:tc>
          <w:tcPr>
            <w:tcW w:w="0" w:type="auto"/>
            <w:tcBorders>
              <w:top w:val="nil"/>
              <w:left w:val="nil"/>
              <w:bottom w:val="single" w:sz="4" w:space="0" w:color="auto"/>
              <w:right w:val="single" w:sz="4" w:space="0" w:color="auto"/>
            </w:tcBorders>
            <w:shd w:val="clear" w:color="auto" w:fill="auto"/>
            <w:vAlign w:val="center"/>
            <w:hideMark/>
          </w:tcPr>
          <w:p w14:paraId="02CD5593" w14:textId="77777777" w:rsidR="00572995" w:rsidRPr="00483EBE" w:rsidRDefault="00572995" w:rsidP="00E8324D">
            <w:pPr>
              <w:pStyle w:val="Tablas"/>
              <w:rPr>
                <w:sz w:val="12"/>
                <w:szCs w:val="12"/>
              </w:rPr>
            </w:pPr>
            <w:r w:rsidRPr="00483EBE">
              <w:rPr>
                <w:sz w:val="12"/>
                <w:szCs w:val="12"/>
              </w:rPr>
              <w:t>$6,241</w:t>
            </w:r>
          </w:p>
        </w:tc>
        <w:tc>
          <w:tcPr>
            <w:tcW w:w="0" w:type="auto"/>
            <w:tcBorders>
              <w:top w:val="nil"/>
              <w:left w:val="nil"/>
              <w:bottom w:val="single" w:sz="4" w:space="0" w:color="auto"/>
              <w:right w:val="single" w:sz="4" w:space="0" w:color="auto"/>
            </w:tcBorders>
            <w:shd w:val="clear" w:color="auto" w:fill="auto"/>
            <w:vAlign w:val="center"/>
            <w:hideMark/>
          </w:tcPr>
          <w:p w14:paraId="1A5890DE" w14:textId="77777777" w:rsidR="00572995" w:rsidRPr="00483EBE" w:rsidRDefault="00572995" w:rsidP="00E8324D">
            <w:pPr>
              <w:pStyle w:val="Tablas"/>
              <w:rPr>
                <w:sz w:val="12"/>
                <w:szCs w:val="12"/>
              </w:rPr>
            </w:pPr>
            <w:r w:rsidRPr="00483EBE">
              <w:rPr>
                <w:sz w:val="12"/>
                <w:szCs w:val="12"/>
              </w:rPr>
              <w:t>$520</w:t>
            </w:r>
          </w:p>
        </w:tc>
        <w:tc>
          <w:tcPr>
            <w:tcW w:w="0" w:type="auto"/>
            <w:tcBorders>
              <w:top w:val="nil"/>
              <w:left w:val="nil"/>
              <w:bottom w:val="single" w:sz="4" w:space="0" w:color="auto"/>
              <w:right w:val="single" w:sz="4" w:space="0" w:color="auto"/>
            </w:tcBorders>
            <w:shd w:val="clear" w:color="auto" w:fill="auto"/>
            <w:vAlign w:val="center"/>
            <w:hideMark/>
          </w:tcPr>
          <w:p w14:paraId="52BA4B6C"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4FEC569C" w14:textId="77777777" w:rsidR="00572995" w:rsidRPr="00483EBE" w:rsidRDefault="00572995" w:rsidP="00E8324D">
            <w:pPr>
              <w:pStyle w:val="Tablas"/>
              <w:rPr>
                <w:sz w:val="12"/>
                <w:szCs w:val="12"/>
              </w:rPr>
            </w:pPr>
            <w:r w:rsidRPr="00483EBE">
              <w:rPr>
                <w:sz w:val="12"/>
                <w:szCs w:val="12"/>
              </w:rPr>
              <w:t>SEBD</w:t>
            </w:r>
          </w:p>
        </w:tc>
      </w:tr>
      <w:tr w:rsidR="00572995" w:rsidRPr="00483EBE" w14:paraId="7E378AA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E186995"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4997434F"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AFE00CB" w14:textId="77777777" w:rsidR="00572995" w:rsidRPr="00483EBE" w:rsidRDefault="00572995" w:rsidP="00E8324D">
            <w:pPr>
              <w:pStyle w:val="Tablas"/>
              <w:rPr>
                <w:sz w:val="12"/>
                <w:szCs w:val="12"/>
              </w:rPr>
            </w:pPr>
            <w:r w:rsidRPr="00483EBE">
              <w:rPr>
                <w:sz w:val="12"/>
                <w:szCs w:val="12"/>
              </w:rPr>
              <w:t>$8,650</w:t>
            </w:r>
          </w:p>
        </w:tc>
        <w:tc>
          <w:tcPr>
            <w:tcW w:w="0" w:type="auto"/>
            <w:tcBorders>
              <w:top w:val="nil"/>
              <w:left w:val="nil"/>
              <w:bottom w:val="single" w:sz="4" w:space="0" w:color="auto"/>
              <w:right w:val="single" w:sz="4" w:space="0" w:color="auto"/>
            </w:tcBorders>
            <w:shd w:val="clear" w:color="auto" w:fill="auto"/>
            <w:vAlign w:val="center"/>
            <w:hideMark/>
          </w:tcPr>
          <w:p w14:paraId="0D715673" w14:textId="77777777" w:rsidR="00572995" w:rsidRPr="00483EBE" w:rsidRDefault="00572995" w:rsidP="00E8324D">
            <w:pPr>
              <w:pStyle w:val="Tablas"/>
              <w:rPr>
                <w:sz w:val="12"/>
                <w:szCs w:val="12"/>
              </w:rPr>
            </w:pPr>
            <w:r w:rsidRPr="00483EBE">
              <w:rPr>
                <w:sz w:val="12"/>
                <w:szCs w:val="12"/>
              </w:rPr>
              <w:t>$2,163</w:t>
            </w:r>
          </w:p>
        </w:tc>
        <w:tc>
          <w:tcPr>
            <w:tcW w:w="0" w:type="auto"/>
            <w:tcBorders>
              <w:top w:val="nil"/>
              <w:left w:val="nil"/>
              <w:bottom w:val="single" w:sz="4" w:space="0" w:color="auto"/>
              <w:right w:val="single" w:sz="4" w:space="0" w:color="auto"/>
            </w:tcBorders>
            <w:shd w:val="clear" w:color="auto" w:fill="auto"/>
            <w:vAlign w:val="center"/>
            <w:hideMark/>
          </w:tcPr>
          <w:p w14:paraId="500E2011" w14:textId="77777777" w:rsidR="00572995" w:rsidRPr="00483EBE" w:rsidRDefault="00572995" w:rsidP="00E8324D">
            <w:pPr>
              <w:pStyle w:val="Tablas"/>
              <w:rPr>
                <w:sz w:val="12"/>
                <w:szCs w:val="12"/>
              </w:rPr>
            </w:pPr>
            <w:r w:rsidRPr="00483EBE">
              <w:rPr>
                <w:sz w:val="12"/>
                <w:szCs w:val="12"/>
              </w:rPr>
              <w:t>$180</w:t>
            </w:r>
          </w:p>
        </w:tc>
        <w:tc>
          <w:tcPr>
            <w:tcW w:w="0" w:type="auto"/>
            <w:tcBorders>
              <w:top w:val="nil"/>
              <w:left w:val="nil"/>
              <w:bottom w:val="single" w:sz="4" w:space="0" w:color="auto"/>
              <w:right w:val="single" w:sz="4" w:space="0" w:color="auto"/>
            </w:tcBorders>
            <w:shd w:val="clear" w:color="auto" w:fill="auto"/>
            <w:vAlign w:val="center"/>
            <w:hideMark/>
          </w:tcPr>
          <w:p w14:paraId="48F0FF0C"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6075452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DEAC230"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022856D3" w14:textId="77777777" w:rsidR="00572995" w:rsidRPr="00483EBE" w:rsidRDefault="00572995" w:rsidP="00E8324D">
            <w:pPr>
              <w:pStyle w:val="Tablas"/>
              <w:rPr>
                <w:sz w:val="12"/>
                <w:szCs w:val="12"/>
              </w:rPr>
            </w:pPr>
            <w:r w:rsidRPr="00483EBE">
              <w:rPr>
                <w:sz w:val="12"/>
                <w:szCs w:val="12"/>
              </w:rPr>
              <w:t xml:space="preserve">2,247 </w:t>
            </w:r>
          </w:p>
        </w:tc>
        <w:tc>
          <w:tcPr>
            <w:tcW w:w="0" w:type="auto"/>
            <w:tcBorders>
              <w:top w:val="nil"/>
              <w:left w:val="nil"/>
              <w:bottom w:val="single" w:sz="4" w:space="0" w:color="auto"/>
              <w:right w:val="single" w:sz="4" w:space="0" w:color="auto"/>
            </w:tcBorders>
            <w:shd w:val="clear" w:color="auto" w:fill="auto"/>
            <w:vAlign w:val="center"/>
            <w:hideMark/>
          </w:tcPr>
          <w:p w14:paraId="609796A5" w14:textId="77777777" w:rsidR="00572995" w:rsidRPr="00483EBE" w:rsidRDefault="00572995" w:rsidP="00E8324D">
            <w:pPr>
              <w:pStyle w:val="Tablas"/>
              <w:rPr>
                <w:sz w:val="12"/>
                <w:szCs w:val="12"/>
              </w:rPr>
            </w:pPr>
            <w:r w:rsidRPr="00483EBE">
              <w:rPr>
                <w:sz w:val="12"/>
                <w:szCs w:val="12"/>
              </w:rPr>
              <w:t>$14,296,696</w:t>
            </w:r>
          </w:p>
        </w:tc>
        <w:tc>
          <w:tcPr>
            <w:tcW w:w="0" w:type="auto"/>
            <w:tcBorders>
              <w:top w:val="nil"/>
              <w:left w:val="nil"/>
              <w:bottom w:val="single" w:sz="4" w:space="0" w:color="auto"/>
              <w:right w:val="single" w:sz="4" w:space="0" w:color="auto"/>
            </w:tcBorders>
            <w:shd w:val="clear" w:color="auto" w:fill="auto"/>
            <w:vAlign w:val="center"/>
            <w:hideMark/>
          </w:tcPr>
          <w:p w14:paraId="327B286A" w14:textId="77777777" w:rsidR="00572995" w:rsidRPr="00483EBE" w:rsidRDefault="00572995" w:rsidP="00E8324D">
            <w:pPr>
              <w:pStyle w:val="Tablas"/>
              <w:rPr>
                <w:sz w:val="12"/>
                <w:szCs w:val="12"/>
              </w:rPr>
            </w:pPr>
            <w:r w:rsidRPr="00483EBE">
              <w:rPr>
                <w:sz w:val="12"/>
                <w:szCs w:val="12"/>
              </w:rPr>
              <w:t>$6,363</w:t>
            </w:r>
          </w:p>
        </w:tc>
        <w:tc>
          <w:tcPr>
            <w:tcW w:w="0" w:type="auto"/>
            <w:tcBorders>
              <w:top w:val="nil"/>
              <w:left w:val="nil"/>
              <w:bottom w:val="single" w:sz="4" w:space="0" w:color="auto"/>
              <w:right w:val="single" w:sz="4" w:space="0" w:color="auto"/>
            </w:tcBorders>
            <w:shd w:val="clear" w:color="auto" w:fill="auto"/>
            <w:vAlign w:val="center"/>
            <w:hideMark/>
          </w:tcPr>
          <w:p w14:paraId="39CA2746" w14:textId="77777777" w:rsidR="00572995" w:rsidRPr="00483EBE" w:rsidRDefault="00572995" w:rsidP="00E8324D">
            <w:pPr>
              <w:pStyle w:val="Tablas"/>
              <w:rPr>
                <w:sz w:val="12"/>
                <w:szCs w:val="12"/>
              </w:rPr>
            </w:pPr>
            <w:r w:rsidRPr="00483EBE">
              <w:rPr>
                <w:sz w:val="12"/>
                <w:szCs w:val="12"/>
              </w:rPr>
              <w:t>$530</w:t>
            </w:r>
          </w:p>
        </w:tc>
        <w:tc>
          <w:tcPr>
            <w:tcW w:w="0" w:type="auto"/>
            <w:tcBorders>
              <w:top w:val="nil"/>
              <w:left w:val="nil"/>
              <w:bottom w:val="single" w:sz="4" w:space="0" w:color="auto"/>
              <w:right w:val="single" w:sz="4" w:space="0" w:color="auto"/>
            </w:tcBorders>
            <w:shd w:val="clear" w:color="auto" w:fill="auto"/>
            <w:vAlign w:val="center"/>
            <w:hideMark/>
          </w:tcPr>
          <w:p w14:paraId="1B518E2F"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22C86E2D" w14:textId="77777777" w:rsidR="00572995" w:rsidRPr="00483EBE" w:rsidRDefault="00572995" w:rsidP="00E8324D">
            <w:pPr>
              <w:pStyle w:val="Tablas"/>
              <w:rPr>
                <w:sz w:val="12"/>
                <w:szCs w:val="12"/>
              </w:rPr>
            </w:pPr>
            <w:r w:rsidRPr="00483EBE">
              <w:rPr>
                <w:sz w:val="12"/>
                <w:szCs w:val="12"/>
              </w:rPr>
              <w:t>SEBD</w:t>
            </w:r>
          </w:p>
        </w:tc>
      </w:tr>
      <w:tr w:rsidR="00572995" w:rsidRPr="00483EBE" w14:paraId="3E0FC73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CF7F30"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A4F2FC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AE8A8E2" w14:textId="77777777" w:rsidR="00572995" w:rsidRPr="00483EBE" w:rsidRDefault="00572995" w:rsidP="00E8324D">
            <w:pPr>
              <w:pStyle w:val="Tablas"/>
              <w:rPr>
                <w:sz w:val="12"/>
                <w:szCs w:val="12"/>
              </w:rPr>
            </w:pPr>
            <w:r w:rsidRPr="00483EBE">
              <w:rPr>
                <w:sz w:val="12"/>
                <w:szCs w:val="12"/>
              </w:rPr>
              <w:t>$11,669</w:t>
            </w:r>
          </w:p>
        </w:tc>
        <w:tc>
          <w:tcPr>
            <w:tcW w:w="0" w:type="auto"/>
            <w:tcBorders>
              <w:top w:val="nil"/>
              <w:left w:val="nil"/>
              <w:bottom w:val="single" w:sz="4" w:space="0" w:color="auto"/>
              <w:right w:val="single" w:sz="4" w:space="0" w:color="auto"/>
            </w:tcBorders>
            <w:shd w:val="clear" w:color="auto" w:fill="auto"/>
            <w:vAlign w:val="center"/>
            <w:hideMark/>
          </w:tcPr>
          <w:p w14:paraId="1AA39370" w14:textId="77777777" w:rsidR="00572995" w:rsidRPr="00483EBE" w:rsidRDefault="00572995" w:rsidP="00E8324D">
            <w:pPr>
              <w:pStyle w:val="Tablas"/>
              <w:rPr>
                <w:sz w:val="12"/>
                <w:szCs w:val="12"/>
              </w:rPr>
            </w:pPr>
            <w:r w:rsidRPr="00483EBE">
              <w:rPr>
                <w:sz w:val="12"/>
                <w:szCs w:val="12"/>
              </w:rPr>
              <w:t>$2,334</w:t>
            </w:r>
          </w:p>
        </w:tc>
        <w:tc>
          <w:tcPr>
            <w:tcW w:w="0" w:type="auto"/>
            <w:tcBorders>
              <w:top w:val="nil"/>
              <w:left w:val="nil"/>
              <w:bottom w:val="single" w:sz="4" w:space="0" w:color="auto"/>
              <w:right w:val="single" w:sz="4" w:space="0" w:color="auto"/>
            </w:tcBorders>
            <w:shd w:val="clear" w:color="auto" w:fill="auto"/>
            <w:vAlign w:val="center"/>
            <w:hideMark/>
          </w:tcPr>
          <w:p w14:paraId="105BDF0C" w14:textId="77777777" w:rsidR="00572995" w:rsidRPr="00483EBE" w:rsidRDefault="00572995" w:rsidP="00E8324D">
            <w:pPr>
              <w:pStyle w:val="Tablas"/>
              <w:rPr>
                <w:sz w:val="12"/>
                <w:szCs w:val="12"/>
              </w:rPr>
            </w:pPr>
            <w:r w:rsidRPr="00483EBE">
              <w:rPr>
                <w:sz w:val="12"/>
                <w:szCs w:val="12"/>
              </w:rPr>
              <w:t>$194</w:t>
            </w:r>
          </w:p>
        </w:tc>
        <w:tc>
          <w:tcPr>
            <w:tcW w:w="0" w:type="auto"/>
            <w:tcBorders>
              <w:top w:val="nil"/>
              <w:left w:val="nil"/>
              <w:bottom w:val="single" w:sz="4" w:space="0" w:color="auto"/>
              <w:right w:val="single" w:sz="4" w:space="0" w:color="auto"/>
            </w:tcBorders>
            <w:shd w:val="clear" w:color="auto" w:fill="auto"/>
            <w:vAlign w:val="center"/>
            <w:hideMark/>
          </w:tcPr>
          <w:p w14:paraId="2F887B0B"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21E52AD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FAA4044"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717064B0" w14:textId="77777777" w:rsidR="00572995" w:rsidRPr="00483EBE" w:rsidRDefault="00572995" w:rsidP="00E8324D">
            <w:pPr>
              <w:pStyle w:val="Tablas"/>
              <w:rPr>
                <w:sz w:val="12"/>
                <w:szCs w:val="12"/>
              </w:rPr>
            </w:pPr>
            <w:r w:rsidRPr="00483EBE">
              <w:rPr>
                <w:sz w:val="12"/>
                <w:szCs w:val="12"/>
              </w:rPr>
              <w:t xml:space="preserve">2,172 </w:t>
            </w:r>
          </w:p>
        </w:tc>
        <w:tc>
          <w:tcPr>
            <w:tcW w:w="0" w:type="auto"/>
            <w:tcBorders>
              <w:top w:val="nil"/>
              <w:left w:val="nil"/>
              <w:bottom w:val="single" w:sz="4" w:space="0" w:color="auto"/>
              <w:right w:val="single" w:sz="4" w:space="0" w:color="auto"/>
            </w:tcBorders>
            <w:shd w:val="clear" w:color="auto" w:fill="auto"/>
            <w:vAlign w:val="center"/>
            <w:hideMark/>
          </w:tcPr>
          <w:p w14:paraId="7FD3BB08" w14:textId="77777777" w:rsidR="00572995" w:rsidRPr="00483EBE" w:rsidRDefault="00572995" w:rsidP="00E8324D">
            <w:pPr>
              <w:pStyle w:val="Tablas"/>
              <w:rPr>
                <w:sz w:val="12"/>
                <w:szCs w:val="12"/>
              </w:rPr>
            </w:pPr>
            <w:r w:rsidRPr="00483EBE">
              <w:rPr>
                <w:sz w:val="12"/>
                <w:szCs w:val="12"/>
              </w:rPr>
              <w:t>$14,075,595</w:t>
            </w:r>
          </w:p>
        </w:tc>
        <w:tc>
          <w:tcPr>
            <w:tcW w:w="0" w:type="auto"/>
            <w:tcBorders>
              <w:top w:val="nil"/>
              <w:left w:val="nil"/>
              <w:bottom w:val="single" w:sz="4" w:space="0" w:color="auto"/>
              <w:right w:val="single" w:sz="4" w:space="0" w:color="auto"/>
            </w:tcBorders>
            <w:shd w:val="clear" w:color="auto" w:fill="auto"/>
            <w:vAlign w:val="center"/>
            <w:hideMark/>
          </w:tcPr>
          <w:p w14:paraId="78BB0EEC" w14:textId="77777777" w:rsidR="00572995" w:rsidRPr="00483EBE" w:rsidRDefault="00572995" w:rsidP="00E8324D">
            <w:pPr>
              <w:pStyle w:val="Tablas"/>
              <w:rPr>
                <w:sz w:val="12"/>
                <w:szCs w:val="12"/>
              </w:rPr>
            </w:pPr>
            <w:r w:rsidRPr="00483EBE">
              <w:rPr>
                <w:sz w:val="12"/>
                <w:szCs w:val="12"/>
              </w:rPr>
              <w:t>$6,480</w:t>
            </w:r>
          </w:p>
        </w:tc>
        <w:tc>
          <w:tcPr>
            <w:tcW w:w="0" w:type="auto"/>
            <w:tcBorders>
              <w:top w:val="nil"/>
              <w:left w:val="nil"/>
              <w:bottom w:val="single" w:sz="4" w:space="0" w:color="auto"/>
              <w:right w:val="single" w:sz="4" w:space="0" w:color="auto"/>
            </w:tcBorders>
            <w:shd w:val="clear" w:color="auto" w:fill="auto"/>
            <w:vAlign w:val="center"/>
            <w:hideMark/>
          </w:tcPr>
          <w:p w14:paraId="3B387F07" w14:textId="77777777" w:rsidR="00572995" w:rsidRPr="00483EBE" w:rsidRDefault="00572995" w:rsidP="00E8324D">
            <w:pPr>
              <w:pStyle w:val="Tablas"/>
              <w:rPr>
                <w:sz w:val="12"/>
                <w:szCs w:val="12"/>
              </w:rPr>
            </w:pPr>
            <w:r w:rsidRPr="00483EBE">
              <w:rPr>
                <w:sz w:val="12"/>
                <w:szCs w:val="12"/>
              </w:rPr>
              <w:t>$540</w:t>
            </w:r>
          </w:p>
        </w:tc>
        <w:tc>
          <w:tcPr>
            <w:tcW w:w="0" w:type="auto"/>
            <w:tcBorders>
              <w:top w:val="nil"/>
              <w:left w:val="nil"/>
              <w:bottom w:val="single" w:sz="4" w:space="0" w:color="auto"/>
              <w:right w:val="single" w:sz="4" w:space="0" w:color="auto"/>
            </w:tcBorders>
            <w:shd w:val="clear" w:color="auto" w:fill="auto"/>
            <w:vAlign w:val="center"/>
            <w:hideMark/>
          </w:tcPr>
          <w:p w14:paraId="016DFCCC"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7387DBFF" w14:textId="77777777" w:rsidR="00572995" w:rsidRPr="00483EBE" w:rsidRDefault="00572995" w:rsidP="00E8324D">
            <w:pPr>
              <w:pStyle w:val="Tablas"/>
              <w:rPr>
                <w:sz w:val="12"/>
                <w:szCs w:val="12"/>
              </w:rPr>
            </w:pPr>
            <w:r w:rsidRPr="00483EBE">
              <w:rPr>
                <w:sz w:val="12"/>
                <w:szCs w:val="12"/>
              </w:rPr>
              <w:t>SEBD</w:t>
            </w:r>
          </w:p>
        </w:tc>
      </w:tr>
      <w:tr w:rsidR="00572995" w:rsidRPr="00483EBE" w14:paraId="1AEEC8A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59640F"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46609BAB"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340D1A8" w14:textId="77777777" w:rsidR="00572995" w:rsidRPr="00483EBE" w:rsidRDefault="00572995" w:rsidP="00E8324D">
            <w:pPr>
              <w:pStyle w:val="Tablas"/>
              <w:rPr>
                <w:sz w:val="12"/>
                <w:szCs w:val="12"/>
              </w:rPr>
            </w:pPr>
            <w:r w:rsidRPr="00483EBE">
              <w:rPr>
                <w:sz w:val="12"/>
                <w:szCs w:val="12"/>
              </w:rPr>
              <w:t>$4,352</w:t>
            </w:r>
          </w:p>
        </w:tc>
        <w:tc>
          <w:tcPr>
            <w:tcW w:w="0" w:type="auto"/>
            <w:tcBorders>
              <w:top w:val="nil"/>
              <w:left w:val="nil"/>
              <w:bottom w:val="single" w:sz="4" w:space="0" w:color="auto"/>
              <w:right w:val="single" w:sz="4" w:space="0" w:color="auto"/>
            </w:tcBorders>
            <w:shd w:val="clear" w:color="auto" w:fill="auto"/>
            <w:vAlign w:val="center"/>
            <w:hideMark/>
          </w:tcPr>
          <w:p w14:paraId="68B7C809" w14:textId="77777777" w:rsidR="00572995" w:rsidRPr="00483EBE" w:rsidRDefault="00572995" w:rsidP="00E8324D">
            <w:pPr>
              <w:pStyle w:val="Tablas"/>
              <w:rPr>
                <w:sz w:val="12"/>
                <w:szCs w:val="12"/>
              </w:rPr>
            </w:pPr>
            <w:r w:rsidRPr="00483EBE">
              <w:rPr>
                <w:sz w:val="12"/>
                <w:szCs w:val="12"/>
              </w:rPr>
              <w:t>$2,176</w:t>
            </w:r>
          </w:p>
        </w:tc>
        <w:tc>
          <w:tcPr>
            <w:tcW w:w="0" w:type="auto"/>
            <w:tcBorders>
              <w:top w:val="nil"/>
              <w:left w:val="nil"/>
              <w:bottom w:val="single" w:sz="4" w:space="0" w:color="auto"/>
              <w:right w:val="single" w:sz="4" w:space="0" w:color="auto"/>
            </w:tcBorders>
            <w:shd w:val="clear" w:color="auto" w:fill="auto"/>
            <w:vAlign w:val="center"/>
            <w:hideMark/>
          </w:tcPr>
          <w:p w14:paraId="6D81EF57" w14:textId="77777777" w:rsidR="00572995" w:rsidRPr="00483EBE" w:rsidRDefault="00572995" w:rsidP="00E8324D">
            <w:pPr>
              <w:pStyle w:val="Tablas"/>
              <w:rPr>
                <w:sz w:val="12"/>
                <w:szCs w:val="12"/>
              </w:rPr>
            </w:pPr>
            <w:r w:rsidRPr="00483EBE">
              <w:rPr>
                <w:sz w:val="12"/>
                <w:szCs w:val="12"/>
              </w:rPr>
              <w:t>$181</w:t>
            </w:r>
          </w:p>
        </w:tc>
        <w:tc>
          <w:tcPr>
            <w:tcW w:w="0" w:type="auto"/>
            <w:tcBorders>
              <w:top w:val="nil"/>
              <w:left w:val="nil"/>
              <w:bottom w:val="single" w:sz="4" w:space="0" w:color="auto"/>
              <w:right w:val="single" w:sz="4" w:space="0" w:color="auto"/>
            </w:tcBorders>
            <w:shd w:val="clear" w:color="auto" w:fill="auto"/>
            <w:vAlign w:val="center"/>
            <w:hideMark/>
          </w:tcPr>
          <w:p w14:paraId="2CC7C6EE"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072768B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DE8D634"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86E3254" w14:textId="77777777" w:rsidR="00572995" w:rsidRPr="00483EBE" w:rsidRDefault="00572995" w:rsidP="00E8324D">
            <w:pPr>
              <w:pStyle w:val="Tablas"/>
              <w:rPr>
                <w:sz w:val="12"/>
                <w:szCs w:val="12"/>
              </w:rPr>
            </w:pPr>
            <w:r w:rsidRPr="00483EBE">
              <w:rPr>
                <w:sz w:val="12"/>
                <w:szCs w:val="12"/>
              </w:rPr>
              <w:t xml:space="preserve">1,962 </w:t>
            </w:r>
          </w:p>
        </w:tc>
        <w:tc>
          <w:tcPr>
            <w:tcW w:w="0" w:type="auto"/>
            <w:tcBorders>
              <w:top w:val="nil"/>
              <w:left w:val="nil"/>
              <w:bottom w:val="single" w:sz="4" w:space="0" w:color="auto"/>
              <w:right w:val="single" w:sz="4" w:space="0" w:color="auto"/>
            </w:tcBorders>
            <w:shd w:val="clear" w:color="auto" w:fill="auto"/>
            <w:vAlign w:val="center"/>
            <w:hideMark/>
          </w:tcPr>
          <w:p w14:paraId="768D8526" w14:textId="77777777" w:rsidR="00572995" w:rsidRPr="00483EBE" w:rsidRDefault="00572995" w:rsidP="00E8324D">
            <w:pPr>
              <w:pStyle w:val="Tablas"/>
              <w:rPr>
                <w:sz w:val="12"/>
                <w:szCs w:val="12"/>
              </w:rPr>
            </w:pPr>
            <w:r w:rsidRPr="00483EBE">
              <w:rPr>
                <w:sz w:val="12"/>
                <w:szCs w:val="12"/>
              </w:rPr>
              <w:t>$12,166,258</w:t>
            </w:r>
          </w:p>
        </w:tc>
        <w:tc>
          <w:tcPr>
            <w:tcW w:w="0" w:type="auto"/>
            <w:tcBorders>
              <w:top w:val="nil"/>
              <w:left w:val="nil"/>
              <w:bottom w:val="single" w:sz="4" w:space="0" w:color="auto"/>
              <w:right w:val="single" w:sz="4" w:space="0" w:color="auto"/>
            </w:tcBorders>
            <w:shd w:val="clear" w:color="auto" w:fill="auto"/>
            <w:vAlign w:val="center"/>
            <w:hideMark/>
          </w:tcPr>
          <w:p w14:paraId="2E39EB55" w14:textId="77777777" w:rsidR="00572995" w:rsidRPr="00483EBE" w:rsidRDefault="00572995" w:rsidP="00E8324D">
            <w:pPr>
              <w:pStyle w:val="Tablas"/>
              <w:rPr>
                <w:sz w:val="12"/>
                <w:szCs w:val="12"/>
              </w:rPr>
            </w:pPr>
            <w:r w:rsidRPr="00483EBE">
              <w:rPr>
                <w:sz w:val="12"/>
                <w:szCs w:val="12"/>
              </w:rPr>
              <w:t>$6,201</w:t>
            </w:r>
          </w:p>
        </w:tc>
        <w:tc>
          <w:tcPr>
            <w:tcW w:w="0" w:type="auto"/>
            <w:tcBorders>
              <w:top w:val="nil"/>
              <w:left w:val="nil"/>
              <w:bottom w:val="single" w:sz="4" w:space="0" w:color="auto"/>
              <w:right w:val="single" w:sz="4" w:space="0" w:color="auto"/>
            </w:tcBorders>
            <w:shd w:val="clear" w:color="auto" w:fill="auto"/>
            <w:vAlign w:val="center"/>
            <w:hideMark/>
          </w:tcPr>
          <w:p w14:paraId="7F05DE56" w14:textId="77777777" w:rsidR="00572995" w:rsidRPr="00483EBE" w:rsidRDefault="00572995" w:rsidP="00E8324D">
            <w:pPr>
              <w:pStyle w:val="Tablas"/>
              <w:rPr>
                <w:sz w:val="12"/>
                <w:szCs w:val="12"/>
              </w:rPr>
            </w:pPr>
            <w:r w:rsidRPr="00483EBE">
              <w:rPr>
                <w:sz w:val="12"/>
                <w:szCs w:val="12"/>
              </w:rPr>
              <w:t>$517</w:t>
            </w:r>
          </w:p>
        </w:tc>
        <w:tc>
          <w:tcPr>
            <w:tcW w:w="0" w:type="auto"/>
            <w:tcBorders>
              <w:top w:val="nil"/>
              <w:left w:val="nil"/>
              <w:bottom w:val="single" w:sz="4" w:space="0" w:color="auto"/>
              <w:right w:val="single" w:sz="4" w:space="0" w:color="auto"/>
            </w:tcBorders>
            <w:shd w:val="clear" w:color="auto" w:fill="auto"/>
            <w:vAlign w:val="center"/>
            <w:hideMark/>
          </w:tcPr>
          <w:p w14:paraId="1F2F8DDE"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7E62449A" w14:textId="77777777" w:rsidR="00572995" w:rsidRPr="00483EBE" w:rsidRDefault="00572995" w:rsidP="00E8324D">
            <w:pPr>
              <w:pStyle w:val="Tablas"/>
              <w:rPr>
                <w:sz w:val="12"/>
                <w:szCs w:val="12"/>
              </w:rPr>
            </w:pPr>
            <w:r w:rsidRPr="00483EBE">
              <w:rPr>
                <w:sz w:val="12"/>
                <w:szCs w:val="12"/>
              </w:rPr>
              <w:t>SEBD</w:t>
            </w:r>
          </w:p>
        </w:tc>
      </w:tr>
      <w:tr w:rsidR="00572995" w:rsidRPr="00483EBE" w14:paraId="7DD3D5F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5954AB8"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B6065AF"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1C29D98C" w14:textId="77777777" w:rsidR="00572995" w:rsidRPr="00483EBE" w:rsidRDefault="00572995" w:rsidP="00E8324D">
            <w:pPr>
              <w:pStyle w:val="Tablas"/>
              <w:rPr>
                <w:sz w:val="12"/>
                <w:szCs w:val="12"/>
              </w:rPr>
            </w:pPr>
            <w:r w:rsidRPr="00483EBE">
              <w:rPr>
                <w:sz w:val="12"/>
                <w:szCs w:val="12"/>
              </w:rPr>
              <w:t>$22,784</w:t>
            </w:r>
          </w:p>
        </w:tc>
        <w:tc>
          <w:tcPr>
            <w:tcW w:w="0" w:type="auto"/>
            <w:tcBorders>
              <w:top w:val="nil"/>
              <w:left w:val="nil"/>
              <w:bottom w:val="single" w:sz="4" w:space="0" w:color="auto"/>
              <w:right w:val="single" w:sz="4" w:space="0" w:color="auto"/>
            </w:tcBorders>
            <w:shd w:val="clear" w:color="auto" w:fill="auto"/>
            <w:vAlign w:val="center"/>
            <w:hideMark/>
          </w:tcPr>
          <w:p w14:paraId="0C8B83B7" w14:textId="77777777" w:rsidR="00572995" w:rsidRPr="00483EBE" w:rsidRDefault="00572995" w:rsidP="00E8324D">
            <w:pPr>
              <w:pStyle w:val="Tablas"/>
              <w:rPr>
                <w:sz w:val="12"/>
                <w:szCs w:val="12"/>
              </w:rPr>
            </w:pPr>
            <w:r w:rsidRPr="00483EBE">
              <w:rPr>
                <w:sz w:val="12"/>
                <w:szCs w:val="12"/>
              </w:rPr>
              <w:t>$4,557</w:t>
            </w:r>
          </w:p>
        </w:tc>
        <w:tc>
          <w:tcPr>
            <w:tcW w:w="0" w:type="auto"/>
            <w:tcBorders>
              <w:top w:val="nil"/>
              <w:left w:val="nil"/>
              <w:bottom w:val="single" w:sz="4" w:space="0" w:color="auto"/>
              <w:right w:val="single" w:sz="4" w:space="0" w:color="auto"/>
            </w:tcBorders>
            <w:shd w:val="clear" w:color="auto" w:fill="auto"/>
            <w:vAlign w:val="center"/>
            <w:hideMark/>
          </w:tcPr>
          <w:p w14:paraId="5F48AB44" w14:textId="77777777" w:rsidR="00572995" w:rsidRPr="00483EBE" w:rsidRDefault="00572995" w:rsidP="00E8324D">
            <w:pPr>
              <w:pStyle w:val="Tablas"/>
              <w:rPr>
                <w:sz w:val="12"/>
                <w:szCs w:val="12"/>
              </w:rPr>
            </w:pPr>
            <w:r w:rsidRPr="00483EBE">
              <w:rPr>
                <w:sz w:val="12"/>
                <w:szCs w:val="12"/>
              </w:rPr>
              <w:t>$380</w:t>
            </w:r>
          </w:p>
        </w:tc>
        <w:tc>
          <w:tcPr>
            <w:tcW w:w="0" w:type="auto"/>
            <w:tcBorders>
              <w:top w:val="nil"/>
              <w:left w:val="nil"/>
              <w:bottom w:val="single" w:sz="4" w:space="0" w:color="auto"/>
              <w:right w:val="single" w:sz="4" w:space="0" w:color="auto"/>
            </w:tcBorders>
            <w:shd w:val="clear" w:color="auto" w:fill="auto"/>
            <w:vAlign w:val="center"/>
            <w:hideMark/>
          </w:tcPr>
          <w:p w14:paraId="01DF3ADB"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6BE18D4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6F656C2"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736B193B" w14:textId="77777777" w:rsidR="00572995" w:rsidRPr="00483EBE" w:rsidRDefault="00572995" w:rsidP="00E8324D">
            <w:pPr>
              <w:pStyle w:val="Tablas"/>
              <w:rPr>
                <w:sz w:val="12"/>
                <w:szCs w:val="12"/>
              </w:rPr>
            </w:pPr>
            <w:r w:rsidRPr="00483EBE">
              <w:rPr>
                <w:sz w:val="12"/>
                <w:szCs w:val="12"/>
              </w:rPr>
              <w:t xml:space="preserve">1,733 </w:t>
            </w:r>
          </w:p>
        </w:tc>
        <w:tc>
          <w:tcPr>
            <w:tcW w:w="0" w:type="auto"/>
            <w:tcBorders>
              <w:top w:val="nil"/>
              <w:left w:val="nil"/>
              <w:bottom w:val="single" w:sz="4" w:space="0" w:color="auto"/>
              <w:right w:val="single" w:sz="4" w:space="0" w:color="auto"/>
            </w:tcBorders>
            <w:shd w:val="clear" w:color="auto" w:fill="auto"/>
            <w:vAlign w:val="center"/>
            <w:hideMark/>
          </w:tcPr>
          <w:p w14:paraId="6EB3D495" w14:textId="77777777" w:rsidR="00572995" w:rsidRPr="00483EBE" w:rsidRDefault="00572995" w:rsidP="00E8324D">
            <w:pPr>
              <w:pStyle w:val="Tablas"/>
              <w:rPr>
                <w:sz w:val="12"/>
                <w:szCs w:val="12"/>
              </w:rPr>
            </w:pPr>
            <w:r w:rsidRPr="00483EBE">
              <w:rPr>
                <w:sz w:val="12"/>
                <w:szCs w:val="12"/>
              </w:rPr>
              <w:t>$10,760,230</w:t>
            </w:r>
          </w:p>
        </w:tc>
        <w:tc>
          <w:tcPr>
            <w:tcW w:w="0" w:type="auto"/>
            <w:tcBorders>
              <w:top w:val="nil"/>
              <w:left w:val="nil"/>
              <w:bottom w:val="single" w:sz="4" w:space="0" w:color="auto"/>
              <w:right w:val="single" w:sz="4" w:space="0" w:color="auto"/>
            </w:tcBorders>
            <w:shd w:val="clear" w:color="auto" w:fill="auto"/>
            <w:vAlign w:val="center"/>
            <w:hideMark/>
          </w:tcPr>
          <w:p w14:paraId="03EF448E" w14:textId="77777777" w:rsidR="00572995" w:rsidRPr="00483EBE" w:rsidRDefault="00572995" w:rsidP="00E8324D">
            <w:pPr>
              <w:pStyle w:val="Tablas"/>
              <w:rPr>
                <w:sz w:val="12"/>
                <w:szCs w:val="12"/>
              </w:rPr>
            </w:pPr>
            <w:r w:rsidRPr="00483EBE">
              <w:rPr>
                <w:sz w:val="12"/>
                <w:szCs w:val="12"/>
              </w:rPr>
              <w:t>$6,209</w:t>
            </w:r>
          </w:p>
        </w:tc>
        <w:tc>
          <w:tcPr>
            <w:tcW w:w="0" w:type="auto"/>
            <w:tcBorders>
              <w:top w:val="nil"/>
              <w:left w:val="nil"/>
              <w:bottom w:val="single" w:sz="4" w:space="0" w:color="auto"/>
              <w:right w:val="single" w:sz="4" w:space="0" w:color="auto"/>
            </w:tcBorders>
            <w:shd w:val="clear" w:color="auto" w:fill="auto"/>
            <w:vAlign w:val="center"/>
            <w:hideMark/>
          </w:tcPr>
          <w:p w14:paraId="0D25A8C5" w14:textId="77777777" w:rsidR="00572995" w:rsidRPr="00483EBE" w:rsidRDefault="00572995" w:rsidP="00E8324D">
            <w:pPr>
              <w:pStyle w:val="Tablas"/>
              <w:rPr>
                <w:sz w:val="12"/>
                <w:szCs w:val="12"/>
              </w:rPr>
            </w:pPr>
            <w:r w:rsidRPr="00483EBE">
              <w:rPr>
                <w:sz w:val="12"/>
                <w:szCs w:val="12"/>
              </w:rPr>
              <w:t>$517</w:t>
            </w:r>
          </w:p>
        </w:tc>
        <w:tc>
          <w:tcPr>
            <w:tcW w:w="0" w:type="auto"/>
            <w:tcBorders>
              <w:top w:val="nil"/>
              <w:left w:val="nil"/>
              <w:bottom w:val="single" w:sz="4" w:space="0" w:color="auto"/>
              <w:right w:val="single" w:sz="4" w:space="0" w:color="auto"/>
            </w:tcBorders>
            <w:shd w:val="clear" w:color="auto" w:fill="auto"/>
            <w:vAlign w:val="center"/>
            <w:hideMark/>
          </w:tcPr>
          <w:p w14:paraId="78C85558"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387F119F" w14:textId="77777777" w:rsidR="00572995" w:rsidRPr="00483EBE" w:rsidRDefault="00572995" w:rsidP="00E8324D">
            <w:pPr>
              <w:pStyle w:val="Tablas"/>
              <w:rPr>
                <w:sz w:val="12"/>
                <w:szCs w:val="12"/>
              </w:rPr>
            </w:pPr>
            <w:r w:rsidRPr="00483EBE">
              <w:rPr>
                <w:sz w:val="12"/>
                <w:szCs w:val="12"/>
              </w:rPr>
              <w:t>SEBD</w:t>
            </w:r>
          </w:p>
        </w:tc>
      </w:tr>
      <w:tr w:rsidR="00572995" w:rsidRPr="00483EBE" w14:paraId="7D70E31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2C3DFA3"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F673C90"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68B6409" w14:textId="77777777" w:rsidR="00572995" w:rsidRPr="00483EBE" w:rsidRDefault="00572995" w:rsidP="00E8324D">
            <w:pPr>
              <w:pStyle w:val="Tablas"/>
              <w:rPr>
                <w:sz w:val="12"/>
                <w:szCs w:val="12"/>
              </w:rPr>
            </w:pPr>
            <w:r w:rsidRPr="00483EBE">
              <w:rPr>
                <w:sz w:val="12"/>
                <w:szCs w:val="12"/>
              </w:rPr>
              <w:t>$8,385</w:t>
            </w:r>
          </w:p>
        </w:tc>
        <w:tc>
          <w:tcPr>
            <w:tcW w:w="0" w:type="auto"/>
            <w:tcBorders>
              <w:top w:val="nil"/>
              <w:left w:val="nil"/>
              <w:bottom w:val="single" w:sz="4" w:space="0" w:color="auto"/>
              <w:right w:val="single" w:sz="4" w:space="0" w:color="auto"/>
            </w:tcBorders>
            <w:shd w:val="clear" w:color="auto" w:fill="auto"/>
            <w:vAlign w:val="center"/>
            <w:hideMark/>
          </w:tcPr>
          <w:p w14:paraId="0C8993B3" w14:textId="77777777" w:rsidR="00572995" w:rsidRPr="00483EBE" w:rsidRDefault="00572995" w:rsidP="00E8324D">
            <w:pPr>
              <w:pStyle w:val="Tablas"/>
              <w:rPr>
                <w:sz w:val="12"/>
                <w:szCs w:val="12"/>
              </w:rPr>
            </w:pPr>
            <w:r w:rsidRPr="00483EBE">
              <w:rPr>
                <w:sz w:val="12"/>
                <w:szCs w:val="12"/>
              </w:rPr>
              <w:t>$2,096</w:t>
            </w:r>
          </w:p>
        </w:tc>
        <w:tc>
          <w:tcPr>
            <w:tcW w:w="0" w:type="auto"/>
            <w:tcBorders>
              <w:top w:val="nil"/>
              <w:left w:val="nil"/>
              <w:bottom w:val="single" w:sz="4" w:space="0" w:color="auto"/>
              <w:right w:val="single" w:sz="4" w:space="0" w:color="auto"/>
            </w:tcBorders>
            <w:shd w:val="clear" w:color="auto" w:fill="auto"/>
            <w:vAlign w:val="center"/>
            <w:hideMark/>
          </w:tcPr>
          <w:p w14:paraId="14F3F91F" w14:textId="77777777" w:rsidR="00572995" w:rsidRPr="00483EBE" w:rsidRDefault="00572995" w:rsidP="00E8324D">
            <w:pPr>
              <w:pStyle w:val="Tablas"/>
              <w:rPr>
                <w:sz w:val="12"/>
                <w:szCs w:val="12"/>
              </w:rPr>
            </w:pPr>
            <w:r w:rsidRPr="00483EBE">
              <w:rPr>
                <w:sz w:val="12"/>
                <w:szCs w:val="12"/>
              </w:rPr>
              <w:t>$175</w:t>
            </w:r>
          </w:p>
        </w:tc>
        <w:tc>
          <w:tcPr>
            <w:tcW w:w="0" w:type="auto"/>
            <w:tcBorders>
              <w:top w:val="nil"/>
              <w:left w:val="nil"/>
              <w:bottom w:val="single" w:sz="4" w:space="0" w:color="auto"/>
              <w:right w:val="single" w:sz="4" w:space="0" w:color="auto"/>
            </w:tcBorders>
            <w:shd w:val="clear" w:color="auto" w:fill="auto"/>
            <w:vAlign w:val="center"/>
            <w:hideMark/>
          </w:tcPr>
          <w:p w14:paraId="6EA8CB7D"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5C93613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D05368D"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6C0A8235" w14:textId="77777777" w:rsidR="00572995" w:rsidRPr="00483EBE" w:rsidRDefault="00572995" w:rsidP="00E8324D">
            <w:pPr>
              <w:pStyle w:val="Tablas"/>
              <w:rPr>
                <w:sz w:val="12"/>
                <w:szCs w:val="12"/>
              </w:rPr>
            </w:pPr>
            <w:r w:rsidRPr="00483EBE">
              <w:rPr>
                <w:sz w:val="12"/>
                <w:szCs w:val="12"/>
              </w:rPr>
              <w:t xml:space="preserve">1,677 </w:t>
            </w:r>
          </w:p>
        </w:tc>
        <w:tc>
          <w:tcPr>
            <w:tcW w:w="0" w:type="auto"/>
            <w:tcBorders>
              <w:top w:val="nil"/>
              <w:left w:val="nil"/>
              <w:bottom w:val="single" w:sz="4" w:space="0" w:color="auto"/>
              <w:right w:val="single" w:sz="4" w:space="0" w:color="auto"/>
            </w:tcBorders>
            <w:shd w:val="clear" w:color="auto" w:fill="auto"/>
            <w:vAlign w:val="center"/>
            <w:hideMark/>
          </w:tcPr>
          <w:p w14:paraId="6A3213ED" w14:textId="77777777" w:rsidR="00572995" w:rsidRPr="00483EBE" w:rsidRDefault="00572995" w:rsidP="00E8324D">
            <w:pPr>
              <w:pStyle w:val="Tablas"/>
              <w:rPr>
                <w:sz w:val="12"/>
                <w:szCs w:val="12"/>
              </w:rPr>
            </w:pPr>
            <w:r w:rsidRPr="00483EBE">
              <w:rPr>
                <w:sz w:val="12"/>
                <w:szCs w:val="12"/>
              </w:rPr>
              <w:t>$10,239,373</w:t>
            </w:r>
          </w:p>
        </w:tc>
        <w:tc>
          <w:tcPr>
            <w:tcW w:w="0" w:type="auto"/>
            <w:tcBorders>
              <w:top w:val="nil"/>
              <w:left w:val="nil"/>
              <w:bottom w:val="single" w:sz="4" w:space="0" w:color="auto"/>
              <w:right w:val="single" w:sz="4" w:space="0" w:color="auto"/>
            </w:tcBorders>
            <w:shd w:val="clear" w:color="auto" w:fill="auto"/>
            <w:vAlign w:val="center"/>
            <w:hideMark/>
          </w:tcPr>
          <w:p w14:paraId="1E3361DD" w14:textId="77777777" w:rsidR="00572995" w:rsidRPr="00483EBE" w:rsidRDefault="00572995" w:rsidP="00E8324D">
            <w:pPr>
              <w:pStyle w:val="Tablas"/>
              <w:rPr>
                <w:sz w:val="12"/>
                <w:szCs w:val="12"/>
              </w:rPr>
            </w:pPr>
            <w:r w:rsidRPr="00483EBE">
              <w:rPr>
                <w:sz w:val="12"/>
                <w:szCs w:val="12"/>
              </w:rPr>
              <w:t>$6,106</w:t>
            </w:r>
          </w:p>
        </w:tc>
        <w:tc>
          <w:tcPr>
            <w:tcW w:w="0" w:type="auto"/>
            <w:tcBorders>
              <w:top w:val="nil"/>
              <w:left w:val="nil"/>
              <w:bottom w:val="single" w:sz="4" w:space="0" w:color="auto"/>
              <w:right w:val="single" w:sz="4" w:space="0" w:color="auto"/>
            </w:tcBorders>
            <w:shd w:val="clear" w:color="auto" w:fill="auto"/>
            <w:vAlign w:val="center"/>
            <w:hideMark/>
          </w:tcPr>
          <w:p w14:paraId="343E0AF1" w14:textId="77777777" w:rsidR="00572995" w:rsidRPr="00483EBE" w:rsidRDefault="00572995" w:rsidP="00E8324D">
            <w:pPr>
              <w:pStyle w:val="Tablas"/>
              <w:rPr>
                <w:sz w:val="12"/>
                <w:szCs w:val="12"/>
              </w:rPr>
            </w:pPr>
            <w:r w:rsidRPr="00483EBE">
              <w:rPr>
                <w:sz w:val="12"/>
                <w:szCs w:val="12"/>
              </w:rPr>
              <w:t>$509</w:t>
            </w:r>
          </w:p>
        </w:tc>
        <w:tc>
          <w:tcPr>
            <w:tcW w:w="0" w:type="auto"/>
            <w:tcBorders>
              <w:top w:val="nil"/>
              <w:left w:val="nil"/>
              <w:bottom w:val="single" w:sz="4" w:space="0" w:color="auto"/>
              <w:right w:val="single" w:sz="4" w:space="0" w:color="auto"/>
            </w:tcBorders>
            <w:shd w:val="clear" w:color="auto" w:fill="auto"/>
            <w:vAlign w:val="center"/>
            <w:hideMark/>
          </w:tcPr>
          <w:p w14:paraId="4B36871B"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05EA028F" w14:textId="77777777" w:rsidR="00572995" w:rsidRPr="00483EBE" w:rsidRDefault="00572995" w:rsidP="00E8324D">
            <w:pPr>
              <w:pStyle w:val="Tablas"/>
              <w:rPr>
                <w:sz w:val="12"/>
                <w:szCs w:val="12"/>
              </w:rPr>
            </w:pPr>
            <w:r w:rsidRPr="00483EBE">
              <w:rPr>
                <w:sz w:val="12"/>
                <w:szCs w:val="12"/>
              </w:rPr>
              <w:t>SEBD</w:t>
            </w:r>
          </w:p>
        </w:tc>
      </w:tr>
      <w:tr w:rsidR="00572995" w:rsidRPr="00483EBE" w14:paraId="1B47BB3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C3E913"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6CD17F4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C0DA17D" w14:textId="77777777" w:rsidR="00572995" w:rsidRPr="00483EBE" w:rsidRDefault="00572995" w:rsidP="00E8324D">
            <w:pPr>
              <w:pStyle w:val="Tablas"/>
              <w:rPr>
                <w:sz w:val="12"/>
                <w:szCs w:val="12"/>
              </w:rPr>
            </w:pPr>
            <w:r w:rsidRPr="00483EBE">
              <w:rPr>
                <w:sz w:val="12"/>
                <w:szCs w:val="12"/>
              </w:rPr>
              <w:t>$2,285</w:t>
            </w:r>
          </w:p>
        </w:tc>
        <w:tc>
          <w:tcPr>
            <w:tcW w:w="0" w:type="auto"/>
            <w:tcBorders>
              <w:top w:val="nil"/>
              <w:left w:val="nil"/>
              <w:bottom w:val="single" w:sz="4" w:space="0" w:color="auto"/>
              <w:right w:val="single" w:sz="4" w:space="0" w:color="auto"/>
            </w:tcBorders>
            <w:shd w:val="clear" w:color="auto" w:fill="auto"/>
            <w:vAlign w:val="center"/>
            <w:hideMark/>
          </w:tcPr>
          <w:p w14:paraId="71F8FD44" w14:textId="77777777" w:rsidR="00572995" w:rsidRPr="00483EBE" w:rsidRDefault="00572995" w:rsidP="00E8324D">
            <w:pPr>
              <w:pStyle w:val="Tablas"/>
              <w:rPr>
                <w:sz w:val="12"/>
                <w:szCs w:val="12"/>
              </w:rPr>
            </w:pPr>
            <w:r w:rsidRPr="00483EBE">
              <w:rPr>
                <w:sz w:val="12"/>
                <w:szCs w:val="12"/>
              </w:rPr>
              <w:t>$2,285</w:t>
            </w:r>
          </w:p>
        </w:tc>
        <w:tc>
          <w:tcPr>
            <w:tcW w:w="0" w:type="auto"/>
            <w:tcBorders>
              <w:top w:val="nil"/>
              <w:left w:val="nil"/>
              <w:bottom w:val="single" w:sz="4" w:space="0" w:color="auto"/>
              <w:right w:val="single" w:sz="4" w:space="0" w:color="auto"/>
            </w:tcBorders>
            <w:shd w:val="clear" w:color="auto" w:fill="auto"/>
            <w:vAlign w:val="center"/>
            <w:hideMark/>
          </w:tcPr>
          <w:p w14:paraId="78191721" w14:textId="77777777" w:rsidR="00572995" w:rsidRPr="00483EBE" w:rsidRDefault="00572995" w:rsidP="00E8324D">
            <w:pPr>
              <w:pStyle w:val="Tablas"/>
              <w:rPr>
                <w:sz w:val="12"/>
                <w:szCs w:val="12"/>
              </w:rPr>
            </w:pPr>
            <w:r w:rsidRPr="00483EBE">
              <w:rPr>
                <w:sz w:val="12"/>
                <w:szCs w:val="12"/>
              </w:rPr>
              <w:t>$190</w:t>
            </w:r>
          </w:p>
        </w:tc>
        <w:tc>
          <w:tcPr>
            <w:tcW w:w="0" w:type="auto"/>
            <w:tcBorders>
              <w:top w:val="nil"/>
              <w:left w:val="nil"/>
              <w:bottom w:val="single" w:sz="4" w:space="0" w:color="auto"/>
              <w:right w:val="single" w:sz="4" w:space="0" w:color="auto"/>
            </w:tcBorders>
            <w:shd w:val="clear" w:color="auto" w:fill="auto"/>
            <w:vAlign w:val="center"/>
            <w:hideMark/>
          </w:tcPr>
          <w:p w14:paraId="75994FE3"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159A9DE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A8195B"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36E1969E" w14:textId="77777777" w:rsidR="00572995" w:rsidRPr="00483EBE" w:rsidRDefault="00572995" w:rsidP="00E8324D">
            <w:pPr>
              <w:pStyle w:val="Tablas"/>
              <w:rPr>
                <w:sz w:val="12"/>
                <w:szCs w:val="12"/>
              </w:rPr>
            </w:pPr>
            <w:r w:rsidRPr="00483EBE">
              <w:rPr>
                <w:sz w:val="12"/>
                <w:szCs w:val="12"/>
              </w:rPr>
              <w:t xml:space="preserve">1,635 </w:t>
            </w:r>
          </w:p>
        </w:tc>
        <w:tc>
          <w:tcPr>
            <w:tcW w:w="0" w:type="auto"/>
            <w:tcBorders>
              <w:top w:val="nil"/>
              <w:left w:val="nil"/>
              <w:bottom w:val="single" w:sz="4" w:space="0" w:color="auto"/>
              <w:right w:val="single" w:sz="4" w:space="0" w:color="auto"/>
            </w:tcBorders>
            <w:shd w:val="clear" w:color="auto" w:fill="auto"/>
            <w:vAlign w:val="center"/>
            <w:hideMark/>
          </w:tcPr>
          <w:p w14:paraId="075C0E15" w14:textId="77777777" w:rsidR="00572995" w:rsidRPr="00483EBE" w:rsidRDefault="00572995" w:rsidP="00E8324D">
            <w:pPr>
              <w:pStyle w:val="Tablas"/>
              <w:rPr>
                <w:sz w:val="12"/>
                <w:szCs w:val="12"/>
              </w:rPr>
            </w:pPr>
            <w:r w:rsidRPr="00483EBE">
              <w:rPr>
                <w:sz w:val="12"/>
                <w:szCs w:val="12"/>
              </w:rPr>
              <w:t>$9,885,080</w:t>
            </w:r>
          </w:p>
        </w:tc>
        <w:tc>
          <w:tcPr>
            <w:tcW w:w="0" w:type="auto"/>
            <w:tcBorders>
              <w:top w:val="nil"/>
              <w:left w:val="nil"/>
              <w:bottom w:val="single" w:sz="4" w:space="0" w:color="auto"/>
              <w:right w:val="single" w:sz="4" w:space="0" w:color="auto"/>
            </w:tcBorders>
            <w:shd w:val="clear" w:color="auto" w:fill="auto"/>
            <w:vAlign w:val="center"/>
            <w:hideMark/>
          </w:tcPr>
          <w:p w14:paraId="7194F792" w14:textId="77777777" w:rsidR="00572995" w:rsidRPr="00483EBE" w:rsidRDefault="00572995" w:rsidP="00E8324D">
            <w:pPr>
              <w:pStyle w:val="Tablas"/>
              <w:rPr>
                <w:sz w:val="12"/>
                <w:szCs w:val="12"/>
              </w:rPr>
            </w:pPr>
            <w:r w:rsidRPr="00483EBE">
              <w:rPr>
                <w:sz w:val="12"/>
                <w:szCs w:val="12"/>
              </w:rPr>
              <w:t>$6,046</w:t>
            </w:r>
          </w:p>
        </w:tc>
        <w:tc>
          <w:tcPr>
            <w:tcW w:w="0" w:type="auto"/>
            <w:tcBorders>
              <w:top w:val="nil"/>
              <w:left w:val="nil"/>
              <w:bottom w:val="single" w:sz="4" w:space="0" w:color="auto"/>
              <w:right w:val="single" w:sz="4" w:space="0" w:color="auto"/>
            </w:tcBorders>
            <w:shd w:val="clear" w:color="auto" w:fill="auto"/>
            <w:vAlign w:val="center"/>
            <w:hideMark/>
          </w:tcPr>
          <w:p w14:paraId="7AEA81DD" w14:textId="77777777" w:rsidR="00572995" w:rsidRPr="00483EBE" w:rsidRDefault="00572995" w:rsidP="00E8324D">
            <w:pPr>
              <w:pStyle w:val="Tablas"/>
              <w:rPr>
                <w:sz w:val="12"/>
                <w:szCs w:val="12"/>
              </w:rPr>
            </w:pPr>
            <w:r w:rsidRPr="00483EBE">
              <w:rPr>
                <w:sz w:val="12"/>
                <w:szCs w:val="12"/>
              </w:rPr>
              <w:t>$504</w:t>
            </w:r>
          </w:p>
        </w:tc>
        <w:tc>
          <w:tcPr>
            <w:tcW w:w="0" w:type="auto"/>
            <w:tcBorders>
              <w:top w:val="nil"/>
              <w:left w:val="nil"/>
              <w:bottom w:val="single" w:sz="4" w:space="0" w:color="auto"/>
              <w:right w:val="single" w:sz="4" w:space="0" w:color="auto"/>
            </w:tcBorders>
            <w:shd w:val="clear" w:color="auto" w:fill="auto"/>
            <w:vAlign w:val="center"/>
            <w:hideMark/>
          </w:tcPr>
          <w:p w14:paraId="1184F5CC"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34D645FD" w14:textId="77777777" w:rsidR="00572995" w:rsidRPr="00483EBE" w:rsidRDefault="00572995" w:rsidP="00E8324D">
            <w:pPr>
              <w:pStyle w:val="Tablas"/>
              <w:rPr>
                <w:sz w:val="12"/>
                <w:szCs w:val="12"/>
              </w:rPr>
            </w:pPr>
            <w:r w:rsidRPr="00483EBE">
              <w:rPr>
                <w:sz w:val="12"/>
                <w:szCs w:val="12"/>
              </w:rPr>
              <w:t>SEBD</w:t>
            </w:r>
          </w:p>
        </w:tc>
      </w:tr>
      <w:tr w:rsidR="00572995" w:rsidRPr="00483EBE" w14:paraId="420DFDD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9E56786"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60C14AE8"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2638E34" w14:textId="77777777" w:rsidR="00572995" w:rsidRPr="00483EBE" w:rsidRDefault="00572995" w:rsidP="00E8324D">
            <w:pPr>
              <w:pStyle w:val="Tablas"/>
              <w:rPr>
                <w:sz w:val="12"/>
                <w:szCs w:val="12"/>
              </w:rPr>
            </w:pPr>
            <w:r w:rsidRPr="00483EBE">
              <w:rPr>
                <w:sz w:val="12"/>
                <w:szCs w:val="12"/>
              </w:rPr>
              <w:t>$6,380</w:t>
            </w:r>
          </w:p>
        </w:tc>
        <w:tc>
          <w:tcPr>
            <w:tcW w:w="0" w:type="auto"/>
            <w:tcBorders>
              <w:top w:val="nil"/>
              <w:left w:val="nil"/>
              <w:bottom w:val="single" w:sz="4" w:space="0" w:color="auto"/>
              <w:right w:val="single" w:sz="4" w:space="0" w:color="auto"/>
            </w:tcBorders>
            <w:shd w:val="clear" w:color="auto" w:fill="auto"/>
            <w:vAlign w:val="center"/>
            <w:hideMark/>
          </w:tcPr>
          <w:p w14:paraId="70535E9E" w14:textId="77777777" w:rsidR="00572995" w:rsidRPr="00483EBE" w:rsidRDefault="00572995" w:rsidP="00E8324D">
            <w:pPr>
              <w:pStyle w:val="Tablas"/>
              <w:rPr>
                <w:sz w:val="12"/>
                <w:szCs w:val="12"/>
              </w:rPr>
            </w:pPr>
            <w:r w:rsidRPr="00483EBE">
              <w:rPr>
                <w:sz w:val="12"/>
                <w:szCs w:val="12"/>
              </w:rPr>
              <w:t>$2,127</w:t>
            </w:r>
          </w:p>
        </w:tc>
        <w:tc>
          <w:tcPr>
            <w:tcW w:w="0" w:type="auto"/>
            <w:tcBorders>
              <w:top w:val="nil"/>
              <w:left w:val="nil"/>
              <w:bottom w:val="single" w:sz="4" w:space="0" w:color="auto"/>
              <w:right w:val="single" w:sz="4" w:space="0" w:color="auto"/>
            </w:tcBorders>
            <w:shd w:val="clear" w:color="auto" w:fill="auto"/>
            <w:vAlign w:val="center"/>
            <w:hideMark/>
          </w:tcPr>
          <w:p w14:paraId="4961CBCF" w14:textId="77777777" w:rsidR="00572995" w:rsidRPr="00483EBE" w:rsidRDefault="00572995" w:rsidP="00E8324D">
            <w:pPr>
              <w:pStyle w:val="Tablas"/>
              <w:rPr>
                <w:sz w:val="12"/>
                <w:szCs w:val="12"/>
              </w:rPr>
            </w:pPr>
            <w:r w:rsidRPr="00483EBE">
              <w:rPr>
                <w:sz w:val="12"/>
                <w:szCs w:val="12"/>
              </w:rPr>
              <w:t>$177</w:t>
            </w:r>
          </w:p>
        </w:tc>
        <w:tc>
          <w:tcPr>
            <w:tcW w:w="0" w:type="auto"/>
            <w:tcBorders>
              <w:top w:val="nil"/>
              <w:left w:val="nil"/>
              <w:bottom w:val="single" w:sz="4" w:space="0" w:color="auto"/>
              <w:right w:val="single" w:sz="4" w:space="0" w:color="auto"/>
            </w:tcBorders>
            <w:shd w:val="clear" w:color="auto" w:fill="auto"/>
            <w:vAlign w:val="center"/>
            <w:hideMark/>
          </w:tcPr>
          <w:p w14:paraId="47D49A24"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422A3E0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9A8269"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6789D740" w14:textId="77777777" w:rsidR="00572995" w:rsidRPr="00483EBE" w:rsidRDefault="00572995" w:rsidP="00E8324D">
            <w:pPr>
              <w:pStyle w:val="Tablas"/>
              <w:rPr>
                <w:sz w:val="12"/>
                <w:szCs w:val="12"/>
              </w:rPr>
            </w:pPr>
            <w:r w:rsidRPr="00483EBE">
              <w:rPr>
                <w:sz w:val="12"/>
                <w:szCs w:val="12"/>
              </w:rPr>
              <w:t xml:space="preserve">1,686 </w:t>
            </w:r>
          </w:p>
        </w:tc>
        <w:tc>
          <w:tcPr>
            <w:tcW w:w="0" w:type="auto"/>
            <w:tcBorders>
              <w:top w:val="nil"/>
              <w:left w:val="nil"/>
              <w:bottom w:val="single" w:sz="4" w:space="0" w:color="auto"/>
              <w:right w:val="single" w:sz="4" w:space="0" w:color="auto"/>
            </w:tcBorders>
            <w:shd w:val="clear" w:color="auto" w:fill="auto"/>
            <w:vAlign w:val="center"/>
            <w:hideMark/>
          </w:tcPr>
          <w:p w14:paraId="2E139BAD" w14:textId="77777777" w:rsidR="00572995" w:rsidRPr="00483EBE" w:rsidRDefault="00572995" w:rsidP="00E8324D">
            <w:pPr>
              <w:pStyle w:val="Tablas"/>
              <w:rPr>
                <w:sz w:val="12"/>
                <w:szCs w:val="12"/>
              </w:rPr>
            </w:pPr>
            <w:r w:rsidRPr="00483EBE">
              <w:rPr>
                <w:sz w:val="12"/>
                <w:szCs w:val="12"/>
              </w:rPr>
              <w:t>$10,504,445</w:t>
            </w:r>
          </w:p>
        </w:tc>
        <w:tc>
          <w:tcPr>
            <w:tcW w:w="0" w:type="auto"/>
            <w:tcBorders>
              <w:top w:val="nil"/>
              <w:left w:val="nil"/>
              <w:bottom w:val="single" w:sz="4" w:space="0" w:color="auto"/>
              <w:right w:val="single" w:sz="4" w:space="0" w:color="auto"/>
            </w:tcBorders>
            <w:shd w:val="clear" w:color="auto" w:fill="auto"/>
            <w:vAlign w:val="center"/>
            <w:hideMark/>
          </w:tcPr>
          <w:p w14:paraId="41480521" w14:textId="77777777" w:rsidR="00572995" w:rsidRPr="00483EBE" w:rsidRDefault="00572995" w:rsidP="00E8324D">
            <w:pPr>
              <w:pStyle w:val="Tablas"/>
              <w:rPr>
                <w:sz w:val="12"/>
                <w:szCs w:val="12"/>
              </w:rPr>
            </w:pPr>
            <w:r w:rsidRPr="00483EBE">
              <w:rPr>
                <w:sz w:val="12"/>
                <w:szCs w:val="12"/>
              </w:rPr>
              <w:t>$6,230</w:t>
            </w:r>
          </w:p>
        </w:tc>
        <w:tc>
          <w:tcPr>
            <w:tcW w:w="0" w:type="auto"/>
            <w:tcBorders>
              <w:top w:val="nil"/>
              <w:left w:val="nil"/>
              <w:bottom w:val="single" w:sz="4" w:space="0" w:color="auto"/>
              <w:right w:val="single" w:sz="4" w:space="0" w:color="auto"/>
            </w:tcBorders>
            <w:shd w:val="clear" w:color="auto" w:fill="auto"/>
            <w:vAlign w:val="center"/>
            <w:hideMark/>
          </w:tcPr>
          <w:p w14:paraId="02F98F32" w14:textId="77777777" w:rsidR="00572995" w:rsidRPr="00483EBE" w:rsidRDefault="00572995" w:rsidP="00E8324D">
            <w:pPr>
              <w:pStyle w:val="Tablas"/>
              <w:rPr>
                <w:sz w:val="12"/>
                <w:szCs w:val="12"/>
              </w:rPr>
            </w:pPr>
            <w:r w:rsidRPr="00483EBE">
              <w:rPr>
                <w:sz w:val="12"/>
                <w:szCs w:val="12"/>
              </w:rPr>
              <w:t>$519</w:t>
            </w:r>
          </w:p>
        </w:tc>
        <w:tc>
          <w:tcPr>
            <w:tcW w:w="0" w:type="auto"/>
            <w:tcBorders>
              <w:top w:val="nil"/>
              <w:left w:val="nil"/>
              <w:bottom w:val="single" w:sz="4" w:space="0" w:color="auto"/>
              <w:right w:val="single" w:sz="4" w:space="0" w:color="auto"/>
            </w:tcBorders>
            <w:shd w:val="clear" w:color="auto" w:fill="auto"/>
            <w:vAlign w:val="center"/>
            <w:hideMark/>
          </w:tcPr>
          <w:p w14:paraId="3AF71A3A"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34B5EB3B" w14:textId="77777777" w:rsidR="00572995" w:rsidRPr="00483EBE" w:rsidRDefault="00572995" w:rsidP="00E8324D">
            <w:pPr>
              <w:pStyle w:val="Tablas"/>
              <w:rPr>
                <w:sz w:val="12"/>
                <w:szCs w:val="12"/>
              </w:rPr>
            </w:pPr>
            <w:r w:rsidRPr="00483EBE">
              <w:rPr>
                <w:sz w:val="12"/>
                <w:szCs w:val="12"/>
              </w:rPr>
              <w:t>SEBD</w:t>
            </w:r>
          </w:p>
        </w:tc>
      </w:tr>
      <w:tr w:rsidR="00572995" w:rsidRPr="00483EBE" w14:paraId="3452A57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DCFFEEB"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1F7340B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3872B17" w14:textId="77777777" w:rsidR="00572995" w:rsidRPr="00483EBE" w:rsidRDefault="00572995" w:rsidP="00E8324D">
            <w:pPr>
              <w:pStyle w:val="Tablas"/>
              <w:rPr>
                <w:sz w:val="12"/>
                <w:szCs w:val="12"/>
              </w:rPr>
            </w:pPr>
            <w:r w:rsidRPr="00483EBE">
              <w:rPr>
                <w:sz w:val="12"/>
                <w:szCs w:val="12"/>
              </w:rPr>
              <w:t>$4,281</w:t>
            </w:r>
          </w:p>
        </w:tc>
        <w:tc>
          <w:tcPr>
            <w:tcW w:w="0" w:type="auto"/>
            <w:tcBorders>
              <w:top w:val="nil"/>
              <w:left w:val="nil"/>
              <w:bottom w:val="single" w:sz="4" w:space="0" w:color="auto"/>
              <w:right w:val="single" w:sz="4" w:space="0" w:color="auto"/>
            </w:tcBorders>
            <w:shd w:val="clear" w:color="auto" w:fill="auto"/>
            <w:vAlign w:val="center"/>
            <w:hideMark/>
          </w:tcPr>
          <w:p w14:paraId="138CCD14" w14:textId="77777777" w:rsidR="00572995" w:rsidRPr="00483EBE" w:rsidRDefault="00572995" w:rsidP="00E8324D">
            <w:pPr>
              <w:pStyle w:val="Tablas"/>
              <w:rPr>
                <w:sz w:val="12"/>
                <w:szCs w:val="12"/>
              </w:rPr>
            </w:pPr>
            <w:r w:rsidRPr="00483EBE">
              <w:rPr>
                <w:sz w:val="12"/>
                <w:szCs w:val="12"/>
              </w:rPr>
              <w:t>$2,140</w:t>
            </w:r>
          </w:p>
        </w:tc>
        <w:tc>
          <w:tcPr>
            <w:tcW w:w="0" w:type="auto"/>
            <w:tcBorders>
              <w:top w:val="nil"/>
              <w:left w:val="nil"/>
              <w:bottom w:val="single" w:sz="4" w:space="0" w:color="auto"/>
              <w:right w:val="single" w:sz="4" w:space="0" w:color="auto"/>
            </w:tcBorders>
            <w:shd w:val="clear" w:color="auto" w:fill="auto"/>
            <w:vAlign w:val="center"/>
            <w:hideMark/>
          </w:tcPr>
          <w:p w14:paraId="1BA422D4" w14:textId="77777777" w:rsidR="00572995" w:rsidRPr="00483EBE" w:rsidRDefault="00572995" w:rsidP="00E8324D">
            <w:pPr>
              <w:pStyle w:val="Tablas"/>
              <w:rPr>
                <w:sz w:val="12"/>
                <w:szCs w:val="12"/>
              </w:rPr>
            </w:pPr>
            <w:r w:rsidRPr="00483EBE">
              <w:rPr>
                <w:sz w:val="12"/>
                <w:szCs w:val="12"/>
              </w:rPr>
              <w:t>$178</w:t>
            </w:r>
          </w:p>
        </w:tc>
        <w:tc>
          <w:tcPr>
            <w:tcW w:w="0" w:type="auto"/>
            <w:tcBorders>
              <w:top w:val="nil"/>
              <w:left w:val="nil"/>
              <w:bottom w:val="single" w:sz="4" w:space="0" w:color="auto"/>
              <w:right w:val="single" w:sz="4" w:space="0" w:color="auto"/>
            </w:tcBorders>
            <w:shd w:val="clear" w:color="auto" w:fill="auto"/>
            <w:vAlign w:val="center"/>
            <w:hideMark/>
          </w:tcPr>
          <w:p w14:paraId="02D8D917" w14:textId="77777777" w:rsidR="00572995" w:rsidRPr="00483EBE" w:rsidRDefault="00572995" w:rsidP="00E8324D">
            <w:pPr>
              <w:pStyle w:val="Tablas"/>
              <w:rPr>
                <w:sz w:val="12"/>
                <w:szCs w:val="12"/>
              </w:rPr>
            </w:pPr>
            <w:r w:rsidRPr="00483EBE">
              <w:rPr>
                <w:sz w:val="12"/>
                <w:szCs w:val="12"/>
              </w:rPr>
              <w:t>PROPORCIONAL</w:t>
            </w:r>
          </w:p>
        </w:tc>
        <w:tc>
          <w:tcPr>
            <w:tcW w:w="0" w:type="auto"/>
            <w:tcBorders>
              <w:top w:val="nil"/>
              <w:left w:val="nil"/>
              <w:bottom w:val="single" w:sz="4" w:space="0" w:color="auto"/>
              <w:right w:val="nil"/>
            </w:tcBorders>
            <w:shd w:val="clear" w:color="auto" w:fill="auto"/>
            <w:vAlign w:val="center"/>
            <w:hideMark/>
          </w:tcPr>
          <w:p w14:paraId="540CF21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AF3E30"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50F170E8" w14:textId="77777777" w:rsidR="00572995" w:rsidRPr="00483EBE" w:rsidRDefault="00572995" w:rsidP="00E8324D">
            <w:pPr>
              <w:pStyle w:val="Tablas"/>
              <w:rPr>
                <w:sz w:val="12"/>
                <w:szCs w:val="12"/>
              </w:rPr>
            </w:pPr>
            <w:r w:rsidRPr="00483EBE">
              <w:rPr>
                <w:sz w:val="12"/>
                <w:szCs w:val="12"/>
              </w:rPr>
              <w:t xml:space="preserve">1,726 </w:t>
            </w:r>
          </w:p>
        </w:tc>
        <w:tc>
          <w:tcPr>
            <w:tcW w:w="0" w:type="auto"/>
            <w:tcBorders>
              <w:top w:val="nil"/>
              <w:left w:val="nil"/>
              <w:bottom w:val="single" w:sz="4" w:space="0" w:color="auto"/>
              <w:right w:val="single" w:sz="4" w:space="0" w:color="auto"/>
            </w:tcBorders>
            <w:shd w:val="clear" w:color="auto" w:fill="auto"/>
            <w:vAlign w:val="center"/>
            <w:hideMark/>
          </w:tcPr>
          <w:p w14:paraId="59855A55" w14:textId="77777777" w:rsidR="00572995" w:rsidRPr="00483EBE" w:rsidRDefault="00572995" w:rsidP="00E8324D">
            <w:pPr>
              <w:pStyle w:val="Tablas"/>
              <w:rPr>
                <w:sz w:val="12"/>
                <w:szCs w:val="12"/>
              </w:rPr>
            </w:pPr>
            <w:r w:rsidRPr="00483EBE">
              <w:rPr>
                <w:sz w:val="12"/>
                <w:szCs w:val="12"/>
              </w:rPr>
              <w:t>$10,368,714</w:t>
            </w:r>
          </w:p>
        </w:tc>
        <w:tc>
          <w:tcPr>
            <w:tcW w:w="0" w:type="auto"/>
            <w:tcBorders>
              <w:top w:val="nil"/>
              <w:left w:val="nil"/>
              <w:bottom w:val="single" w:sz="4" w:space="0" w:color="auto"/>
              <w:right w:val="single" w:sz="4" w:space="0" w:color="auto"/>
            </w:tcBorders>
            <w:shd w:val="clear" w:color="auto" w:fill="auto"/>
            <w:vAlign w:val="center"/>
            <w:hideMark/>
          </w:tcPr>
          <w:p w14:paraId="6BE757DA" w14:textId="77777777" w:rsidR="00572995" w:rsidRPr="00483EBE" w:rsidRDefault="00572995" w:rsidP="00E8324D">
            <w:pPr>
              <w:pStyle w:val="Tablas"/>
              <w:rPr>
                <w:sz w:val="12"/>
                <w:szCs w:val="12"/>
              </w:rPr>
            </w:pPr>
            <w:r w:rsidRPr="00483EBE">
              <w:rPr>
                <w:sz w:val="12"/>
                <w:szCs w:val="12"/>
              </w:rPr>
              <w:t>$6,007</w:t>
            </w:r>
          </w:p>
        </w:tc>
        <w:tc>
          <w:tcPr>
            <w:tcW w:w="0" w:type="auto"/>
            <w:tcBorders>
              <w:top w:val="nil"/>
              <w:left w:val="nil"/>
              <w:bottom w:val="single" w:sz="4" w:space="0" w:color="auto"/>
              <w:right w:val="single" w:sz="4" w:space="0" w:color="auto"/>
            </w:tcBorders>
            <w:shd w:val="clear" w:color="auto" w:fill="auto"/>
            <w:vAlign w:val="center"/>
            <w:hideMark/>
          </w:tcPr>
          <w:p w14:paraId="25223265" w14:textId="77777777" w:rsidR="00572995" w:rsidRPr="00483EBE" w:rsidRDefault="00572995" w:rsidP="00E8324D">
            <w:pPr>
              <w:pStyle w:val="Tablas"/>
              <w:rPr>
                <w:sz w:val="12"/>
                <w:szCs w:val="12"/>
              </w:rPr>
            </w:pPr>
            <w:r w:rsidRPr="00483EBE">
              <w:rPr>
                <w:sz w:val="12"/>
                <w:szCs w:val="12"/>
              </w:rPr>
              <w:t>$501</w:t>
            </w:r>
          </w:p>
        </w:tc>
        <w:tc>
          <w:tcPr>
            <w:tcW w:w="0" w:type="auto"/>
            <w:tcBorders>
              <w:top w:val="nil"/>
              <w:left w:val="nil"/>
              <w:bottom w:val="single" w:sz="4" w:space="0" w:color="auto"/>
              <w:right w:val="single" w:sz="4" w:space="0" w:color="auto"/>
            </w:tcBorders>
            <w:shd w:val="clear" w:color="auto" w:fill="auto"/>
            <w:vAlign w:val="center"/>
            <w:hideMark/>
          </w:tcPr>
          <w:p w14:paraId="2BF40B42"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4C60B027" w14:textId="77777777" w:rsidR="00572995" w:rsidRPr="00483EBE" w:rsidRDefault="00572995" w:rsidP="00E8324D">
            <w:pPr>
              <w:pStyle w:val="Tablas"/>
              <w:rPr>
                <w:sz w:val="12"/>
                <w:szCs w:val="12"/>
              </w:rPr>
            </w:pPr>
            <w:r w:rsidRPr="00483EBE">
              <w:rPr>
                <w:sz w:val="12"/>
                <w:szCs w:val="12"/>
              </w:rPr>
              <w:t>SEBD</w:t>
            </w:r>
          </w:p>
        </w:tc>
      </w:tr>
      <w:tr w:rsidR="00572995" w:rsidRPr="00483EBE" w14:paraId="2B256F9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A23273" w14:textId="77777777" w:rsidR="00572995" w:rsidRPr="00483EBE" w:rsidRDefault="00572995" w:rsidP="00E8324D">
            <w:pPr>
              <w:pStyle w:val="Tablas"/>
              <w:rPr>
                <w:sz w:val="12"/>
                <w:szCs w:val="12"/>
              </w:rPr>
            </w:pPr>
            <w:r w:rsidRPr="00483EBE">
              <w:rPr>
                <w:sz w:val="12"/>
                <w:szCs w:val="12"/>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14:paraId="2676416B" w14:textId="77777777" w:rsidR="00572995" w:rsidRPr="00483EBE" w:rsidRDefault="00572995" w:rsidP="00E8324D">
            <w:pPr>
              <w:pStyle w:val="Tablas"/>
              <w:rPr>
                <w:sz w:val="12"/>
                <w:szCs w:val="12"/>
              </w:rPr>
            </w:pPr>
            <w:r w:rsidRPr="00483EBE">
              <w:rPr>
                <w:sz w:val="12"/>
                <w:szCs w:val="12"/>
              </w:rPr>
              <w:t xml:space="preserve">360 </w:t>
            </w:r>
          </w:p>
        </w:tc>
        <w:tc>
          <w:tcPr>
            <w:tcW w:w="0" w:type="auto"/>
            <w:tcBorders>
              <w:top w:val="nil"/>
              <w:left w:val="nil"/>
              <w:bottom w:val="single" w:sz="4" w:space="0" w:color="auto"/>
              <w:right w:val="single" w:sz="4" w:space="0" w:color="auto"/>
            </w:tcBorders>
            <w:shd w:val="clear" w:color="auto" w:fill="auto"/>
            <w:vAlign w:val="center"/>
            <w:hideMark/>
          </w:tcPr>
          <w:p w14:paraId="21B85EF8" w14:textId="77777777" w:rsidR="00572995" w:rsidRPr="00483EBE" w:rsidRDefault="00572995" w:rsidP="00E8324D">
            <w:pPr>
              <w:pStyle w:val="Tablas"/>
              <w:rPr>
                <w:sz w:val="12"/>
                <w:szCs w:val="12"/>
              </w:rPr>
            </w:pPr>
            <w:r w:rsidRPr="00483EBE">
              <w:rPr>
                <w:sz w:val="12"/>
                <w:szCs w:val="12"/>
              </w:rPr>
              <w:t>$2,534,603</w:t>
            </w:r>
          </w:p>
        </w:tc>
        <w:tc>
          <w:tcPr>
            <w:tcW w:w="0" w:type="auto"/>
            <w:tcBorders>
              <w:top w:val="nil"/>
              <w:left w:val="nil"/>
              <w:bottom w:val="single" w:sz="4" w:space="0" w:color="auto"/>
              <w:right w:val="single" w:sz="4" w:space="0" w:color="auto"/>
            </w:tcBorders>
            <w:shd w:val="clear" w:color="auto" w:fill="auto"/>
            <w:vAlign w:val="center"/>
            <w:hideMark/>
          </w:tcPr>
          <w:p w14:paraId="3920134E" w14:textId="77777777" w:rsidR="00572995" w:rsidRPr="00483EBE" w:rsidRDefault="00572995" w:rsidP="00E8324D">
            <w:pPr>
              <w:pStyle w:val="Tablas"/>
              <w:rPr>
                <w:sz w:val="12"/>
                <w:szCs w:val="12"/>
              </w:rPr>
            </w:pPr>
            <w:r w:rsidRPr="00483EBE">
              <w:rPr>
                <w:sz w:val="12"/>
                <w:szCs w:val="12"/>
              </w:rPr>
              <w:t>$7,041</w:t>
            </w:r>
          </w:p>
        </w:tc>
        <w:tc>
          <w:tcPr>
            <w:tcW w:w="0" w:type="auto"/>
            <w:tcBorders>
              <w:top w:val="nil"/>
              <w:left w:val="nil"/>
              <w:bottom w:val="single" w:sz="4" w:space="0" w:color="auto"/>
              <w:right w:val="single" w:sz="4" w:space="0" w:color="auto"/>
            </w:tcBorders>
            <w:shd w:val="clear" w:color="auto" w:fill="auto"/>
            <w:vAlign w:val="center"/>
            <w:hideMark/>
          </w:tcPr>
          <w:p w14:paraId="1E916E8E" w14:textId="77777777" w:rsidR="00572995" w:rsidRPr="00483EBE" w:rsidRDefault="00572995" w:rsidP="00E8324D">
            <w:pPr>
              <w:pStyle w:val="Tablas"/>
              <w:rPr>
                <w:sz w:val="12"/>
                <w:szCs w:val="12"/>
              </w:rPr>
            </w:pPr>
            <w:r w:rsidRPr="00483EBE">
              <w:rPr>
                <w:sz w:val="12"/>
                <w:szCs w:val="12"/>
              </w:rPr>
              <w:t>$587</w:t>
            </w:r>
          </w:p>
        </w:tc>
        <w:tc>
          <w:tcPr>
            <w:tcW w:w="0" w:type="auto"/>
            <w:tcBorders>
              <w:top w:val="nil"/>
              <w:left w:val="nil"/>
              <w:bottom w:val="single" w:sz="4" w:space="0" w:color="auto"/>
              <w:right w:val="single" w:sz="4" w:space="0" w:color="auto"/>
            </w:tcBorders>
            <w:shd w:val="clear" w:color="auto" w:fill="auto"/>
            <w:vAlign w:val="center"/>
            <w:hideMark/>
          </w:tcPr>
          <w:p w14:paraId="4C4B018C"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7487280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17A263"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25BD5D99" w14:textId="77777777" w:rsidR="00572995" w:rsidRPr="00483EBE" w:rsidRDefault="00572995" w:rsidP="00E8324D">
            <w:pPr>
              <w:pStyle w:val="Tablas"/>
              <w:rPr>
                <w:sz w:val="12"/>
                <w:szCs w:val="12"/>
              </w:rPr>
            </w:pPr>
            <w:r w:rsidRPr="00483EBE">
              <w:rPr>
                <w:sz w:val="12"/>
                <w:szCs w:val="12"/>
              </w:rPr>
              <w:t xml:space="preserve">1,637 </w:t>
            </w:r>
          </w:p>
        </w:tc>
        <w:tc>
          <w:tcPr>
            <w:tcW w:w="0" w:type="auto"/>
            <w:tcBorders>
              <w:top w:val="nil"/>
              <w:left w:val="nil"/>
              <w:bottom w:val="single" w:sz="4" w:space="0" w:color="auto"/>
              <w:right w:val="single" w:sz="4" w:space="0" w:color="auto"/>
            </w:tcBorders>
            <w:shd w:val="clear" w:color="auto" w:fill="auto"/>
            <w:vAlign w:val="center"/>
            <w:hideMark/>
          </w:tcPr>
          <w:p w14:paraId="6CBC81CF" w14:textId="77777777" w:rsidR="00572995" w:rsidRPr="00483EBE" w:rsidRDefault="00572995" w:rsidP="00E8324D">
            <w:pPr>
              <w:pStyle w:val="Tablas"/>
              <w:rPr>
                <w:sz w:val="12"/>
                <w:szCs w:val="12"/>
              </w:rPr>
            </w:pPr>
            <w:r w:rsidRPr="00483EBE">
              <w:rPr>
                <w:sz w:val="12"/>
                <w:szCs w:val="12"/>
              </w:rPr>
              <w:t>$9,949,675</w:t>
            </w:r>
          </w:p>
        </w:tc>
        <w:tc>
          <w:tcPr>
            <w:tcW w:w="0" w:type="auto"/>
            <w:tcBorders>
              <w:top w:val="nil"/>
              <w:left w:val="nil"/>
              <w:bottom w:val="single" w:sz="4" w:space="0" w:color="auto"/>
              <w:right w:val="single" w:sz="4" w:space="0" w:color="auto"/>
            </w:tcBorders>
            <w:shd w:val="clear" w:color="auto" w:fill="auto"/>
            <w:vAlign w:val="center"/>
            <w:hideMark/>
          </w:tcPr>
          <w:p w14:paraId="16CCD7C4" w14:textId="77777777" w:rsidR="00572995" w:rsidRPr="00483EBE" w:rsidRDefault="00572995" w:rsidP="00E8324D">
            <w:pPr>
              <w:pStyle w:val="Tablas"/>
              <w:rPr>
                <w:sz w:val="12"/>
                <w:szCs w:val="12"/>
              </w:rPr>
            </w:pPr>
            <w:r w:rsidRPr="00483EBE">
              <w:rPr>
                <w:sz w:val="12"/>
                <w:szCs w:val="12"/>
              </w:rPr>
              <w:t>$6,078</w:t>
            </w:r>
          </w:p>
        </w:tc>
        <w:tc>
          <w:tcPr>
            <w:tcW w:w="0" w:type="auto"/>
            <w:tcBorders>
              <w:top w:val="nil"/>
              <w:left w:val="nil"/>
              <w:bottom w:val="single" w:sz="4" w:space="0" w:color="auto"/>
              <w:right w:val="single" w:sz="4" w:space="0" w:color="auto"/>
            </w:tcBorders>
            <w:shd w:val="clear" w:color="auto" w:fill="auto"/>
            <w:vAlign w:val="center"/>
            <w:hideMark/>
          </w:tcPr>
          <w:p w14:paraId="4B7E2D87" w14:textId="77777777" w:rsidR="00572995" w:rsidRPr="00483EBE" w:rsidRDefault="00572995" w:rsidP="00E8324D">
            <w:pPr>
              <w:pStyle w:val="Tablas"/>
              <w:rPr>
                <w:sz w:val="12"/>
                <w:szCs w:val="12"/>
              </w:rPr>
            </w:pPr>
            <w:r w:rsidRPr="00483EBE">
              <w:rPr>
                <w:sz w:val="12"/>
                <w:szCs w:val="12"/>
              </w:rPr>
              <w:t>$506</w:t>
            </w:r>
          </w:p>
        </w:tc>
        <w:tc>
          <w:tcPr>
            <w:tcW w:w="0" w:type="auto"/>
            <w:tcBorders>
              <w:top w:val="nil"/>
              <w:left w:val="nil"/>
              <w:bottom w:val="single" w:sz="4" w:space="0" w:color="auto"/>
              <w:right w:val="single" w:sz="4" w:space="0" w:color="auto"/>
            </w:tcBorders>
            <w:shd w:val="clear" w:color="auto" w:fill="auto"/>
            <w:vAlign w:val="center"/>
            <w:hideMark/>
          </w:tcPr>
          <w:p w14:paraId="42A57E24"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61E50CB5" w14:textId="77777777" w:rsidR="00572995" w:rsidRPr="00483EBE" w:rsidRDefault="00572995" w:rsidP="00E8324D">
            <w:pPr>
              <w:pStyle w:val="Tablas"/>
              <w:rPr>
                <w:sz w:val="12"/>
                <w:szCs w:val="12"/>
              </w:rPr>
            </w:pPr>
            <w:r w:rsidRPr="00483EBE">
              <w:rPr>
                <w:sz w:val="12"/>
                <w:szCs w:val="12"/>
              </w:rPr>
              <w:t>SEBD</w:t>
            </w:r>
          </w:p>
        </w:tc>
      </w:tr>
      <w:tr w:rsidR="00572995" w:rsidRPr="00483EBE" w14:paraId="534073A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36ED03"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142F8148" w14:textId="77777777" w:rsidR="00572995" w:rsidRPr="00483EBE" w:rsidRDefault="00572995" w:rsidP="00E8324D">
            <w:pPr>
              <w:pStyle w:val="Tablas"/>
              <w:rPr>
                <w:sz w:val="12"/>
                <w:szCs w:val="12"/>
              </w:rPr>
            </w:pPr>
            <w:r w:rsidRPr="00483EBE">
              <w:rPr>
                <w:sz w:val="12"/>
                <w:szCs w:val="12"/>
              </w:rPr>
              <w:t xml:space="preserve">620 </w:t>
            </w:r>
          </w:p>
        </w:tc>
        <w:tc>
          <w:tcPr>
            <w:tcW w:w="0" w:type="auto"/>
            <w:tcBorders>
              <w:top w:val="nil"/>
              <w:left w:val="nil"/>
              <w:bottom w:val="single" w:sz="4" w:space="0" w:color="auto"/>
              <w:right w:val="single" w:sz="4" w:space="0" w:color="auto"/>
            </w:tcBorders>
            <w:shd w:val="clear" w:color="auto" w:fill="auto"/>
            <w:vAlign w:val="center"/>
            <w:hideMark/>
          </w:tcPr>
          <w:p w14:paraId="7D7F5DED" w14:textId="77777777" w:rsidR="00572995" w:rsidRPr="00483EBE" w:rsidRDefault="00572995" w:rsidP="00E8324D">
            <w:pPr>
              <w:pStyle w:val="Tablas"/>
              <w:rPr>
                <w:sz w:val="12"/>
                <w:szCs w:val="12"/>
              </w:rPr>
            </w:pPr>
            <w:r w:rsidRPr="00483EBE">
              <w:rPr>
                <w:sz w:val="12"/>
                <w:szCs w:val="12"/>
              </w:rPr>
              <w:t>$4,161,042</w:t>
            </w:r>
          </w:p>
        </w:tc>
        <w:tc>
          <w:tcPr>
            <w:tcW w:w="0" w:type="auto"/>
            <w:tcBorders>
              <w:top w:val="nil"/>
              <w:left w:val="nil"/>
              <w:bottom w:val="single" w:sz="4" w:space="0" w:color="auto"/>
              <w:right w:val="single" w:sz="4" w:space="0" w:color="auto"/>
            </w:tcBorders>
            <w:shd w:val="clear" w:color="auto" w:fill="auto"/>
            <w:vAlign w:val="center"/>
            <w:hideMark/>
          </w:tcPr>
          <w:p w14:paraId="1A4344D6" w14:textId="77777777" w:rsidR="00572995" w:rsidRPr="00483EBE" w:rsidRDefault="00572995" w:rsidP="00E8324D">
            <w:pPr>
              <w:pStyle w:val="Tablas"/>
              <w:rPr>
                <w:sz w:val="12"/>
                <w:szCs w:val="12"/>
              </w:rPr>
            </w:pPr>
            <w:r w:rsidRPr="00483EBE">
              <w:rPr>
                <w:sz w:val="12"/>
                <w:szCs w:val="12"/>
              </w:rPr>
              <w:t>$6,711</w:t>
            </w:r>
          </w:p>
        </w:tc>
        <w:tc>
          <w:tcPr>
            <w:tcW w:w="0" w:type="auto"/>
            <w:tcBorders>
              <w:top w:val="nil"/>
              <w:left w:val="nil"/>
              <w:bottom w:val="single" w:sz="4" w:space="0" w:color="auto"/>
              <w:right w:val="single" w:sz="4" w:space="0" w:color="auto"/>
            </w:tcBorders>
            <w:shd w:val="clear" w:color="auto" w:fill="auto"/>
            <w:vAlign w:val="center"/>
            <w:hideMark/>
          </w:tcPr>
          <w:p w14:paraId="21B48369" w14:textId="77777777" w:rsidR="00572995" w:rsidRPr="00483EBE" w:rsidRDefault="00572995" w:rsidP="00E8324D">
            <w:pPr>
              <w:pStyle w:val="Tablas"/>
              <w:rPr>
                <w:sz w:val="12"/>
                <w:szCs w:val="12"/>
              </w:rPr>
            </w:pPr>
            <w:r w:rsidRPr="00483EBE">
              <w:rPr>
                <w:sz w:val="12"/>
                <w:szCs w:val="12"/>
              </w:rPr>
              <w:t>$559</w:t>
            </w:r>
          </w:p>
        </w:tc>
        <w:tc>
          <w:tcPr>
            <w:tcW w:w="0" w:type="auto"/>
            <w:tcBorders>
              <w:top w:val="nil"/>
              <w:left w:val="nil"/>
              <w:bottom w:val="single" w:sz="4" w:space="0" w:color="auto"/>
              <w:right w:val="single" w:sz="4" w:space="0" w:color="auto"/>
            </w:tcBorders>
            <w:shd w:val="clear" w:color="auto" w:fill="auto"/>
            <w:vAlign w:val="center"/>
            <w:hideMark/>
          </w:tcPr>
          <w:p w14:paraId="2522196E"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283652F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719F545"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49E3379A" w14:textId="77777777" w:rsidR="00572995" w:rsidRPr="00483EBE" w:rsidRDefault="00572995" w:rsidP="00E8324D">
            <w:pPr>
              <w:pStyle w:val="Tablas"/>
              <w:rPr>
                <w:sz w:val="12"/>
                <w:szCs w:val="12"/>
              </w:rPr>
            </w:pPr>
            <w:r w:rsidRPr="00483EBE">
              <w:rPr>
                <w:sz w:val="12"/>
                <w:szCs w:val="12"/>
              </w:rPr>
              <w:t xml:space="preserve">1,953 </w:t>
            </w:r>
          </w:p>
        </w:tc>
        <w:tc>
          <w:tcPr>
            <w:tcW w:w="0" w:type="auto"/>
            <w:tcBorders>
              <w:top w:val="nil"/>
              <w:left w:val="nil"/>
              <w:bottom w:val="single" w:sz="4" w:space="0" w:color="auto"/>
              <w:right w:val="single" w:sz="4" w:space="0" w:color="auto"/>
            </w:tcBorders>
            <w:shd w:val="clear" w:color="auto" w:fill="auto"/>
            <w:vAlign w:val="center"/>
            <w:hideMark/>
          </w:tcPr>
          <w:p w14:paraId="2CD8D920" w14:textId="77777777" w:rsidR="00572995" w:rsidRPr="00483EBE" w:rsidRDefault="00572995" w:rsidP="00E8324D">
            <w:pPr>
              <w:pStyle w:val="Tablas"/>
              <w:rPr>
                <w:sz w:val="12"/>
                <w:szCs w:val="12"/>
              </w:rPr>
            </w:pPr>
            <w:r w:rsidRPr="00483EBE">
              <w:rPr>
                <w:sz w:val="12"/>
                <w:szCs w:val="12"/>
              </w:rPr>
              <w:t>$11,942,402</w:t>
            </w:r>
          </w:p>
        </w:tc>
        <w:tc>
          <w:tcPr>
            <w:tcW w:w="0" w:type="auto"/>
            <w:tcBorders>
              <w:top w:val="nil"/>
              <w:left w:val="nil"/>
              <w:bottom w:val="single" w:sz="4" w:space="0" w:color="auto"/>
              <w:right w:val="single" w:sz="4" w:space="0" w:color="auto"/>
            </w:tcBorders>
            <w:shd w:val="clear" w:color="auto" w:fill="auto"/>
            <w:vAlign w:val="center"/>
            <w:hideMark/>
          </w:tcPr>
          <w:p w14:paraId="160E73B9" w14:textId="77777777" w:rsidR="00572995" w:rsidRPr="00483EBE" w:rsidRDefault="00572995" w:rsidP="00E8324D">
            <w:pPr>
              <w:pStyle w:val="Tablas"/>
              <w:rPr>
                <w:sz w:val="12"/>
                <w:szCs w:val="12"/>
              </w:rPr>
            </w:pPr>
            <w:r w:rsidRPr="00483EBE">
              <w:rPr>
                <w:sz w:val="12"/>
                <w:szCs w:val="12"/>
              </w:rPr>
              <w:t>$6,115</w:t>
            </w:r>
          </w:p>
        </w:tc>
        <w:tc>
          <w:tcPr>
            <w:tcW w:w="0" w:type="auto"/>
            <w:tcBorders>
              <w:top w:val="nil"/>
              <w:left w:val="nil"/>
              <w:bottom w:val="single" w:sz="4" w:space="0" w:color="auto"/>
              <w:right w:val="single" w:sz="4" w:space="0" w:color="auto"/>
            </w:tcBorders>
            <w:shd w:val="clear" w:color="auto" w:fill="auto"/>
            <w:vAlign w:val="center"/>
            <w:hideMark/>
          </w:tcPr>
          <w:p w14:paraId="437A448B" w14:textId="77777777" w:rsidR="00572995" w:rsidRPr="00483EBE" w:rsidRDefault="00572995" w:rsidP="00E8324D">
            <w:pPr>
              <w:pStyle w:val="Tablas"/>
              <w:rPr>
                <w:sz w:val="12"/>
                <w:szCs w:val="12"/>
              </w:rPr>
            </w:pPr>
            <w:r w:rsidRPr="00483EBE">
              <w:rPr>
                <w:sz w:val="12"/>
                <w:szCs w:val="12"/>
              </w:rPr>
              <w:t>$510</w:t>
            </w:r>
          </w:p>
        </w:tc>
        <w:tc>
          <w:tcPr>
            <w:tcW w:w="0" w:type="auto"/>
            <w:tcBorders>
              <w:top w:val="nil"/>
              <w:left w:val="nil"/>
              <w:bottom w:val="single" w:sz="4" w:space="0" w:color="auto"/>
              <w:right w:val="single" w:sz="4" w:space="0" w:color="auto"/>
            </w:tcBorders>
            <w:shd w:val="clear" w:color="auto" w:fill="auto"/>
            <w:vAlign w:val="center"/>
            <w:hideMark/>
          </w:tcPr>
          <w:p w14:paraId="44A45526"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6F6365AC" w14:textId="77777777" w:rsidR="00572995" w:rsidRPr="00483EBE" w:rsidRDefault="00572995" w:rsidP="00E8324D">
            <w:pPr>
              <w:pStyle w:val="Tablas"/>
              <w:rPr>
                <w:sz w:val="12"/>
                <w:szCs w:val="12"/>
              </w:rPr>
            </w:pPr>
            <w:r w:rsidRPr="00483EBE">
              <w:rPr>
                <w:sz w:val="12"/>
                <w:szCs w:val="12"/>
              </w:rPr>
              <w:t>SEBD</w:t>
            </w:r>
          </w:p>
        </w:tc>
      </w:tr>
      <w:tr w:rsidR="00572995" w:rsidRPr="00483EBE" w14:paraId="063F8D6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A133AA"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4547FFD6" w14:textId="77777777" w:rsidR="00572995" w:rsidRPr="00483EBE" w:rsidRDefault="00572995" w:rsidP="00E8324D">
            <w:pPr>
              <w:pStyle w:val="Tablas"/>
              <w:rPr>
                <w:sz w:val="12"/>
                <w:szCs w:val="12"/>
              </w:rPr>
            </w:pPr>
            <w:r w:rsidRPr="00483EBE">
              <w:rPr>
                <w:sz w:val="12"/>
                <w:szCs w:val="12"/>
              </w:rPr>
              <w:t xml:space="preserve">643 </w:t>
            </w:r>
          </w:p>
        </w:tc>
        <w:tc>
          <w:tcPr>
            <w:tcW w:w="0" w:type="auto"/>
            <w:tcBorders>
              <w:top w:val="nil"/>
              <w:left w:val="nil"/>
              <w:bottom w:val="single" w:sz="4" w:space="0" w:color="auto"/>
              <w:right w:val="single" w:sz="4" w:space="0" w:color="auto"/>
            </w:tcBorders>
            <w:shd w:val="clear" w:color="auto" w:fill="auto"/>
            <w:vAlign w:val="center"/>
            <w:hideMark/>
          </w:tcPr>
          <w:p w14:paraId="762E90FA" w14:textId="77777777" w:rsidR="00572995" w:rsidRPr="00483EBE" w:rsidRDefault="00572995" w:rsidP="00E8324D">
            <w:pPr>
              <w:pStyle w:val="Tablas"/>
              <w:rPr>
                <w:sz w:val="12"/>
                <w:szCs w:val="12"/>
              </w:rPr>
            </w:pPr>
            <w:r w:rsidRPr="00483EBE">
              <w:rPr>
                <w:sz w:val="12"/>
                <w:szCs w:val="12"/>
              </w:rPr>
              <w:t>$4,427,025</w:t>
            </w:r>
          </w:p>
        </w:tc>
        <w:tc>
          <w:tcPr>
            <w:tcW w:w="0" w:type="auto"/>
            <w:tcBorders>
              <w:top w:val="nil"/>
              <w:left w:val="nil"/>
              <w:bottom w:val="single" w:sz="4" w:space="0" w:color="auto"/>
              <w:right w:val="single" w:sz="4" w:space="0" w:color="auto"/>
            </w:tcBorders>
            <w:shd w:val="clear" w:color="auto" w:fill="auto"/>
            <w:vAlign w:val="center"/>
            <w:hideMark/>
          </w:tcPr>
          <w:p w14:paraId="737CB7A9" w14:textId="77777777" w:rsidR="00572995" w:rsidRPr="00483EBE" w:rsidRDefault="00572995" w:rsidP="00E8324D">
            <w:pPr>
              <w:pStyle w:val="Tablas"/>
              <w:rPr>
                <w:sz w:val="12"/>
                <w:szCs w:val="12"/>
              </w:rPr>
            </w:pPr>
            <w:r w:rsidRPr="00483EBE">
              <w:rPr>
                <w:sz w:val="12"/>
                <w:szCs w:val="12"/>
              </w:rPr>
              <w:t>$6,885</w:t>
            </w:r>
          </w:p>
        </w:tc>
        <w:tc>
          <w:tcPr>
            <w:tcW w:w="0" w:type="auto"/>
            <w:tcBorders>
              <w:top w:val="nil"/>
              <w:left w:val="nil"/>
              <w:bottom w:val="single" w:sz="4" w:space="0" w:color="auto"/>
              <w:right w:val="single" w:sz="4" w:space="0" w:color="auto"/>
            </w:tcBorders>
            <w:shd w:val="clear" w:color="auto" w:fill="auto"/>
            <w:vAlign w:val="center"/>
            <w:hideMark/>
          </w:tcPr>
          <w:p w14:paraId="129EBD84" w14:textId="77777777" w:rsidR="00572995" w:rsidRPr="00483EBE" w:rsidRDefault="00572995" w:rsidP="00E8324D">
            <w:pPr>
              <w:pStyle w:val="Tablas"/>
              <w:rPr>
                <w:sz w:val="12"/>
                <w:szCs w:val="12"/>
              </w:rPr>
            </w:pPr>
            <w:r w:rsidRPr="00483EBE">
              <w:rPr>
                <w:sz w:val="12"/>
                <w:szCs w:val="12"/>
              </w:rPr>
              <w:t>$574</w:t>
            </w:r>
          </w:p>
        </w:tc>
        <w:tc>
          <w:tcPr>
            <w:tcW w:w="0" w:type="auto"/>
            <w:tcBorders>
              <w:top w:val="nil"/>
              <w:left w:val="nil"/>
              <w:bottom w:val="single" w:sz="4" w:space="0" w:color="auto"/>
              <w:right w:val="single" w:sz="4" w:space="0" w:color="auto"/>
            </w:tcBorders>
            <w:shd w:val="clear" w:color="auto" w:fill="auto"/>
            <w:vAlign w:val="center"/>
            <w:hideMark/>
          </w:tcPr>
          <w:p w14:paraId="6ED932D0"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1D7F48C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18C866"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4CCCC86C" w14:textId="77777777" w:rsidR="00572995" w:rsidRPr="00483EBE" w:rsidRDefault="00572995" w:rsidP="00E8324D">
            <w:pPr>
              <w:pStyle w:val="Tablas"/>
              <w:rPr>
                <w:sz w:val="12"/>
                <w:szCs w:val="12"/>
              </w:rPr>
            </w:pPr>
            <w:r w:rsidRPr="00483EBE">
              <w:rPr>
                <w:sz w:val="12"/>
                <w:szCs w:val="12"/>
              </w:rPr>
              <w:t xml:space="preserve">2,009 </w:t>
            </w:r>
          </w:p>
        </w:tc>
        <w:tc>
          <w:tcPr>
            <w:tcW w:w="0" w:type="auto"/>
            <w:tcBorders>
              <w:top w:val="nil"/>
              <w:left w:val="nil"/>
              <w:bottom w:val="single" w:sz="4" w:space="0" w:color="auto"/>
              <w:right w:val="single" w:sz="4" w:space="0" w:color="auto"/>
            </w:tcBorders>
            <w:shd w:val="clear" w:color="auto" w:fill="auto"/>
            <w:vAlign w:val="center"/>
            <w:hideMark/>
          </w:tcPr>
          <w:p w14:paraId="6731A921" w14:textId="77777777" w:rsidR="00572995" w:rsidRPr="00483EBE" w:rsidRDefault="00572995" w:rsidP="00E8324D">
            <w:pPr>
              <w:pStyle w:val="Tablas"/>
              <w:rPr>
                <w:sz w:val="12"/>
                <w:szCs w:val="12"/>
              </w:rPr>
            </w:pPr>
            <w:r w:rsidRPr="00483EBE">
              <w:rPr>
                <w:sz w:val="12"/>
                <w:szCs w:val="12"/>
              </w:rPr>
              <w:t>$12,118,937</w:t>
            </w:r>
          </w:p>
        </w:tc>
        <w:tc>
          <w:tcPr>
            <w:tcW w:w="0" w:type="auto"/>
            <w:tcBorders>
              <w:top w:val="nil"/>
              <w:left w:val="nil"/>
              <w:bottom w:val="single" w:sz="4" w:space="0" w:color="auto"/>
              <w:right w:val="single" w:sz="4" w:space="0" w:color="auto"/>
            </w:tcBorders>
            <w:shd w:val="clear" w:color="auto" w:fill="auto"/>
            <w:vAlign w:val="center"/>
            <w:hideMark/>
          </w:tcPr>
          <w:p w14:paraId="77324548" w14:textId="77777777" w:rsidR="00572995" w:rsidRPr="00483EBE" w:rsidRDefault="00572995" w:rsidP="00E8324D">
            <w:pPr>
              <w:pStyle w:val="Tablas"/>
              <w:rPr>
                <w:sz w:val="12"/>
                <w:szCs w:val="12"/>
              </w:rPr>
            </w:pPr>
            <w:r w:rsidRPr="00483EBE">
              <w:rPr>
                <w:sz w:val="12"/>
                <w:szCs w:val="12"/>
              </w:rPr>
              <w:t>$6,032</w:t>
            </w:r>
          </w:p>
        </w:tc>
        <w:tc>
          <w:tcPr>
            <w:tcW w:w="0" w:type="auto"/>
            <w:tcBorders>
              <w:top w:val="nil"/>
              <w:left w:val="nil"/>
              <w:bottom w:val="single" w:sz="4" w:space="0" w:color="auto"/>
              <w:right w:val="single" w:sz="4" w:space="0" w:color="auto"/>
            </w:tcBorders>
            <w:shd w:val="clear" w:color="auto" w:fill="auto"/>
            <w:vAlign w:val="center"/>
            <w:hideMark/>
          </w:tcPr>
          <w:p w14:paraId="5E98C361" w14:textId="77777777" w:rsidR="00572995" w:rsidRPr="00483EBE" w:rsidRDefault="00572995" w:rsidP="00E8324D">
            <w:pPr>
              <w:pStyle w:val="Tablas"/>
              <w:rPr>
                <w:sz w:val="12"/>
                <w:szCs w:val="12"/>
              </w:rPr>
            </w:pPr>
            <w:r w:rsidRPr="00483EBE">
              <w:rPr>
                <w:sz w:val="12"/>
                <w:szCs w:val="12"/>
              </w:rPr>
              <w:t>$503</w:t>
            </w:r>
          </w:p>
        </w:tc>
        <w:tc>
          <w:tcPr>
            <w:tcW w:w="0" w:type="auto"/>
            <w:tcBorders>
              <w:top w:val="nil"/>
              <w:left w:val="nil"/>
              <w:bottom w:val="single" w:sz="4" w:space="0" w:color="auto"/>
              <w:right w:val="single" w:sz="4" w:space="0" w:color="auto"/>
            </w:tcBorders>
            <w:shd w:val="clear" w:color="auto" w:fill="auto"/>
            <w:vAlign w:val="center"/>
            <w:hideMark/>
          </w:tcPr>
          <w:p w14:paraId="258C538E"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136E36F8" w14:textId="77777777" w:rsidR="00572995" w:rsidRPr="00483EBE" w:rsidRDefault="00572995" w:rsidP="00E8324D">
            <w:pPr>
              <w:pStyle w:val="Tablas"/>
              <w:rPr>
                <w:sz w:val="12"/>
                <w:szCs w:val="12"/>
              </w:rPr>
            </w:pPr>
            <w:r w:rsidRPr="00483EBE">
              <w:rPr>
                <w:sz w:val="12"/>
                <w:szCs w:val="12"/>
              </w:rPr>
              <w:t>SEBD</w:t>
            </w:r>
          </w:p>
        </w:tc>
      </w:tr>
      <w:tr w:rsidR="00572995" w:rsidRPr="00483EBE" w14:paraId="2E8254D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F2082EE"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2D4BCE7C" w14:textId="77777777" w:rsidR="00572995" w:rsidRPr="00483EBE" w:rsidRDefault="00572995" w:rsidP="00E8324D">
            <w:pPr>
              <w:pStyle w:val="Tablas"/>
              <w:rPr>
                <w:sz w:val="12"/>
                <w:szCs w:val="12"/>
              </w:rPr>
            </w:pPr>
            <w:r w:rsidRPr="00483EBE">
              <w:rPr>
                <w:sz w:val="12"/>
                <w:szCs w:val="12"/>
              </w:rPr>
              <w:t xml:space="preserve">517 </w:t>
            </w:r>
          </w:p>
        </w:tc>
        <w:tc>
          <w:tcPr>
            <w:tcW w:w="0" w:type="auto"/>
            <w:tcBorders>
              <w:top w:val="nil"/>
              <w:left w:val="nil"/>
              <w:bottom w:val="single" w:sz="4" w:space="0" w:color="auto"/>
              <w:right w:val="single" w:sz="4" w:space="0" w:color="auto"/>
            </w:tcBorders>
            <w:shd w:val="clear" w:color="auto" w:fill="auto"/>
            <w:vAlign w:val="center"/>
            <w:hideMark/>
          </w:tcPr>
          <w:p w14:paraId="503D45B6" w14:textId="77777777" w:rsidR="00572995" w:rsidRPr="00483EBE" w:rsidRDefault="00572995" w:rsidP="00E8324D">
            <w:pPr>
              <w:pStyle w:val="Tablas"/>
              <w:rPr>
                <w:sz w:val="12"/>
                <w:szCs w:val="12"/>
              </w:rPr>
            </w:pPr>
            <w:r w:rsidRPr="00483EBE">
              <w:rPr>
                <w:sz w:val="12"/>
                <w:szCs w:val="12"/>
              </w:rPr>
              <w:t>$3,398,829</w:t>
            </w:r>
          </w:p>
        </w:tc>
        <w:tc>
          <w:tcPr>
            <w:tcW w:w="0" w:type="auto"/>
            <w:tcBorders>
              <w:top w:val="nil"/>
              <w:left w:val="nil"/>
              <w:bottom w:val="single" w:sz="4" w:space="0" w:color="auto"/>
              <w:right w:val="single" w:sz="4" w:space="0" w:color="auto"/>
            </w:tcBorders>
            <w:shd w:val="clear" w:color="auto" w:fill="auto"/>
            <w:vAlign w:val="center"/>
            <w:hideMark/>
          </w:tcPr>
          <w:p w14:paraId="59A828B6" w14:textId="77777777" w:rsidR="00572995" w:rsidRPr="00483EBE" w:rsidRDefault="00572995" w:rsidP="00E8324D">
            <w:pPr>
              <w:pStyle w:val="Tablas"/>
              <w:rPr>
                <w:sz w:val="12"/>
                <w:szCs w:val="12"/>
              </w:rPr>
            </w:pPr>
            <w:r w:rsidRPr="00483EBE">
              <w:rPr>
                <w:sz w:val="12"/>
                <w:szCs w:val="12"/>
              </w:rPr>
              <w:t>$6,574</w:t>
            </w:r>
          </w:p>
        </w:tc>
        <w:tc>
          <w:tcPr>
            <w:tcW w:w="0" w:type="auto"/>
            <w:tcBorders>
              <w:top w:val="nil"/>
              <w:left w:val="nil"/>
              <w:bottom w:val="single" w:sz="4" w:space="0" w:color="auto"/>
              <w:right w:val="single" w:sz="4" w:space="0" w:color="auto"/>
            </w:tcBorders>
            <w:shd w:val="clear" w:color="auto" w:fill="auto"/>
            <w:vAlign w:val="center"/>
            <w:hideMark/>
          </w:tcPr>
          <w:p w14:paraId="232EC6E7" w14:textId="77777777" w:rsidR="00572995" w:rsidRPr="00483EBE" w:rsidRDefault="00572995" w:rsidP="00E8324D">
            <w:pPr>
              <w:pStyle w:val="Tablas"/>
              <w:rPr>
                <w:sz w:val="12"/>
                <w:szCs w:val="12"/>
              </w:rPr>
            </w:pPr>
            <w:r w:rsidRPr="00483EBE">
              <w:rPr>
                <w:sz w:val="12"/>
                <w:szCs w:val="12"/>
              </w:rPr>
              <w:t>$548</w:t>
            </w:r>
          </w:p>
        </w:tc>
        <w:tc>
          <w:tcPr>
            <w:tcW w:w="0" w:type="auto"/>
            <w:tcBorders>
              <w:top w:val="nil"/>
              <w:left w:val="nil"/>
              <w:bottom w:val="single" w:sz="4" w:space="0" w:color="auto"/>
              <w:right w:val="single" w:sz="4" w:space="0" w:color="auto"/>
            </w:tcBorders>
            <w:shd w:val="clear" w:color="auto" w:fill="auto"/>
            <w:vAlign w:val="center"/>
            <w:hideMark/>
          </w:tcPr>
          <w:p w14:paraId="54915E43"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67DA221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65A4F21"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419A741D" w14:textId="77777777" w:rsidR="00572995" w:rsidRPr="00483EBE" w:rsidRDefault="00572995" w:rsidP="00E8324D">
            <w:pPr>
              <w:pStyle w:val="Tablas"/>
              <w:rPr>
                <w:sz w:val="12"/>
                <w:szCs w:val="12"/>
              </w:rPr>
            </w:pPr>
            <w:r w:rsidRPr="00483EBE">
              <w:rPr>
                <w:sz w:val="12"/>
                <w:szCs w:val="12"/>
              </w:rPr>
              <w:t xml:space="preserve">1,416 </w:t>
            </w:r>
          </w:p>
        </w:tc>
        <w:tc>
          <w:tcPr>
            <w:tcW w:w="0" w:type="auto"/>
            <w:tcBorders>
              <w:top w:val="nil"/>
              <w:left w:val="nil"/>
              <w:bottom w:val="single" w:sz="4" w:space="0" w:color="auto"/>
              <w:right w:val="single" w:sz="4" w:space="0" w:color="auto"/>
            </w:tcBorders>
            <w:shd w:val="clear" w:color="auto" w:fill="auto"/>
            <w:vAlign w:val="center"/>
            <w:hideMark/>
          </w:tcPr>
          <w:p w14:paraId="5D654F2E" w14:textId="77777777" w:rsidR="00572995" w:rsidRPr="00483EBE" w:rsidRDefault="00572995" w:rsidP="00E8324D">
            <w:pPr>
              <w:pStyle w:val="Tablas"/>
              <w:rPr>
                <w:sz w:val="12"/>
                <w:szCs w:val="12"/>
              </w:rPr>
            </w:pPr>
            <w:r w:rsidRPr="00483EBE">
              <w:rPr>
                <w:sz w:val="12"/>
                <w:szCs w:val="12"/>
              </w:rPr>
              <w:t>$8,675,618</w:t>
            </w:r>
          </w:p>
        </w:tc>
        <w:tc>
          <w:tcPr>
            <w:tcW w:w="0" w:type="auto"/>
            <w:tcBorders>
              <w:top w:val="nil"/>
              <w:left w:val="nil"/>
              <w:bottom w:val="single" w:sz="4" w:space="0" w:color="auto"/>
              <w:right w:val="single" w:sz="4" w:space="0" w:color="auto"/>
            </w:tcBorders>
            <w:shd w:val="clear" w:color="auto" w:fill="auto"/>
            <w:vAlign w:val="center"/>
            <w:hideMark/>
          </w:tcPr>
          <w:p w14:paraId="129B7EF7" w14:textId="77777777" w:rsidR="00572995" w:rsidRPr="00483EBE" w:rsidRDefault="00572995" w:rsidP="00E8324D">
            <w:pPr>
              <w:pStyle w:val="Tablas"/>
              <w:rPr>
                <w:sz w:val="12"/>
                <w:szCs w:val="12"/>
              </w:rPr>
            </w:pPr>
            <w:r w:rsidRPr="00483EBE">
              <w:rPr>
                <w:sz w:val="12"/>
                <w:szCs w:val="12"/>
              </w:rPr>
              <w:t>$6,127</w:t>
            </w:r>
          </w:p>
        </w:tc>
        <w:tc>
          <w:tcPr>
            <w:tcW w:w="0" w:type="auto"/>
            <w:tcBorders>
              <w:top w:val="nil"/>
              <w:left w:val="nil"/>
              <w:bottom w:val="single" w:sz="4" w:space="0" w:color="auto"/>
              <w:right w:val="single" w:sz="4" w:space="0" w:color="auto"/>
            </w:tcBorders>
            <w:shd w:val="clear" w:color="auto" w:fill="auto"/>
            <w:vAlign w:val="center"/>
            <w:hideMark/>
          </w:tcPr>
          <w:p w14:paraId="726288BE" w14:textId="77777777" w:rsidR="00572995" w:rsidRPr="00483EBE" w:rsidRDefault="00572995" w:rsidP="00E8324D">
            <w:pPr>
              <w:pStyle w:val="Tablas"/>
              <w:rPr>
                <w:sz w:val="12"/>
                <w:szCs w:val="12"/>
              </w:rPr>
            </w:pPr>
            <w:r w:rsidRPr="00483EBE">
              <w:rPr>
                <w:sz w:val="12"/>
                <w:szCs w:val="12"/>
              </w:rPr>
              <w:t>$511</w:t>
            </w:r>
          </w:p>
        </w:tc>
        <w:tc>
          <w:tcPr>
            <w:tcW w:w="0" w:type="auto"/>
            <w:tcBorders>
              <w:top w:val="nil"/>
              <w:left w:val="nil"/>
              <w:bottom w:val="single" w:sz="4" w:space="0" w:color="auto"/>
              <w:right w:val="single" w:sz="4" w:space="0" w:color="auto"/>
            </w:tcBorders>
            <w:shd w:val="clear" w:color="auto" w:fill="auto"/>
            <w:vAlign w:val="center"/>
            <w:hideMark/>
          </w:tcPr>
          <w:p w14:paraId="4924D802"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257FAFA7" w14:textId="77777777" w:rsidR="00572995" w:rsidRPr="00483EBE" w:rsidRDefault="00572995" w:rsidP="00E8324D">
            <w:pPr>
              <w:pStyle w:val="Tablas"/>
              <w:rPr>
                <w:sz w:val="12"/>
                <w:szCs w:val="12"/>
              </w:rPr>
            </w:pPr>
            <w:r w:rsidRPr="00483EBE">
              <w:rPr>
                <w:sz w:val="12"/>
                <w:szCs w:val="12"/>
              </w:rPr>
              <w:t>SEBD</w:t>
            </w:r>
          </w:p>
        </w:tc>
      </w:tr>
      <w:tr w:rsidR="00572995" w:rsidRPr="00483EBE" w14:paraId="1B883B7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8FE68CB"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33070AAA" w14:textId="77777777" w:rsidR="00572995" w:rsidRPr="00483EBE" w:rsidRDefault="00572995" w:rsidP="00E8324D">
            <w:pPr>
              <w:pStyle w:val="Tablas"/>
              <w:rPr>
                <w:sz w:val="12"/>
                <w:szCs w:val="12"/>
              </w:rPr>
            </w:pPr>
            <w:r w:rsidRPr="00483EBE">
              <w:rPr>
                <w:sz w:val="12"/>
                <w:szCs w:val="12"/>
              </w:rPr>
              <w:t xml:space="preserve">569 </w:t>
            </w:r>
          </w:p>
        </w:tc>
        <w:tc>
          <w:tcPr>
            <w:tcW w:w="0" w:type="auto"/>
            <w:tcBorders>
              <w:top w:val="nil"/>
              <w:left w:val="nil"/>
              <w:bottom w:val="single" w:sz="4" w:space="0" w:color="auto"/>
              <w:right w:val="single" w:sz="4" w:space="0" w:color="auto"/>
            </w:tcBorders>
            <w:shd w:val="clear" w:color="auto" w:fill="auto"/>
            <w:vAlign w:val="center"/>
            <w:hideMark/>
          </w:tcPr>
          <w:p w14:paraId="3030EA36" w14:textId="77777777" w:rsidR="00572995" w:rsidRPr="00483EBE" w:rsidRDefault="00572995" w:rsidP="00E8324D">
            <w:pPr>
              <w:pStyle w:val="Tablas"/>
              <w:rPr>
                <w:sz w:val="12"/>
                <w:szCs w:val="12"/>
              </w:rPr>
            </w:pPr>
            <w:r w:rsidRPr="00483EBE">
              <w:rPr>
                <w:sz w:val="12"/>
                <w:szCs w:val="12"/>
              </w:rPr>
              <w:t>$3,794,879</w:t>
            </w:r>
          </w:p>
        </w:tc>
        <w:tc>
          <w:tcPr>
            <w:tcW w:w="0" w:type="auto"/>
            <w:tcBorders>
              <w:top w:val="nil"/>
              <w:left w:val="nil"/>
              <w:bottom w:val="single" w:sz="4" w:space="0" w:color="auto"/>
              <w:right w:val="single" w:sz="4" w:space="0" w:color="auto"/>
            </w:tcBorders>
            <w:shd w:val="clear" w:color="auto" w:fill="auto"/>
            <w:vAlign w:val="center"/>
            <w:hideMark/>
          </w:tcPr>
          <w:p w14:paraId="5F95D3E9" w14:textId="77777777" w:rsidR="00572995" w:rsidRPr="00483EBE" w:rsidRDefault="00572995" w:rsidP="00E8324D">
            <w:pPr>
              <w:pStyle w:val="Tablas"/>
              <w:rPr>
                <w:sz w:val="12"/>
                <w:szCs w:val="12"/>
              </w:rPr>
            </w:pPr>
            <w:r w:rsidRPr="00483EBE">
              <w:rPr>
                <w:sz w:val="12"/>
                <w:szCs w:val="12"/>
              </w:rPr>
              <w:t>$6,669</w:t>
            </w:r>
          </w:p>
        </w:tc>
        <w:tc>
          <w:tcPr>
            <w:tcW w:w="0" w:type="auto"/>
            <w:tcBorders>
              <w:top w:val="nil"/>
              <w:left w:val="nil"/>
              <w:bottom w:val="single" w:sz="4" w:space="0" w:color="auto"/>
              <w:right w:val="single" w:sz="4" w:space="0" w:color="auto"/>
            </w:tcBorders>
            <w:shd w:val="clear" w:color="auto" w:fill="auto"/>
            <w:vAlign w:val="center"/>
            <w:hideMark/>
          </w:tcPr>
          <w:p w14:paraId="11EF77A0" w14:textId="77777777" w:rsidR="00572995" w:rsidRPr="00483EBE" w:rsidRDefault="00572995" w:rsidP="00E8324D">
            <w:pPr>
              <w:pStyle w:val="Tablas"/>
              <w:rPr>
                <w:sz w:val="12"/>
                <w:szCs w:val="12"/>
              </w:rPr>
            </w:pPr>
            <w:r w:rsidRPr="00483EBE">
              <w:rPr>
                <w:sz w:val="12"/>
                <w:szCs w:val="12"/>
              </w:rPr>
              <w:t>$556</w:t>
            </w:r>
          </w:p>
        </w:tc>
        <w:tc>
          <w:tcPr>
            <w:tcW w:w="0" w:type="auto"/>
            <w:tcBorders>
              <w:top w:val="nil"/>
              <w:left w:val="nil"/>
              <w:bottom w:val="single" w:sz="4" w:space="0" w:color="auto"/>
              <w:right w:val="single" w:sz="4" w:space="0" w:color="auto"/>
            </w:tcBorders>
            <w:shd w:val="clear" w:color="auto" w:fill="auto"/>
            <w:vAlign w:val="center"/>
            <w:hideMark/>
          </w:tcPr>
          <w:p w14:paraId="2ACCF0C5"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133D7F8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951F5DF"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8523CB6" w14:textId="77777777" w:rsidR="00572995" w:rsidRPr="00483EBE" w:rsidRDefault="00572995" w:rsidP="00E8324D">
            <w:pPr>
              <w:pStyle w:val="Tablas"/>
              <w:rPr>
                <w:sz w:val="12"/>
                <w:szCs w:val="12"/>
              </w:rPr>
            </w:pPr>
            <w:r w:rsidRPr="00483EBE">
              <w:rPr>
                <w:sz w:val="12"/>
                <w:szCs w:val="12"/>
              </w:rPr>
              <w:t xml:space="preserve">1,353 </w:t>
            </w:r>
          </w:p>
        </w:tc>
        <w:tc>
          <w:tcPr>
            <w:tcW w:w="0" w:type="auto"/>
            <w:tcBorders>
              <w:top w:val="nil"/>
              <w:left w:val="nil"/>
              <w:bottom w:val="single" w:sz="4" w:space="0" w:color="auto"/>
              <w:right w:val="single" w:sz="4" w:space="0" w:color="auto"/>
            </w:tcBorders>
            <w:shd w:val="clear" w:color="auto" w:fill="auto"/>
            <w:vAlign w:val="center"/>
            <w:hideMark/>
          </w:tcPr>
          <w:p w14:paraId="25EFDDA6" w14:textId="77777777" w:rsidR="00572995" w:rsidRPr="00483EBE" w:rsidRDefault="00572995" w:rsidP="00E8324D">
            <w:pPr>
              <w:pStyle w:val="Tablas"/>
              <w:rPr>
                <w:sz w:val="12"/>
                <w:szCs w:val="12"/>
              </w:rPr>
            </w:pPr>
            <w:r w:rsidRPr="00483EBE">
              <w:rPr>
                <w:sz w:val="12"/>
                <w:szCs w:val="12"/>
              </w:rPr>
              <w:t>$8,661,078</w:t>
            </w:r>
          </w:p>
        </w:tc>
        <w:tc>
          <w:tcPr>
            <w:tcW w:w="0" w:type="auto"/>
            <w:tcBorders>
              <w:top w:val="nil"/>
              <w:left w:val="nil"/>
              <w:bottom w:val="single" w:sz="4" w:space="0" w:color="auto"/>
              <w:right w:val="single" w:sz="4" w:space="0" w:color="auto"/>
            </w:tcBorders>
            <w:shd w:val="clear" w:color="auto" w:fill="auto"/>
            <w:vAlign w:val="center"/>
            <w:hideMark/>
          </w:tcPr>
          <w:p w14:paraId="7E16E060" w14:textId="77777777" w:rsidR="00572995" w:rsidRPr="00483EBE" w:rsidRDefault="00572995" w:rsidP="00E8324D">
            <w:pPr>
              <w:pStyle w:val="Tablas"/>
              <w:rPr>
                <w:sz w:val="12"/>
                <w:szCs w:val="12"/>
              </w:rPr>
            </w:pPr>
            <w:r w:rsidRPr="00483EBE">
              <w:rPr>
                <w:sz w:val="12"/>
                <w:szCs w:val="12"/>
              </w:rPr>
              <w:t>$6,401</w:t>
            </w:r>
          </w:p>
        </w:tc>
        <w:tc>
          <w:tcPr>
            <w:tcW w:w="0" w:type="auto"/>
            <w:tcBorders>
              <w:top w:val="nil"/>
              <w:left w:val="nil"/>
              <w:bottom w:val="single" w:sz="4" w:space="0" w:color="auto"/>
              <w:right w:val="single" w:sz="4" w:space="0" w:color="auto"/>
            </w:tcBorders>
            <w:shd w:val="clear" w:color="auto" w:fill="auto"/>
            <w:vAlign w:val="center"/>
            <w:hideMark/>
          </w:tcPr>
          <w:p w14:paraId="4EAAB01F" w14:textId="77777777" w:rsidR="00572995" w:rsidRPr="00483EBE" w:rsidRDefault="00572995" w:rsidP="00E8324D">
            <w:pPr>
              <w:pStyle w:val="Tablas"/>
              <w:rPr>
                <w:sz w:val="12"/>
                <w:szCs w:val="12"/>
              </w:rPr>
            </w:pPr>
            <w:r w:rsidRPr="00483EBE">
              <w:rPr>
                <w:sz w:val="12"/>
                <w:szCs w:val="12"/>
              </w:rPr>
              <w:t>$533</w:t>
            </w:r>
          </w:p>
        </w:tc>
        <w:tc>
          <w:tcPr>
            <w:tcW w:w="0" w:type="auto"/>
            <w:tcBorders>
              <w:top w:val="nil"/>
              <w:left w:val="nil"/>
              <w:bottom w:val="single" w:sz="4" w:space="0" w:color="auto"/>
              <w:right w:val="single" w:sz="4" w:space="0" w:color="auto"/>
            </w:tcBorders>
            <w:shd w:val="clear" w:color="auto" w:fill="auto"/>
            <w:vAlign w:val="center"/>
            <w:hideMark/>
          </w:tcPr>
          <w:p w14:paraId="053368D0"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204894FC" w14:textId="77777777" w:rsidR="00572995" w:rsidRPr="00483EBE" w:rsidRDefault="00572995" w:rsidP="00E8324D">
            <w:pPr>
              <w:pStyle w:val="Tablas"/>
              <w:rPr>
                <w:sz w:val="12"/>
                <w:szCs w:val="12"/>
              </w:rPr>
            </w:pPr>
            <w:r w:rsidRPr="00483EBE">
              <w:rPr>
                <w:sz w:val="12"/>
                <w:szCs w:val="12"/>
              </w:rPr>
              <w:t>SEBD</w:t>
            </w:r>
          </w:p>
        </w:tc>
      </w:tr>
      <w:tr w:rsidR="00572995" w:rsidRPr="00483EBE" w14:paraId="3CF5BC6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5E6613"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47ECDEE" w14:textId="77777777" w:rsidR="00572995" w:rsidRPr="00483EBE" w:rsidRDefault="00572995" w:rsidP="00E8324D">
            <w:pPr>
              <w:pStyle w:val="Tablas"/>
              <w:rPr>
                <w:sz w:val="12"/>
                <w:szCs w:val="12"/>
              </w:rPr>
            </w:pPr>
            <w:r w:rsidRPr="00483EBE">
              <w:rPr>
                <w:sz w:val="12"/>
                <w:szCs w:val="12"/>
              </w:rPr>
              <w:t xml:space="preserve">529 </w:t>
            </w:r>
          </w:p>
        </w:tc>
        <w:tc>
          <w:tcPr>
            <w:tcW w:w="0" w:type="auto"/>
            <w:tcBorders>
              <w:top w:val="nil"/>
              <w:left w:val="nil"/>
              <w:bottom w:val="single" w:sz="4" w:space="0" w:color="auto"/>
              <w:right w:val="single" w:sz="4" w:space="0" w:color="auto"/>
            </w:tcBorders>
            <w:shd w:val="clear" w:color="auto" w:fill="auto"/>
            <w:vAlign w:val="center"/>
            <w:hideMark/>
          </w:tcPr>
          <w:p w14:paraId="4FAEF3EF" w14:textId="77777777" w:rsidR="00572995" w:rsidRPr="00483EBE" w:rsidRDefault="00572995" w:rsidP="00E8324D">
            <w:pPr>
              <w:pStyle w:val="Tablas"/>
              <w:rPr>
                <w:sz w:val="12"/>
                <w:szCs w:val="12"/>
              </w:rPr>
            </w:pPr>
            <w:r w:rsidRPr="00483EBE">
              <w:rPr>
                <w:sz w:val="12"/>
                <w:szCs w:val="12"/>
              </w:rPr>
              <w:t>$3,284,529</w:t>
            </w:r>
          </w:p>
        </w:tc>
        <w:tc>
          <w:tcPr>
            <w:tcW w:w="0" w:type="auto"/>
            <w:tcBorders>
              <w:top w:val="nil"/>
              <w:left w:val="nil"/>
              <w:bottom w:val="single" w:sz="4" w:space="0" w:color="auto"/>
              <w:right w:val="single" w:sz="4" w:space="0" w:color="auto"/>
            </w:tcBorders>
            <w:shd w:val="clear" w:color="auto" w:fill="auto"/>
            <w:vAlign w:val="center"/>
            <w:hideMark/>
          </w:tcPr>
          <w:p w14:paraId="05D0F4D0" w14:textId="77777777" w:rsidR="00572995" w:rsidRPr="00483EBE" w:rsidRDefault="00572995" w:rsidP="00E8324D">
            <w:pPr>
              <w:pStyle w:val="Tablas"/>
              <w:rPr>
                <w:sz w:val="12"/>
                <w:szCs w:val="12"/>
              </w:rPr>
            </w:pPr>
            <w:r w:rsidRPr="00483EBE">
              <w:rPr>
                <w:sz w:val="12"/>
                <w:szCs w:val="12"/>
              </w:rPr>
              <w:t>$6,209</w:t>
            </w:r>
          </w:p>
        </w:tc>
        <w:tc>
          <w:tcPr>
            <w:tcW w:w="0" w:type="auto"/>
            <w:tcBorders>
              <w:top w:val="nil"/>
              <w:left w:val="nil"/>
              <w:bottom w:val="single" w:sz="4" w:space="0" w:color="auto"/>
              <w:right w:val="single" w:sz="4" w:space="0" w:color="auto"/>
            </w:tcBorders>
            <w:shd w:val="clear" w:color="auto" w:fill="auto"/>
            <w:vAlign w:val="center"/>
            <w:hideMark/>
          </w:tcPr>
          <w:p w14:paraId="3C4C9300" w14:textId="77777777" w:rsidR="00572995" w:rsidRPr="00483EBE" w:rsidRDefault="00572995" w:rsidP="00E8324D">
            <w:pPr>
              <w:pStyle w:val="Tablas"/>
              <w:rPr>
                <w:sz w:val="12"/>
                <w:szCs w:val="12"/>
              </w:rPr>
            </w:pPr>
            <w:r w:rsidRPr="00483EBE">
              <w:rPr>
                <w:sz w:val="12"/>
                <w:szCs w:val="12"/>
              </w:rPr>
              <w:t>$517</w:t>
            </w:r>
          </w:p>
        </w:tc>
        <w:tc>
          <w:tcPr>
            <w:tcW w:w="0" w:type="auto"/>
            <w:tcBorders>
              <w:top w:val="nil"/>
              <w:left w:val="nil"/>
              <w:bottom w:val="single" w:sz="4" w:space="0" w:color="auto"/>
              <w:right w:val="single" w:sz="4" w:space="0" w:color="auto"/>
            </w:tcBorders>
            <w:shd w:val="clear" w:color="auto" w:fill="auto"/>
            <w:vAlign w:val="center"/>
            <w:hideMark/>
          </w:tcPr>
          <w:p w14:paraId="60B02CC2"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61B1EC6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C855FD"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D978174" w14:textId="77777777" w:rsidR="00572995" w:rsidRPr="00483EBE" w:rsidRDefault="00572995" w:rsidP="00E8324D">
            <w:pPr>
              <w:pStyle w:val="Tablas"/>
              <w:rPr>
                <w:sz w:val="12"/>
                <w:szCs w:val="12"/>
              </w:rPr>
            </w:pPr>
            <w:r w:rsidRPr="00483EBE">
              <w:rPr>
                <w:sz w:val="12"/>
                <w:szCs w:val="12"/>
              </w:rPr>
              <w:t xml:space="preserve">1,323 </w:t>
            </w:r>
          </w:p>
        </w:tc>
        <w:tc>
          <w:tcPr>
            <w:tcW w:w="0" w:type="auto"/>
            <w:tcBorders>
              <w:top w:val="nil"/>
              <w:left w:val="nil"/>
              <w:bottom w:val="single" w:sz="4" w:space="0" w:color="auto"/>
              <w:right w:val="single" w:sz="4" w:space="0" w:color="auto"/>
            </w:tcBorders>
            <w:shd w:val="clear" w:color="auto" w:fill="auto"/>
            <w:vAlign w:val="center"/>
            <w:hideMark/>
          </w:tcPr>
          <w:p w14:paraId="384E4856" w14:textId="77777777" w:rsidR="00572995" w:rsidRPr="00483EBE" w:rsidRDefault="00572995" w:rsidP="00E8324D">
            <w:pPr>
              <w:pStyle w:val="Tablas"/>
              <w:rPr>
                <w:sz w:val="12"/>
                <w:szCs w:val="12"/>
              </w:rPr>
            </w:pPr>
            <w:r w:rsidRPr="00483EBE">
              <w:rPr>
                <w:sz w:val="12"/>
                <w:szCs w:val="12"/>
              </w:rPr>
              <w:t>$8,741,803</w:t>
            </w:r>
          </w:p>
        </w:tc>
        <w:tc>
          <w:tcPr>
            <w:tcW w:w="0" w:type="auto"/>
            <w:tcBorders>
              <w:top w:val="nil"/>
              <w:left w:val="nil"/>
              <w:bottom w:val="single" w:sz="4" w:space="0" w:color="auto"/>
              <w:right w:val="single" w:sz="4" w:space="0" w:color="auto"/>
            </w:tcBorders>
            <w:shd w:val="clear" w:color="auto" w:fill="auto"/>
            <w:vAlign w:val="center"/>
            <w:hideMark/>
          </w:tcPr>
          <w:p w14:paraId="2E39EC20" w14:textId="77777777" w:rsidR="00572995" w:rsidRPr="00483EBE" w:rsidRDefault="00572995" w:rsidP="00E8324D">
            <w:pPr>
              <w:pStyle w:val="Tablas"/>
              <w:rPr>
                <w:sz w:val="12"/>
                <w:szCs w:val="12"/>
              </w:rPr>
            </w:pPr>
            <w:r w:rsidRPr="00483EBE">
              <w:rPr>
                <w:sz w:val="12"/>
                <w:szCs w:val="12"/>
              </w:rPr>
              <w:t>$6,608</w:t>
            </w:r>
          </w:p>
        </w:tc>
        <w:tc>
          <w:tcPr>
            <w:tcW w:w="0" w:type="auto"/>
            <w:tcBorders>
              <w:top w:val="nil"/>
              <w:left w:val="nil"/>
              <w:bottom w:val="single" w:sz="4" w:space="0" w:color="auto"/>
              <w:right w:val="single" w:sz="4" w:space="0" w:color="auto"/>
            </w:tcBorders>
            <w:shd w:val="clear" w:color="auto" w:fill="auto"/>
            <w:vAlign w:val="center"/>
            <w:hideMark/>
          </w:tcPr>
          <w:p w14:paraId="7F245C24" w14:textId="77777777" w:rsidR="00572995" w:rsidRPr="00483EBE" w:rsidRDefault="00572995" w:rsidP="00E8324D">
            <w:pPr>
              <w:pStyle w:val="Tablas"/>
              <w:rPr>
                <w:sz w:val="12"/>
                <w:szCs w:val="12"/>
              </w:rPr>
            </w:pPr>
            <w:r w:rsidRPr="00483EBE">
              <w:rPr>
                <w:sz w:val="12"/>
                <w:szCs w:val="12"/>
              </w:rPr>
              <w:t>$551</w:t>
            </w:r>
          </w:p>
        </w:tc>
        <w:tc>
          <w:tcPr>
            <w:tcW w:w="0" w:type="auto"/>
            <w:tcBorders>
              <w:top w:val="nil"/>
              <w:left w:val="nil"/>
              <w:bottom w:val="single" w:sz="4" w:space="0" w:color="auto"/>
              <w:right w:val="single" w:sz="4" w:space="0" w:color="auto"/>
            </w:tcBorders>
            <w:shd w:val="clear" w:color="auto" w:fill="auto"/>
            <w:vAlign w:val="center"/>
            <w:hideMark/>
          </w:tcPr>
          <w:p w14:paraId="30EFCD16"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7A9B9024" w14:textId="77777777" w:rsidR="00572995" w:rsidRPr="00483EBE" w:rsidRDefault="00572995" w:rsidP="00E8324D">
            <w:pPr>
              <w:pStyle w:val="Tablas"/>
              <w:rPr>
                <w:sz w:val="12"/>
                <w:szCs w:val="12"/>
              </w:rPr>
            </w:pPr>
            <w:r w:rsidRPr="00483EBE">
              <w:rPr>
                <w:sz w:val="12"/>
                <w:szCs w:val="12"/>
              </w:rPr>
              <w:t>SEBD</w:t>
            </w:r>
          </w:p>
        </w:tc>
      </w:tr>
      <w:tr w:rsidR="00572995" w:rsidRPr="00483EBE" w14:paraId="1CAEC5F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4970B1"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2E7515C3" w14:textId="77777777" w:rsidR="00572995" w:rsidRPr="00483EBE" w:rsidRDefault="00572995" w:rsidP="00E8324D">
            <w:pPr>
              <w:pStyle w:val="Tablas"/>
              <w:rPr>
                <w:sz w:val="12"/>
                <w:szCs w:val="12"/>
              </w:rPr>
            </w:pPr>
            <w:r w:rsidRPr="00483EBE">
              <w:rPr>
                <w:sz w:val="12"/>
                <w:szCs w:val="12"/>
              </w:rPr>
              <w:t xml:space="preserve">610 </w:t>
            </w:r>
          </w:p>
        </w:tc>
        <w:tc>
          <w:tcPr>
            <w:tcW w:w="0" w:type="auto"/>
            <w:tcBorders>
              <w:top w:val="nil"/>
              <w:left w:val="nil"/>
              <w:bottom w:val="single" w:sz="4" w:space="0" w:color="auto"/>
              <w:right w:val="single" w:sz="4" w:space="0" w:color="auto"/>
            </w:tcBorders>
            <w:shd w:val="clear" w:color="auto" w:fill="auto"/>
            <w:vAlign w:val="center"/>
            <w:hideMark/>
          </w:tcPr>
          <w:p w14:paraId="5CD09D0D" w14:textId="77777777" w:rsidR="00572995" w:rsidRPr="00483EBE" w:rsidRDefault="00572995" w:rsidP="00E8324D">
            <w:pPr>
              <w:pStyle w:val="Tablas"/>
              <w:rPr>
                <w:sz w:val="12"/>
                <w:szCs w:val="12"/>
              </w:rPr>
            </w:pPr>
            <w:r w:rsidRPr="00483EBE">
              <w:rPr>
                <w:sz w:val="12"/>
                <w:szCs w:val="12"/>
              </w:rPr>
              <w:t>$3,553,968</w:t>
            </w:r>
          </w:p>
        </w:tc>
        <w:tc>
          <w:tcPr>
            <w:tcW w:w="0" w:type="auto"/>
            <w:tcBorders>
              <w:top w:val="nil"/>
              <w:left w:val="nil"/>
              <w:bottom w:val="single" w:sz="4" w:space="0" w:color="auto"/>
              <w:right w:val="single" w:sz="4" w:space="0" w:color="auto"/>
            </w:tcBorders>
            <w:shd w:val="clear" w:color="auto" w:fill="auto"/>
            <w:vAlign w:val="center"/>
            <w:hideMark/>
          </w:tcPr>
          <w:p w14:paraId="4A25D2F0" w14:textId="77777777" w:rsidR="00572995" w:rsidRPr="00483EBE" w:rsidRDefault="00572995" w:rsidP="00E8324D">
            <w:pPr>
              <w:pStyle w:val="Tablas"/>
              <w:rPr>
                <w:sz w:val="12"/>
                <w:szCs w:val="12"/>
              </w:rPr>
            </w:pPr>
            <w:r w:rsidRPr="00483EBE">
              <w:rPr>
                <w:sz w:val="12"/>
                <w:szCs w:val="12"/>
              </w:rPr>
              <w:t>$5,826</w:t>
            </w:r>
          </w:p>
        </w:tc>
        <w:tc>
          <w:tcPr>
            <w:tcW w:w="0" w:type="auto"/>
            <w:tcBorders>
              <w:top w:val="nil"/>
              <w:left w:val="nil"/>
              <w:bottom w:val="single" w:sz="4" w:space="0" w:color="auto"/>
              <w:right w:val="single" w:sz="4" w:space="0" w:color="auto"/>
            </w:tcBorders>
            <w:shd w:val="clear" w:color="auto" w:fill="auto"/>
            <w:vAlign w:val="center"/>
            <w:hideMark/>
          </w:tcPr>
          <w:p w14:paraId="281A2B83" w14:textId="77777777" w:rsidR="00572995" w:rsidRPr="00483EBE" w:rsidRDefault="00572995" w:rsidP="00E8324D">
            <w:pPr>
              <w:pStyle w:val="Tablas"/>
              <w:rPr>
                <w:sz w:val="12"/>
                <w:szCs w:val="12"/>
              </w:rPr>
            </w:pPr>
            <w:r w:rsidRPr="00483EBE">
              <w:rPr>
                <w:sz w:val="12"/>
                <w:szCs w:val="12"/>
              </w:rPr>
              <w:t>$486</w:t>
            </w:r>
          </w:p>
        </w:tc>
        <w:tc>
          <w:tcPr>
            <w:tcW w:w="0" w:type="auto"/>
            <w:tcBorders>
              <w:top w:val="nil"/>
              <w:left w:val="nil"/>
              <w:bottom w:val="single" w:sz="4" w:space="0" w:color="auto"/>
              <w:right w:val="single" w:sz="4" w:space="0" w:color="auto"/>
            </w:tcBorders>
            <w:shd w:val="clear" w:color="auto" w:fill="auto"/>
            <w:vAlign w:val="center"/>
            <w:hideMark/>
          </w:tcPr>
          <w:p w14:paraId="0F0410C4"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2A03F05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272758"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1D1D4598" w14:textId="77777777" w:rsidR="00572995" w:rsidRPr="00483EBE" w:rsidRDefault="00572995" w:rsidP="00E8324D">
            <w:pPr>
              <w:pStyle w:val="Tablas"/>
              <w:rPr>
                <w:sz w:val="12"/>
                <w:szCs w:val="12"/>
              </w:rPr>
            </w:pPr>
            <w:r w:rsidRPr="00483EBE">
              <w:rPr>
                <w:sz w:val="12"/>
                <w:szCs w:val="12"/>
              </w:rPr>
              <w:t xml:space="preserve">668 </w:t>
            </w:r>
          </w:p>
        </w:tc>
        <w:tc>
          <w:tcPr>
            <w:tcW w:w="0" w:type="auto"/>
            <w:tcBorders>
              <w:top w:val="nil"/>
              <w:left w:val="nil"/>
              <w:bottom w:val="single" w:sz="4" w:space="0" w:color="auto"/>
              <w:right w:val="single" w:sz="4" w:space="0" w:color="auto"/>
            </w:tcBorders>
            <w:shd w:val="clear" w:color="auto" w:fill="auto"/>
            <w:vAlign w:val="center"/>
            <w:hideMark/>
          </w:tcPr>
          <w:p w14:paraId="07039DFB" w14:textId="77777777" w:rsidR="00572995" w:rsidRPr="00483EBE" w:rsidRDefault="00572995" w:rsidP="00E8324D">
            <w:pPr>
              <w:pStyle w:val="Tablas"/>
              <w:rPr>
                <w:sz w:val="12"/>
                <w:szCs w:val="12"/>
              </w:rPr>
            </w:pPr>
            <w:r w:rsidRPr="00483EBE">
              <w:rPr>
                <w:sz w:val="12"/>
                <w:szCs w:val="12"/>
              </w:rPr>
              <w:t>$4,565,547</w:t>
            </w:r>
          </w:p>
        </w:tc>
        <w:tc>
          <w:tcPr>
            <w:tcW w:w="0" w:type="auto"/>
            <w:tcBorders>
              <w:top w:val="nil"/>
              <w:left w:val="nil"/>
              <w:bottom w:val="single" w:sz="4" w:space="0" w:color="auto"/>
              <w:right w:val="single" w:sz="4" w:space="0" w:color="auto"/>
            </w:tcBorders>
            <w:shd w:val="clear" w:color="auto" w:fill="auto"/>
            <w:vAlign w:val="center"/>
            <w:hideMark/>
          </w:tcPr>
          <w:p w14:paraId="30D05DC8" w14:textId="77777777" w:rsidR="00572995" w:rsidRPr="00483EBE" w:rsidRDefault="00572995" w:rsidP="00E8324D">
            <w:pPr>
              <w:pStyle w:val="Tablas"/>
              <w:rPr>
                <w:sz w:val="12"/>
                <w:szCs w:val="12"/>
              </w:rPr>
            </w:pPr>
            <w:r w:rsidRPr="00483EBE">
              <w:rPr>
                <w:sz w:val="12"/>
                <w:szCs w:val="12"/>
              </w:rPr>
              <w:t>$6,835</w:t>
            </w:r>
          </w:p>
        </w:tc>
        <w:tc>
          <w:tcPr>
            <w:tcW w:w="0" w:type="auto"/>
            <w:tcBorders>
              <w:top w:val="nil"/>
              <w:left w:val="nil"/>
              <w:bottom w:val="single" w:sz="4" w:space="0" w:color="auto"/>
              <w:right w:val="single" w:sz="4" w:space="0" w:color="auto"/>
            </w:tcBorders>
            <w:shd w:val="clear" w:color="auto" w:fill="auto"/>
            <w:vAlign w:val="center"/>
            <w:hideMark/>
          </w:tcPr>
          <w:p w14:paraId="44AA92F4" w14:textId="77777777" w:rsidR="00572995" w:rsidRPr="00483EBE" w:rsidRDefault="00572995" w:rsidP="00E8324D">
            <w:pPr>
              <w:pStyle w:val="Tablas"/>
              <w:rPr>
                <w:sz w:val="12"/>
                <w:szCs w:val="12"/>
              </w:rPr>
            </w:pPr>
            <w:r w:rsidRPr="00483EBE">
              <w:rPr>
                <w:sz w:val="12"/>
                <w:szCs w:val="12"/>
              </w:rPr>
              <w:t>$570</w:t>
            </w:r>
          </w:p>
        </w:tc>
        <w:tc>
          <w:tcPr>
            <w:tcW w:w="0" w:type="auto"/>
            <w:tcBorders>
              <w:top w:val="nil"/>
              <w:left w:val="nil"/>
              <w:bottom w:val="single" w:sz="4" w:space="0" w:color="auto"/>
              <w:right w:val="single" w:sz="4" w:space="0" w:color="auto"/>
            </w:tcBorders>
            <w:shd w:val="clear" w:color="auto" w:fill="auto"/>
            <w:vAlign w:val="center"/>
            <w:hideMark/>
          </w:tcPr>
          <w:p w14:paraId="5ED4778D"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17FB3F0E" w14:textId="77777777" w:rsidR="00572995" w:rsidRPr="00483EBE" w:rsidRDefault="00572995" w:rsidP="00E8324D">
            <w:pPr>
              <w:pStyle w:val="Tablas"/>
              <w:rPr>
                <w:sz w:val="12"/>
                <w:szCs w:val="12"/>
              </w:rPr>
            </w:pPr>
            <w:r w:rsidRPr="00483EBE">
              <w:rPr>
                <w:sz w:val="12"/>
                <w:szCs w:val="12"/>
              </w:rPr>
              <w:t>SEBD</w:t>
            </w:r>
          </w:p>
        </w:tc>
      </w:tr>
      <w:tr w:rsidR="00572995" w:rsidRPr="00483EBE" w14:paraId="122D214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ED7250"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6B47623E" w14:textId="77777777" w:rsidR="00572995" w:rsidRPr="00483EBE" w:rsidRDefault="00572995" w:rsidP="00E8324D">
            <w:pPr>
              <w:pStyle w:val="Tablas"/>
              <w:rPr>
                <w:sz w:val="12"/>
                <w:szCs w:val="12"/>
              </w:rPr>
            </w:pPr>
            <w:r w:rsidRPr="00483EBE">
              <w:rPr>
                <w:sz w:val="12"/>
                <w:szCs w:val="12"/>
              </w:rPr>
              <w:t xml:space="preserve">703 </w:t>
            </w:r>
          </w:p>
        </w:tc>
        <w:tc>
          <w:tcPr>
            <w:tcW w:w="0" w:type="auto"/>
            <w:tcBorders>
              <w:top w:val="nil"/>
              <w:left w:val="nil"/>
              <w:bottom w:val="single" w:sz="4" w:space="0" w:color="auto"/>
              <w:right w:val="single" w:sz="4" w:space="0" w:color="auto"/>
            </w:tcBorders>
            <w:shd w:val="clear" w:color="auto" w:fill="auto"/>
            <w:vAlign w:val="center"/>
            <w:hideMark/>
          </w:tcPr>
          <w:p w14:paraId="2C90D60B" w14:textId="77777777" w:rsidR="00572995" w:rsidRPr="00483EBE" w:rsidRDefault="00572995" w:rsidP="00E8324D">
            <w:pPr>
              <w:pStyle w:val="Tablas"/>
              <w:rPr>
                <w:sz w:val="12"/>
                <w:szCs w:val="12"/>
              </w:rPr>
            </w:pPr>
            <w:r w:rsidRPr="00483EBE">
              <w:rPr>
                <w:sz w:val="12"/>
                <w:szCs w:val="12"/>
              </w:rPr>
              <w:t>$4,161,012</w:t>
            </w:r>
          </w:p>
        </w:tc>
        <w:tc>
          <w:tcPr>
            <w:tcW w:w="0" w:type="auto"/>
            <w:tcBorders>
              <w:top w:val="nil"/>
              <w:left w:val="nil"/>
              <w:bottom w:val="single" w:sz="4" w:space="0" w:color="auto"/>
              <w:right w:val="single" w:sz="4" w:space="0" w:color="auto"/>
            </w:tcBorders>
            <w:shd w:val="clear" w:color="auto" w:fill="auto"/>
            <w:vAlign w:val="center"/>
            <w:hideMark/>
          </w:tcPr>
          <w:p w14:paraId="4B701EAA" w14:textId="77777777" w:rsidR="00572995" w:rsidRPr="00483EBE" w:rsidRDefault="00572995" w:rsidP="00E8324D">
            <w:pPr>
              <w:pStyle w:val="Tablas"/>
              <w:rPr>
                <w:sz w:val="12"/>
                <w:szCs w:val="12"/>
              </w:rPr>
            </w:pPr>
            <w:r w:rsidRPr="00483EBE">
              <w:rPr>
                <w:sz w:val="12"/>
                <w:szCs w:val="12"/>
              </w:rPr>
              <w:t>$5,919</w:t>
            </w:r>
          </w:p>
        </w:tc>
        <w:tc>
          <w:tcPr>
            <w:tcW w:w="0" w:type="auto"/>
            <w:tcBorders>
              <w:top w:val="nil"/>
              <w:left w:val="nil"/>
              <w:bottom w:val="single" w:sz="4" w:space="0" w:color="auto"/>
              <w:right w:val="single" w:sz="4" w:space="0" w:color="auto"/>
            </w:tcBorders>
            <w:shd w:val="clear" w:color="auto" w:fill="auto"/>
            <w:vAlign w:val="center"/>
            <w:hideMark/>
          </w:tcPr>
          <w:p w14:paraId="27554237" w14:textId="77777777" w:rsidR="00572995" w:rsidRPr="00483EBE" w:rsidRDefault="00572995" w:rsidP="00E8324D">
            <w:pPr>
              <w:pStyle w:val="Tablas"/>
              <w:rPr>
                <w:sz w:val="12"/>
                <w:szCs w:val="12"/>
              </w:rPr>
            </w:pPr>
            <w:r w:rsidRPr="00483EBE">
              <w:rPr>
                <w:sz w:val="12"/>
                <w:szCs w:val="12"/>
              </w:rPr>
              <w:t>$493</w:t>
            </w:r>
          </w:p>
        </w:tc>
        <w:tc>
          <w:tcPr>
            <w:tcW w:w="0" w:type="auto"/>
            <w:tcBorders>
              <w:top w:val="nil"/>
              <w:left w:val="nil"/>
              <w:bottom w:val="single" w:sz="4" w:space="0" w:color="auto"/>
              <w:right w:val="single" w:sz="4" w:space="0" w:color="auto"/>
            </w:tcBorders>
            <w:shd w:val="clear" w:color="auto" w:fill="auto"/>
            <w:vAlign w:val="center"/>
            <w:hideMark/>
          </w:tcPr>
          <w:p w14:paraId="0CDA0563"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230D4C6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39EAE8"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58F5A30B" w14:textId="77777777" w:rsidR="00572995" w:rsidRPr="00483EBE" w:rsidRDefault="00572995" w:rsidP="00E8324D">
            <w:pPr>
              <w:pStyle w:val="Tablas"/>
              <w:rPr>
                <w:sz w:val="12"/>
                <w:szCs w:val="12"/>
              </w:rPr>
            </w:pPr>
            <w:r w:rsidRPr="00483EBE">
              <w:rPr>
                <w:sz w:val="12"/>
                <w:szCs w:val="12"/>
              </w:rPr>
              <w:t xml:space="preserve">88 </w:t>
            </w:r>
          </w:p>
        </w:tc>
        <w:tc>
          <w:tcPr>
            <w:tcW w:w="0" w:type="auto"/>
            <w:tcBorders>
              <w:top w:val="nil"/>
              <w:left w:val="nil"/>
              <w:bottom w:val="single" w:sz="4" w:space="0" w:color="auto"/>
              <w:right w:val="single" w:sz="4" w:space="0" w:color="auto"/>
            </w:tcBorders>
            <w:shd w:val="clear" w:color="auto" w:fill="auto"/>
            <w:vAlign w:val="center"/>
            <w:hideMark/>
          </w:tcPr>
          <w:p w14:paraId="627CB1E3" w14:textId="77777777" w:rsidR="00572995" w:rsidRPr="00483EBE" w:rsidRDefault="00572995" w:rsidP="00E8324D">
            <w:pPr>
              <w:pStyle w:val="Tablas"/>
              <w:rPr>
                <w:sz w:val="12"/>
                <w:szCs w:val="12"/>
              </w:rPr>
            </w:pPr>
            <w:r w:rsidRPr="00483EBE">
              <w:rPr>
                <w:sz w:val="12"/>
                <w:szCs w:val="12"/>
              </w:rPr>
              <w:t>$699,289</w:t>
            </w:r>
          </w:p>
        </w:tc>
        <w:tc>
          <w:tcPr>
            <w:tcW w:w="0" w:type="auto"/>
            <w:tcBorders>
              <w:top w:val="nil"/>
              <w:left w:val="nil"/>
              <w:bottom w:val="single" w:sz="4" w:space="0" w:color="auto"/>
              <w:right w:val="single" w:sz="4" w:space="0" w:color="auto"/>
            </w:tcBorders>
            <w:shd w:val="clear" w:color="auto" w:fill="auto"/>
            <w:vAlign w:val="center"/>
            <w:hideMark/>
          </w:tcPr>
          <w:p w14:paraId="64C149F3" w14:textId="77777777" w:rsidR="00572995" w:rsidRPr="00483EBE" w:rsidRDefault="00572995" w:rsidP="00E8324D">
            <w:pPr>
              <w:pStyle w:val="Tablas"/>
              <w:rPr>
                <w:sz w:val="12"/>
                <w:szCs w:val="12"/>
              </w:rPr>
            </w:pPr>
            <w:r w:rsidRPr="00483EBE">
              <w:rPr>
                <w:sz w:val="12"/>
                <w:szCs w:val="12"/>
              </w:rPr>
              <w:t>$7,946</w:t>
            </w:r>
          </w:p>
        </w:tc>
        <w:tc>
          <w:tcPr>
            <w:tcW w:w="0" w:type="auto"/>
            <w:tcBorders>
              <w:top w:val="nil"/>
              <w:left w:val="nil"/>
              <w:bottom w:val="single" w:sz="4" w:space="0" w:color="auto"/>
              <w:right w:val="single" w:sz="4" w:space="0" w:color="auto"/>
            </w:tcBorders>
            <w:shd w:val="clear" w:color="auto" w:fill="auto"/>
            <w:vAlign w:val="center"/>
            <w:hideMark/>
          </w:tcPr>
          <w:p w14:paraId="663ECC1D" w14:textId="77777777" w:rsidR="00572995" w:rsidRPr="00483EBE" w:rsidRDefault="00572995" w:rsidP="00E8324D">
            <w:pPr>
              <w:pStyle w:val="Tablas"/>
              <w:rPr>
                <w:sz w:val="12"/>
                <w:szCs w:val="12"/>
              </w:rPr>
            </w:pPr>
            <w:r w:rsidRPr="00483EBE">
              <w:rPr>
                <w:sz w:val="12"/>
                <w:szCs w:val="12"/>
              </w:rPr>
              <w:t>$662</w:t>
            </w:r>
          </w:p>
        </w:tc>
        <w:tc>
          <w:tcPr>
            <w:tcW w:w="0" w:type="auto"/>
            <w:tcBorders>
              <w:top w:val="nil"/>
              <w:left w:val="nil"/>
              <w:bottom w:val="single" w:sz="4" w:space="0" w:color="auto"/>
              <w:right w:val="single" w:sz="4" w:space="0" w:color="auto"/>
            </w:tcBorders>
            <w:shd w:val="clear" w:color="auto" w:fill="auto"/>
            <w:vAlign w:val="center"/>
            <w:hideMark/>
          </w:tcPr>
          <w:p w14:paraId="12295066" w14:textId="77777777" w:rsidR="00572995" w:rsidRPr="00483EBE" w:rsidRDefault="00572995" w:rsidP="00E8324D">
            <w:pPr>
              <w:pStyle w:val="Tablas"/>
              <w:rPr>
                <w:sz w:val="12"/>
                <w:szCs w:val="12"/>
              </w:rPr>
            </w:pPr>
            <w:r w:rsidRPr="00483EBE">
              <w:rPr>
                <w:sz w:val="12"/>
                <w:szCs w:val="12"/>
              </w:rPr>
              <w:t>VEJEZ RETIRO ANTICIPADO LEY 51</w:t>
            </w:r>
          </w:p>
        </w:tc>
        <w:tc>
          <w:tcPr>
            <w:tcW w:w="582" w:type="dxa"/>
            <w:tcBorders>
              <w:top w:val="nil"/>
              <w:left w:val="nil"/>
              <w:bottom w:val="single" w:sz="4" w:space="0" w:color="auto"/>
              <w:right w:val="single" w:sz="8" w:space="0" w:color="auto"/>
            </w:tcBorders>
            <w:shd w:val="clear" w:color="auto" w:fill="auto"/>
            <w:vAlign w:val="center"/>
            <w:hideMark/>
          </w:tcPr>
          <w:p w14:paraId="55FE270E" w14:textId="77777777" w:rsidR="00572995" w:rsidRPr="00483EBE" w:rsidRDefault="00572995" w:rsidP="00E8324D">
            <w:pPr>
              <w:pStyle w:val="Tablas"/>
              <w:rPr>
                <w:sz w:val="12"/>
                <w:szCs w:val="12"/>
              </w:rPr>
            </w:pPr>
            <w:r w:rsidRPr="00483EBE">
              <w:rPr>
                <w:sz w:val="12"/>
                <w:szCs w:val="12"/>
              </w:rPr>
              <w:t>SEBD</w:t>
            </w:r>
          </w:p>
        </w:tc>
      </w:tr>
      <w:tr w:rsidR="00572995" w:rsidRPr="00483EBE" w14:paraId="570DA48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86338F3"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418CA209" w14:textId="77777777" w:rsidR="00572995" w:rsidRPr="00483EBE" w:rsidRDefault="00572995" w:rsidP="00E8324D">
            <w:pPr>
              <w:pStyle w:val="Tablas"/>
              <w:rPr>
                <w:sz w:val="12"/>
                <w:szCs w:val="12"/>
              </w:rPr>
            </w:pPr>
            <w:r w:rsidRPr="00483EBE">
              <w:rPr>
                <w:sz w:val="12"/>
                <w:szCs w:val="12"/>
              </w:rPr>
              <w:t xml:space="preserve">682 </w:t>
            </w:r>
          </w:p>
        </w:tc>
        <w:tc>
          <w:tcPr>
            <w:tcW w:w="0" w:type="auto"/>
            <w:tcBorders>
              <w:top w:val="nil"/>
              <w:left w:val="nil"/>
              <w:bottom w:val="single" w:sz="4" w:space="0" w:color="auto"/>
              <w:right w:val="single" w:sz="4" w:space="0" w:color="auto"/>
            </w:tcBorders>
            <w:shd w:val="clear" w:color="auto" w:fill="auto"/>
            <w:vAlign w:val="center"/>
            <w:hideMark/>
          </w:tcPr>
          <w:p w14:paraId="4B31125A" w14:textId="77777777" w:rsidR="00572995" w:rsidRPr="00483EBE" w:rsidRDefault="00572995" w:rsidP="00E8324D">
            <w:pPr>
              <w:pStyle w:val="Tablas"/>
              <w:rPr>
                <w:sz w:val="12"/>
                <w:szCs w:val="12"/>
              </w:rPr>
            </w:pPr>
            <w:r w:rsidRPr="00483EBE">
              <w:rPr>
                <w:sz w:val="12"/>
                <w:szCs w:val="12"/>
              </w:rPr>
              <w:t>$3,881,649</w:t>
            </w:r>
          </w:p>
        </w:tc>
        <w:tc>
          <w:tcPr>
            <w:tcW w:w="0" w:type="auto"/>
            <w:tcBorders>
              <w:top w:val="nil"/>
              <w:left w:val="nil"/>
              <w:bottom w:val="single" w:sz="4" w:space="0" w:color="auto"/>
              <w:right w:val="single" w:sz="4" w:space="0" w:color="auto"/>
            </w:tcBorders>
            <w:shd w:val="clear" w:color="auto" w:fill="auto"/>
            <w:vAlign w:val="center"/>
            <w:hideMark/>
          </w:tcPr>
          <w:p w14:paraId="3499F3CB" w14:textId="77777777" w:rsidR="00572995" w:rsidRPr="00483EBE" w:rsidRDefault="00572995" w:rsidP="00E8324D">
            <w:pPr>
              <w:pStyle w:val="Tablas"/>
              <w:rPr>
                <w:sz w:val="12"/>
                <w:szCs w:val="12"/>
              </w:rPr>
            </w:pPr>
            <w:r w:rsidRPr="00483EBE">
              <w:rPr>
                <w:sz w:val="12"/>
                <w:szCs w:val="12"/>
              </w:rPr>
              <w:t>$5,692</w:t>
            </w:r>
          </w:p>
        </w:tc>
        <w:tc>
          <w:tcPr>
            <w:tcW w:w="0" w:type="auto"/>
            <w:tcBorders>
              <w:top w:val="nil"/>
              <w:left w:val="nil"/>
              <w:bottom w:val="single" w:sz="4" w:space="0" w:color="auto"/>
              <w:right w:val="single" w:sz="4" w:space="0" w:color="auto"/>
            </w:tcBorders>
            <w:shd w:val="clear" w:color="auto" w:fill="auto"/>
            <w:vAlign w:val="center"/>
            <w:hideMark/>
          </w:tcPr>
          <w:p w14:paraId="112A7835" w14:textId="77777777" w:rsidR="00572995" w:rsidRPr="00483EBE" w:rsidRDefault="00572995" w:rsidP="00E8324D">
            <w:pPr>
              <w:pStyle w:val="Tablas"/>
              <w:rPr>
                <w:sz w:val="12"/>
                <w:szCs w:val="12"/>
              </w:rPr>
            </w:pPr>
            <w:r w:rsidRPr="00483EBE">
              <w:rPr>
                <w:sz w:val="12"/>
                <w:szCs w:val="12"/>
              </w:rPr>
              <w:t>$474</w:t>
            </w:r>
          </w:p>
        </w:tc>
        <w:tc>
          <w:tcPr>
            <w:tcW w:w="0" w:type="auto"/>
            <w:tcBorders>
              <w:top w:val="nil"/>
              <w:left w:val="nil"/>
              <w:bottom w:val="single" w:sz="4" w:space="0" w:color="auto"/>
              <w:right w:val="single" w:sz="4" w:space="0" w:color="auto"/>
            </w:tcBorders>
            <w:shd w:val="clear" w:color="auto" w:fill="auto"/>
            <w:vAlign w:val="center"/>
            <w:hideMark/>
          </w:tcPr>
          <w:p w14:paraId="25524B58"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61212A6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63F360"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257C9ACB"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84B2D52" w14:textId="77777777" w:rsidR="00572995" w:rsidRPr="00483EBE" w:rsidRDefault="00572995" w:rsidP="00E8324D">
            <w:pPr>
              <w:pStyle w:val="Tablas"/>
              <w:rPr>
                <w:sz w:val="12"/>
                <w:szCs w:val="12"/>
              </w:rPr>
            </w:pPr>
            <w:r w:rsidRPr="00483EBE">
              <w:rPr>
                <w:sz w:val="12"/>
                <w:szCs w:val="12"/>
              </w:rPr>
              <w:t>$2,278</w:t>
            </w:r>
          </w:p>
        </w:tc>
        <w:tc>
          <w:tcPr>
            <w:tcW w:w="0" w:type="auto"/>
            <w:tcBorders>
              <w:top w:val="nil"/>
              <w:left w:val="nil"/>
              <w:bottom w:val="single" w:sz="4" w:space="0" w:color="auto"/>
              <w:right w:val="single" w:sz="4" w:space="0" w:color="auto"/>
            </w:tcBorders>
            <w:shd w:val="clear" w:color="auto" w:fill="auto"/>
            <w:vAlign w:val="center"/>
            <w:hideMark/>
          </w:tcPr>
          <w:p w14:paraId="371678E2" w14:textId="77777777" w:rsidR="00572995" w:rsidRPr="00483EBE" w:rsidRDefault="00572995" w:rsidP="00E8324D">
            <w:pPr>
              <w:pStyle w:val="Tablas"/>
              <w:rPr>
                <w:sz w:val="12"/>
                <w:szCs w:val="12"/>
              </w:rPr>
            </w:pPr>
            <w:r w:rsidRPr="00483EBE">
              <w:rPr>
                <w:sz w:val="12"/>
                <w:szCs w:val="12"/>
              </w:rPr>
              <w:t>$759</w:t>
            </w:r>
          </w:p>
        </w:tc>
        <w:tc>
          <w:tcPr>
            <w:tcW w:w="0" w:type="auto"/>
            <w:tcBorders>
              <w:top w:val="nil"/>
              <w:left w:val="nil"/>
              <w:bottom w:val="single" w:sz="4" w:space="0" w:color="auto"/>
              <w:right w:val="single" w:sz="4" w:space="0" w:color="auto"/>
            </w:tcBorders>
            <w:shd w:val="clear" w:color="auto" w:fill="auto"/>
            <w:vAlign w:val="center"/>
            <w:hideMark/>
          </w:tcPr>
          <w:p w14:paraId="742844A0"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47DD95C0"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1AC6C8AF" w14:textId="77777777" w:rsidR="00572995" w:rsidRPr="00483EBE" w:rsidRDefault="00572995" w:rsidP="00E8324D">
            <w:pPr>
              <w:pStyle w:val="Tablas"/>
              <w:rPr>
                <w:sz w:val="12"/>
                <w:szCs w:val="12"/>
              </w:rPr>
            </w:pPr>
            <w:r w:rsidRPr="00483EBE">
              <w:rPr>
                <w:sz w:val="12"/>
                <w:szCs w:val="12"/>
              </w:rPr>
              <w:t>SEBD</w:t>
            </w:r>
          </w:p>
        </w:tc>
      </w:tr>
      <w:tr w:rsidR="00572995" w:rsidRPr="00483EBE" w14:paraId="41601FD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6EEAA0"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572BCC72" w14:textId="77777777" w:rsidR="00572995" w:rsidRPr="00483EBE" w:rsidRDefault="00572995" w:rsidP="00E8324D">
            <w:pPr>
              <w:pStyle w:val="Tablas"/>
              <w:rPr>
                <w:sz w:val="12"/>
                <w:szCs w:val="12"/>
              </w:rPr>
            </w:pPr>
            <w:r w:rsidRPr="00483EBE">
              <w:rPr>
                <w:sz w:val="12"/>
                <w:szCs w:val="12"/>
              </w:rPr>
              <w:t xml:space="preserve">789 </w:t>
            </w:r>
          </w:p>
        </w:tc>
        <w:tc>
          <w:tcPr>
            <w:tcW w:w="0" w:type="auto"/>
            <w:tcBorders>
              <w:top w:val="nil"/>
              <w:left w:val="nil"/>
              <w:bottom w:val="single" w:sz="4" w:space="0" w:color="auto"/>
              <w:right w:val="single" w:sz="4" w:space="0" w:color="auto"/>
            </w:tcBorders>
            <w:shd w:val="clear" w:color="auto" w:fill="auto"/>
            <w:vAlign w:val="center"/>
            <w:hideMark/>
          </w:tcPr>
          <w:p w14:paraId="464F26D4" w14:textId="77777777" w:rsidR="00572995" w:rsidRPr="00483EBE" w:rsidRDefault="00572995" w:rsidP="00E8324D">
            <w:pPr>
              <w:pStyle w:val="Tablas"/>
              <w:rPr>
                <w:sz w:val="12"/>
                <w:szCs w:val="12"/>
              </w:rPr>
            </w:pPr>
            <w:r w:rsidRPr="00483EBE">
              <w:rPr>
                <w:sz w:val="12"/>
                <w:szCs w:val="12"/>
              </w:rPr>
              <w:t>$4,243,810</w:t>
            </w:r>
          </w:p>
        </w:tc>
        <w:tc>
          <w:tcPr>
            <w:tcW w:w="0" w:type="auto"/>
            <w:tcBorders>
              <w:top w:val="nil"/>
              <w:left w:val="nil"/>
              <w:bottom w:val="single" w:sz="4" w:space="0" w:color="auto"/>
              <w:right w:val="single" w:sz="4" w:space="0" w:color="auto"/>
            </w:tcBorders>
            <w:shd w:val="clear" w:color="auto" w:fill="auto"/>
            <w:vAlign w:val="center"/>
            <w:hideMark/>
          </w:tcPr>
          <w:p w14:paraId="65915EB1" w14:textId="77777777" w:rsidR="00572995" w:rsidRPr="00483EBE" w:rsidRDefault="00572995" w:rsidP="00E8324D">
            <w:pPr>
              <w:pStyle w:val="Tablas"/>
              <w:rPr>
                <w:sz w:val="12"/>
                <w:szCs w:val="12"/>
              </w:rPr>
            </w:pPr>
            <w:r w:rsidRPr="00483EBE">
              <w:rPr>
                <w:sz w:val="12"/>
                <w:szCs w:val="12"/>
              </w:rPr>
              <w:t>$5,379</w:t>
            </w:r>
          </w:p>
        </w:tc>
        <w:tc>
          <w:tcPr>
            <w:tcW w:w="0" w:type="auto"/>
            <w:tcBorders>
              <w:top w:val="nil"/>
              <w:left w:val="nil"/>
              <w:bottom w:val="single" w:sz="4" w:space="0" w:color="auto"/>
              <w:right w:val="single" w:sz="4" w:space="0" w:color="auto"/>
            </w:tcBorders>
            <w:shd w:val="clear" w:color="auto" w:fill="auto"/>
            <w:vAlign w:val="center"/>
            <w:hideMark/>
          </w:tcPr>
          <w:p w14:paraId="14EA97AD" w14:textId="77777777" w:rsidR="00572995" w:rsidRPr="00483EBE" w:rsidRDefault="00572995" w:rsidP="00E8324D">
            <w:pPr>
              <w:pStyle w:val="Tablas"/>
              <w:rPr>
                <w:sz w:val="12"/>
                <w:szCs w:val="12"/>
              </w:rPr>
            </w:pPr>
            <w:r w:rsidRPr="00483EBE">
              <w:rPr>
                <w:sz w:val="12"/>
                <w:szCs w:val="12"/>
              </w:rPr>
              <w:t>$448</w:t>
            </w:r>
          </w:p>
        </w:tc>
        <w:tc>
          <w:tcPr>
            <w:tcW w:w="0" w:type="auto"/>
            <w:tcBorders>
              <w:top w:val="nil"/>
              <w:left w:val="nil"/>
              <w:bottom w:val="single" w:sz="4" w:space="0" w:color="auto"/>
              <w:right w:val="single" w:sz="4" w:space="0" w:color="auto"/>
            </w:tcBorders>
            <w:shd w:val="clear" w:color="auto" w:fill="auto"/>
            <w:vAlign w:val="center"/>
            <w:hideMark/>
          </w:tcPr>
          <w:p w14:paraId="06C9867E"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7C393D8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FB49C0"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55492A9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2F37C2E" w14:textId="77777777" w:rsidR="00572995" w:rsidRPr="00483EBE" w:rsidRDefault="00572995" w:rsidP="00E8324D">
            <w:pPr>
              <w:pStyle w:val="Tablas"/>
              <w:rPr>
                <w:sz w:val="12"/>
                <w:szCs w:val="12"/>
              </w:rPr>
            </w:pPr>
            <w:r w:rsidRPr="00483EBE">
              <w:rPr>
                <w:sz w:val="12"/>
                <w:szCs w:val="12"/>
              </w:rPr>
              <w:t>$673</w:t>
            </w:r>
          </w:p>
        </w:tc>
        <w:tc>
          <w:tcPr>
            <w:tcW w:w="0" w:type="auto"/>
            <w:tcBorders>
              <w:top w:val="nil"/>
              <w:left w:val="nil"/>
              <w:bottom w:val="single" w:sz="4" w:space="0" w:color="auto"/>
              <w:right w:val="single" w:sz="4" w:space="0" w:color="auto"/>
            </w:tcBorders>
            <w:shd w:val="clear" w:color="auto" w:fill="auto"/>
            <w:vAlign w:val="center"/>
            <w:hideMark/>
          </w:tcPr>
          <w:p w14:paraId="01EFD9B1" w14:textId="77777777" w:rsidR="00572995" w:rsidRPr="00483EBE" w:rsidRDefault="00572995" w:rsidP="00E8324D">
            <w:pPr>
              <w:pStyle w:val="Tablas"/>
              <w:rPr>
                <w:sz w:val="12"/>
                <w:szCs w:val="12"/>
              </w:rPr>
            </w:pPr>
            <w:r w:rsidRPr="00483EBE">
              <w:rPr>
                <w:sz w:val="12"/>
                <w:szCs w:val="12"/>
              </w:rPr>
              <w:t>$673</w:t>
            </w:r>
          </w:p>
        </w:tc>
        <w:tc>
          <w:tcPr>
            <w:tcW w:w="0" w:type="auto"/>
            <w:tcBorders>
              <w:top w:val="nil"/>
              <w:left w:val="nil"/>
              <w:bottom w:val="single" w:sz="4" w:space="0" w:color="auto"/>
              <w:right w:val="single" w:sz="4" w:space="0" w:color="auto"/>
            </w:tcBorders>
            <w:shd w:val="clear" w:color="auto" w:fill="auto"/>
            <w:vAlign w:val="center"/>
            <w:hideMark/>
          </w:tcPr>
          <w:p w14:paraId="697EFAD8"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476A1C5E"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4CCF2235" w14:textId="77777777" w:rsidR="00572995" w:rsidRPr="00483EBE" w:rsidRDefault="00572995" w:rsidP="00E8324D">
            <w:pPr>
              <w:pStyle w:val="Tablas"/>
              <w:rPr>
                <w:sz w:val="12"/>
                <w:szCs w:val="12"/>
              </w:rPr>
            </w:pPr>
            <w:r w:rsidRPr="00483EBE">
              <w:rPr>
                <w:sz w:val="12"/>
                <w:szCs w:val="12"/>
              </w:rPr>
              <w:t>SEBD</w:t>
            </w:r>
          </w:p>
        </w:tc>
      </w:tr>
      <w:tr w:rsidR="00572995" w:rsidRPr="00483EBE" w14:paraId="3C384A0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FB2A472"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35B7060" w14:textId="77777777" w:rsidR="00572995" w:rsidRPr="00483EBE" w:rsidRDefault="00572995" w:rsidP="00E8324D">
            <w:pPr>
              <w:pStyle w:val="Tablas"/>
              <w:rPr>
                <w:sz w:val="12"/>
                <w:szCs w:val="12"/>
              </w:rPr>
            </w:pPr>
            <w:r w:rsidRPr="00483EBE">
              <w:rPr>
                <w:sz w:val="12"/>
                <w:szCs w:val="12"/>
              </w:rPr>
              <w:t xml:space="preserve">1,119 </w:t>
            </w:r>
          </w:p>
        </w:tc>
        <w:tc>
          <w:tcPr>
            <w:tcW w:w="0" w:type="auto"/>
            <w:tcBorders>
              <w:top w:val="nil"/>
              <w:left w:val="nil"/>
              <w:bottom w:val="single" w:sz="4" w:space="0" w:color="auto"/>
              <w:right w:val="single" w:sz="4" w:space="0" w:color="auto"/>
            </w:tcBorders>
            <w:shd w:val="clear" w:color="auto" w:fill="auto"/>
            <w:vAlign w:val="center"/>
            <w:hideMark/>
          </w:tcPr>
          <w:p w14:paraId="05F2C6E1" w14:textId="77777777" w:rsidR="00572995" w:rsidRPr="00483EBE" w:rsidRDefault="00572995" w:rsidP="00E8324D">
            <w:pPr>
              <w:pStyle w:val="Tablas"/>
              <w:rPr>
                <w:sz w:val="12"/>
                <w:szCs w:val="12"/>
              </w:rPr>
            </w:pPr>
            <w:r w:rsidRPr="00483EBE">
              <w:rPr>
                <w:sz w:val="12"/>
                <w:szCs w:val="12"/>
              </w:rPr>
              <w:t>$6,240,330</w:t>
            </w:r>
          </w:p>
        </w:tc>
        <w:tc>
          <w:tcPr>
            <w:tcW w:w="0" w:type="auto"/>
            <w:tcBorders>
              <w:top w:val="nil"/>
              <w:left w:val="nil"/>
              <w:bottom w:val="single" w:sz="4" w:space="0" w:color="auto"/>
              <w:right w:val="single" w:sz="4" w:space="0" w:color="auto"/>
            </w:tcBorders>
            <w:shd w:val="clear" w:color="auto" w:fill="auto"/>
            <w:vAlign w:val="center"/>
            <w:hideMark/>
          </w:tcPr>
          <w:p w14:paraId="4DC45B76" w14:textId="77777777" w:rsidR="00572995" w:rsidRPr="00483EBE" w:rsidRDefault="00572995" w:rsidP="00E8324D">
            <w:pPr>
              <w:pStyle w:val="Tablas"/>
              <w:rPr>
                <w:sz w:val="12"/>
                <w:szCs w:val="12"/>
              </w:rPr>
            </w:pPr>
            <w:r w:rsidRPr="00483EBE">
              <w:rPr>
                <w:sz w:val="12"/>
                <w:szCs w:val="12"/>
              </w:rPr>
              <w:t>$5,577</w:t>
            </w:r>
          </w:p>
        </w:tc>
        <w:tc>
          <w:tcPr>
            <w:tcW w:w="0" w:type="auto"/>
            <w:tcBorders>
              <w:top w:val="nil"/>
              <w:left w:val="nil"/>
              <w:bottom w:val="single" w:sz="4" w:space="0" w:color="auto"/>
              <w:right w:val="single" w:sz="4" w:space="0" w:color="auto"/>
            </w:tcBorders>
            <w:shd w:val="clear" w:color="auto" w:fill="auto"/>
            <w:vAlign w:val="center"/>
            <w:hideMark/>
          </w:tcPr>
          <w:p w14:paraId="00F5A0C7" w14:textId="77777777" w:rsidR="00572995" w:rsidRPr="00483EBE" w:rsidRDefault="00572995" w:rsidP="00E8324D">
            <w:pPr>
              <w:pStyle w:val="Tablas"/>
              <w:rPr>
                <w:sz w:val="12"/>
                <w:szCs w:val="12"/>
              </w:rPr>
            </w:pPr>
            <w:r w:rsidRPr="00483EBE">
              <w:rPr>
                <w:sz w:val="12"/>
                <w:szCs w:val="12"/>
              </w:rPr>
              <w:t>$465</w:t>
            </w:r>
          </w:p>
        </w:tc>
        <w:tc>
          <w:tcPr>
            <w:tcW w:w="0" w:type="auto"/>
            <w:tcBorders>
              <w:top w:val="nil"/>
              <w:left w:val="nil"/>
              <w:bottom w:val="single" w:sz="4" w:space="0" w:color="auto"/>
              <w:right w:val="single" w:sz="4" w:space="0" w:color="auto"/>
            </w:tcBorders>
            <w:shd w:val="clear" w:color="auto" w:fill="auto"/>
            <w:vAlign w:val="center"/>
            <w:hideMark/>
          </w:tcPr>
          <w:p w14:paraId="6A259CC6"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3FFC57C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EBF8E22"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25BC945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E933C85" w14:textId="77777777" w:rsidR="00572995" w:rsidRPr="00483EBE" w:rsidRDefault="00572995" w:rsidP="00E8324D">
            <w:pPr>
              <w:pStyle w:val="Tablas"/>
              <w:rPr>
                <w:sz w:val="12"/>
                <w:szCs w:val="12"/>
              </w:rPr>
            </w:pPr>
            <w:r w:rsidRPr="00483EBE">
              <w:rPr>
                <w:sz w:val="12"/>
                <w:szCs w:val="12"/>
              </w:rPr>
              <w:t>$3,243</w:t>
            </w:r>
          </w:p>
        </w:tc>
        <w:tc>
          <w:tcPr>
            <w:tcW w:w="0" w:type="auto"/>
            <w:tcBorders>
              <w:top w:val="nil"/>
              <w:left w:val="nil"/>
              <w:bottom w:val="single" w:sz="4" w:space="0" w:color="auto"/>
              <w:right w:val="single" w:sz="4" w:space="0" w:color="auto"/>
            </w:tcBorders>
            <w:shd w:val="clear" w:color="auto" w:fill="auto"/>
            <w:vAlign w:val="center"/>
            <w:hideMark/>
          </w:tcPr>
          <w:p w14:paraId="0185AAA3" w14:textId="77777777" w:rsidR="00572995" w:rsidRPr="00483EBE" w:rsidRDefault="00572995" w:rsidP="00E8324D">
            <w:pPr>
              <w:pStyle w:val="Tablas"/>
              <w:rPr>
                <w:sz w:val="12"/>
                <w:szCs w:val="12"/>
              </w:rPr>
            </w:pPr>
            <w:r w:rsidRPr="00483EBE">
              <w:rPr>
                <w:sz w:val="12"/>
                <w:szCs w:val="12"/>
              </w:rPr>
              <w:t>$1,622</w:t>
            </w:r>
          </w:p>
        </w:tc>
        <w:tc>
          <w:tcPr>
            <w:tcW w:w="0" w:type="auto"/>
            <w:tcBorders>
              <w:top w:val="nil"/>
              <w:left w:val="nil"/>
              <w:bottom w:val="single" w:sz="4" w:space="0" w:color="auto"/>
              <w:right w:val="single" w:sz="4" w:space="0" w:color="auto"/>
            </w:tcBorders>
            <w:shd w:val="clear" w:color="auto" w:fill="auto"/>
            <w:vAlign w:val="center"/>
            <w:hideMark/>
          </w:tcPr>
          <w:p w14:paraId="7FEFED67" w14:textId="77777777" w:rsidR="00572995" w:rsidRPr="00483EBE" w:rsidRDefault="00572995" w:rsidP="00E8324D">
            <w:pPr>
              <w:pStyle w:val="Tablas"/>
              <w:rPr>
                <w:sz w:val="12"/>
                <w:szCs w:val="12"/>
              </w:rPr>
            </w:pPr>
            <w:r w:rsidRPr="00483EBE">
              <w:rPr>
                <w:sz w:val="12"/>
                <w:szCs w:val="12"/>
              </w:rPr>
              <w:t>$135</w:t>
            </w:r>
          </w:p>
        </w:tc>
        <w:tc>
          <w:tcPr>
            <w:tcW w:w="0" w:type="auto"/>
            <w:tcBorders>
              <w:top w:val="nil"/>
              <w:left w:val="nil"/>
              <w:bottom w:val="single" w:sz="4" w:space="0" w:color="auto"/>
              <w:right w:val="single" w:sz="4" w:space="0" w:color="auto"/>
            </w:tcBorders>
            <w:shd w:val="clear" w:color="auto" w:fill="auto"/>
            <w:vAlign w:val="center"/>
            <w:hideMark/>
          </w:tcPr>
          <w:p w14:paraId="32737F7B"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13EE68D4" w14:textId="77777777" w:rsidR="00572995" w:rsidRPr="00483EBE" w:rsidRDefault="00572995" w:rsidP="00E8324D">
            <w:pPr>
              <w:pStyle w:val="Tablas"/>
              <w:rPr>
                <w:sz w:val="12"/>
                <w:szCs w:val="12"/>
              </w:rPr>
            </w:pPr>
            <w:r w:rsidRPr="00483EBE">
              <w:rPr>
                <w:sz w:val="12"/>
                <w:szCs w:val="12"/>
              </w:rPr>
              <w:t>SEBD</w:t>
            </w:r>
          </w:p>
        </w:tc>
      </w:tr>
      <w:tr w:rsidR="00572995" w:rsidRPr="00483EBE" w14:paraId="71C587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7C0305"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E8CBDEA" w14:textId="77777777" w:rsidR="00572995" w:rsidRPr="00483EBE" w:rsidRDefault="00572995" w:rsidP="00E8324D">
            <w:pPr>
              <w:pStyle w:val="Tablas"/>
              <w:rPr>
                <w:sz w:val="12"/>
                <w:szCs w:val="12"/>
              </w:rPr>
            </w:pPr>
            <w:r w:rsidRPr="00483EBE">
              <w:rPr>
                <w:sz w:val="12"/>
                <w:szCs w:val="12"/>
              </w:rPr>
              <w:t xml:space="preserve">1,454 </w:t>
            </w:r>
          </w:p>
        </w:tc>
        <w:tc>
          <w:tcPr>
            <w:tcW w:w="0" w:type="auto"/>
            <w:tcBorders>
              <w:top w:val="nil"/>
              <w:left w:val="nil"/>
              <w:bottom w:val="single" w:sz="4" w:space="0" w:color="auto"/>
              <w:right w:val="single" w:sz="4" w:space="0" w:color="auto"/>
            </w:tcBorders>
            <w:shd w:val="clear" w:color="auto" w:fill="auto"/>
            <w:vAlign w:val="center"/>
            <w:hideMark/>
          </w:tcPr>
          <w:p w14:paraId="285EB7D0" w14:textId="77777777" w:rsidR="00572995" w:rsidRPr="00483EBE" w:rsidRDefault="00572995" w:rsidP="00E8324D">
            <w:pPr>
              <w:pStyle w:val="Tablas"/>
              <w:rPr>
                <w:sz w:val="12"/>
                <w:szCs w:val="12"/>
              </w:rPr>
            </w:pPr>
            <w:r w:rsidRPr="00483EBE">
              <w:rPr>
                <w:sz w:val="12"/>
                <w:szCs w:val="12"/>
              </w:rPr>
              <w:t>$8,899,620</w:t>
            </w:r>
          </w:p>
        </w:tc>
        <w:tc>
          <w:tcPr>
            <w:tcW w:w="0" w:type="auto"/>
            <w:tcBorders>
              <w:top w:val="nil"/>
              <w:left w:val="nil"/>
              <w:bottom w:val="single" w:sz="4" w:space="0" w:color="auto"/>
              <w:right w:val="single" w:sz="4" w:space="0" w:color="auto"/>
            </w:tcBorders>
            <w:shd w:val="clear" w:color="auto" w:fill="auto"/>
            <w:vAlign w:val="center"/>
            <w:hideMark/>
          </w:tcPr>
          <w:p w14:paraId="54BE7F80" w14:textId="77777777" w:rsidR="00572995" w:rsidRPr="00483EBE" w:rsidRDefault="00572995" w:rsidP="00E8324D">
            <w:pPr>
              <w:pStyle w:val="Tablas"/>
              <w:rPr>
                <w:sz w:val="12"/>
                <w:szCs w:val="12"/>
              </w:rPr>
            </w:pPr>
            <w:r w:rsidRPr="00483EBE">
              <w:rPr>
                <w:sz w:val="12"/>
                <w:szCs w:val="12"/>
              </w:rPr>
              <w:t>$6,121</w:t>
            </w:r>
          </w:p>
        </w:tc>
        <w:tc>
          <w:tcPr>
            <w:tcW w:w="0" w:type="auto"/>
            <w:tcBorders>
              <w:top w:val="nil"/>
              <w:left w:val="nil"/>
              <w:bottom w:val="single" w:sz="4" w:space="0" w:color="auto"/>
              <w:right w:val="single" w:sz="4" w:space="0" w:color="auto"/>
            </w:tcBorders>
            <w:shd w:val="clear" w:color="auto" w:fill="auto"/>
            <w:vAlign w:val="center"/>
            <w:hideMark/>
          </w:tcPr>
          <w:p w14:paraId="2B2E42A5" w14:textId="77777777" w:rsidR="00572995" w:rsidRPr="00483EBE" w:rsidRDefault="00572995" w:rsidP="00E8324D">
            <w:pPr>
              <w:pStyle w:val="Tablas"/>
              <w:rPr>
                <w:sz w:val="12"/>
                <w:szCs w:val="12"/>
              </w:rPr>
            </w:pPr>
            <w:r w:rsidRPr="00483EBE">
              <w:rPr>
                <w:sz w:val="12"/>
                <w:szCs w:val="12"/>
              </w:rPr>
              <w:t>$510</w:t>
            </w:r>
          </w:p>
        </w:tc>
        <w:tc>
          <w:tcPr>
            <w:tcW w:w="0" w:type="auto"/>
            <w:tcBorders>
              <w:top w:val="nil"/>
              <w:left w:val="nil"/>
              <w:bottom w:val="single" w:sz="4" w:space="0" w:color="auto"/>
              <w:right w:val="single" w:sz="4" w:space="0" w:color="auto"/>
            </w:tcBorders>
            <w:shd w:val="clear" w:color="auto" w:fill="auto"/>
            <w:vAlign w:val="center"/>
            <w:hideMark/>
          </w:tcPr>
          <w:p w14:paraId="28BF720F"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5387732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E5A7B5D"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03B557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F4B4073" w14:textId="77777777" w:rsidR="00572995" w:rsidRPr="00483EBE" w:rsidRDefault="00572995" w:rsidP="00E8324D">
            <w:pPr>
              <w:pStyle w:val="Tablas"/>
              <w:rPr>
                <w:sz w:val="12"/>
                <w:szCs w:val="12"/>
              </w:rPr>
            </w:pPr>
            <w:r w:rsidRPr="00483EBE">
              <w:rPr>
                <w:sz w:val="12"/>
                <w:szCs w:val="12"/>
              </w:rPr>
              <w:t>$1,868</w:t>
            </w:r>
          </w:p>
        </w:tc>
        <w:tc>
          <w:tcPr>
            <w:tcW w:w="0" w:type="auto"/>
            <w:tcBorders>
              <w:top w:val="nil"/>
              <w:left w:val="nil"/>
              <w:bottom w:val="single" w:sz="4" w:space="0" w:color="auto"/>
              <w:right w:val="single" w:sz="4" w:space="0" w:color="auto"/>
            </w:tcBorders>
            <w:shd w:val="clear" w:color="auto" w:fill="auto"/>
            <w:vAlign w:val="center"/>
            <w:hideMark/>
          </w:tcPr>
          <w:p w14:paraId="44F463C7" w14:textId="77777777" w:rsidR="00572995" w:rsidRPr="00483EBE" w:rsidRDefault="00572995" w:rsidP="00E8324D">
            <w:pPr>
              <w:pStyle w:val="Tablas"/>
              <w:rPr>
                <w:sz w:val="12"/>
                <w:szCs w:val="12"/>
              </w:rPr>
            </w:pPr>
            <w:r w:rsidRPr="00483EBE">
              <w:rPr>
                <w:sz w:val="12"/>
                <w:szCs w:val="12"/>
              </w:rPr>
              <w:t>$934</w:t>
            </w:r>
          </w:p>
        </w:tc>
        <w:tc>
          <w:tcPr>
            <w:tcW w:w="0" w:type="auto"/>
            <w:tcBorders>
              <w:top w:val="nil"/>
              <w:left w:val="nil"/>
              <w:bottom w:val="single" w:sz="4" w:space="0" w:color="auto"/>
              <w:right w:val="single" w:sz="4" w:space="0" w:color="auto"/>
            </w:tcBorders>
            <w:shd w:val="clear" w:color="auto" w:fill="auto"/>
            <w:vAlign w:val="center"/>
            <w:hideMark/>
          </w:tcPr>
          <w:p w14:paraId="6EA4A7A0"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3DBF9944"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7A678E28" w14:textId="77777777" w:rsidR="00572995" w:rsidRPr="00483EBE" w:rsidRDefault="00572995" w:rsidP="00E8324D">
            <w:pPr>
              <w:pStyle w:val="Tablas"/>
              <w:rPr>
                <w:sz w:val="12"/>
                <w:szCs w:val="12"/>
              </w:rPr>
            </w:pPr>
            <w:r w:rsidRPr="00483EBE">
              <w:rPr>
                <w:sz w:val="12"/>
                <w:szCs w:val="12"/>
              </w:rPr>
              <w:t>SEBD</w:t>
            </w:r>
          </w:p>
        </w:tc>
      </w:tr>
      <w:tr w:rsidR="00572995" w:rsidRPr="00483EBE" w14:paraId="4E3F469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DF7987"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35460217" w14:textId="77777777" w:rsidR="00572995" w:rsidRPr="00483EBE" w:rsidRDefault="00572995" w:rsidP="00E8324D">
            <w:pPr>
              <w:pStyle w:val="Tablas"/>
              <w:rPr>
                <w:sz w:val="12"/>
                <w:szCs w:val="12"/>
              </w:rPr>
            </w:pPr>
            <w:r w:rsidRPr="00483EBE">
              <w:rPr>
                <w:sz w:val="12"/>
                <w:szCs w:val="12"/>
              </w:rPr>
              <w:t xml:space="preserve">704 </w:t>
            </w:r>
          </w:p>
        </w:tc>
        <w:tc>
          <w:tcPr>
            <w:tcW w:w="0" w:type="auto"/>
            <w:tcBorders>
              <w:top w:val="nil"/>
              <w:left w:val="nil"/>
              <w:bottom w:val="single" w:sz="4" w:space="0" w:color="auto"/>
              <w:right w:val="single" w:sz="4" w:space="0" w:color="auto"/>
            </w:tcBorders>
            <w:shd w:val="clear" w:color="auto" w:fill="auto"/>
            <w:vAlign w:val="center"/>
            <w:hideMark/>
          </w:tcPr>
          <w:p w14:paraId="59CB0239" w14:textId="77777777" w:rsidR="00572995" w:rsidRPr="00483EBE" w:rsidRDefault="00572995" w:rsidP="00E8324D">
            <w:pPr>
              <w:pStyle w:val="Tablas"/>
              <w:rPr>
                <w:sz w:val="12"/>
                <w:szCs w:val="12"/>
              </w:rPr>
            </w:pPr>
            <w:r w:rsidRPr="00483EBE">
              <w:rPr>
                <w:sz w:val="12"/>
                <w:szCs w:val="12"/>
              </w:rPr>
              <w:t>$3,996,802</w:t>
            </w:r>
          </w:p>
        </w:tc>
        <w:tc>
          <w:tcPr>
            <w:tcW w:w="0" w:type="auto"/>
            <w:tcBorders>
              <w:top w:val="nil"/>
              <w:left w:val="nil"/>
              <w:bottom w:val="single" w:sz="4" w:space="0" w:color="auto"/>
              <w:right w:val="single" w:sz="4" w:space="0" w:color="auto"/>
            </w:tcBorders>
            <w:shd w:val="clear" w:color="auto" w:fill="auto"/>
            <w:vAlign w:val="center"/>
            <w:hideMark/>
          </w:tcPr>
          <w:p w14:paraId="5C2124B0" w14:textId="77777777" w:rsidR="00572995" w:rsidRPr="00483EBE" w:rsidRDefault="00572995" w:rsidP="00E8324D">
            <w:pPr>
              <w:pStyle w:val="Tablas"/>
              <w:rPr>
                <w:sz w:val="12"/>
                <w:szCs w:val="12"/>
              </w:rPr>
            </w:pPr>
            <w:r w:rsidRPr="00483EBE">
              <w:rPr>
                <w:sz w:val="12"/>
                <w:szCs w:val="12"/>
              </w:rPr>
              <w:t>$5,677</w:t>
            </w:r>
          </w:p>
        </w:tc>
        <w:tc>
          <w:tcPr>
            <w:tcW w:w="0" w:type="auto"/>
            <w:tcBorders>
              <w:top w:val="nil"/>
              <w:left w:val="nil"/>
              <w:bottom w:val="single" w:sz="4" w:space="0" w:color="auto"/>
              <w:right w:val="single" w:sz="4" w:space="0" w:color="auto"/>
            </w:tcBorders>
            <w:shd w:val="clear" w:color="auto" w:fill="auto"/>
            <w:vAlign w:val="center"/>
            <w:hideMark/>
          </w:tcPr>
          <w:p w14:paraId="7E8967EC" w14:textId="77777777" w:rsidR="00572995" w:rsidRPr="00483EBE" w:rsidRDefault="00572995" w:rsidP="00E8324D">
            <w:pPr>
              <w:pStyle w:val="Tablas"/>
              <w:rPr>
                <w:sz w:val="12"/>
                <w:szCs w:val="12"/>
              </w:rPr>
            </w:pPr>
            <w:r w:rsidRPr="00483EBE">
              <w:rPr>
                <w:sz w:val="12"/>
                <w:szCs w:val="12"/>
              </w:rPr>
              <w:t>$473</w:t>
            </w:r>
          </w:p>
        </w:tc>
        <w:tc>
          <w:tcPr>
            <w:tcW w:w="0" w:type="auto"/>
            <w:tcBorders>
              <w:top w:val="nil"/>
              <w:left w:val="nil"/>
              <w:bottom w:val="single" w:sz="4" w:space="0" w:color="auto"/>
              <w:right w:val="single" w:sz="4" w:space="0" w:color="auto"/>
            </w:tcBorders>
            <w:shd w:val="clear" w:color="auto" w:fill="auto"/>
            <w:vAlign w:val="center"/>
            <w:hideMark/>
          </w:tcPr>
          <w:p w14:paraId="7864CFD4"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4E85E50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B06F34"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8A6C4B4"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0D50AAD" w14:textId="77777777" w:rsidR="00572995" w:rsidRPr="00483EBE" w:rsidRDefault="00572995" w:rsidP="00E8324D">
            <w:pPr>
              <w:pStyle w:val="Tablas"/>
              <w:rPr>
                <w:sz w:val="12"/>
                <w:szCs w:val="12"/>
              </w:rPr>
            </w:pPr>
            <w:r w:rsidRPr="00483EBE">
              <w:rPr>
                <w:sz w:val="12"/>
                <w:szCs w:val="12"/>
              </w:rPr>
              <w:t>$3,622</w:t>
            </w:r>
          </w:p>
        </w:tc>
        <w:tc>
          <w:tcPr>
            <w:tcW w:w="0" w:type="auto"/>
            <w:tcBorders>
              <w:top w:val="nil"/>
              <w:left w:val="nil"/>
              <w:bottom w:val="single" w:sz="4" w:space="0" w:color="auto"/>
              <w:right w:val="single" w:sz="4" w:space="0" w:color="auto"/>
            </w:tcBorders>
            <w:shd w:val="clear" w:color="auto" w:fill="auto"/>
            <w:vAlign w:val="center"/>
            <w:hideMark/>
          </w:tcPr>
          <w:p w14:paraId="68078528" w14:textId="77777777" w:rsidR="00572995" w:rsidRPr="00483EBE" w:rsidRDefault="00572995" w:rsidP="00E8324D">
            <w:pPr>
              <w:pStyle w:val="Tablas"/>
              <w:rPr>
                <w:sz w:val="12"/>
                <w:szCs w:val="12"/>
              </w:rPr>
            </w:pPr>
            <w:r w:rsidRPr="00483EBE">
              <w:rPr>
                <w:sz w:val="12"/>
                <w:szCs w:val="12"/>
              </w:rPr>
              <w:t>$905</w:t>
            </w:r>
          </w:p>
        </w:tc>
        <w:tc>
          <w:tcPr>
            <w:tcW w:w="0" w:type="auto"/>
            <w:tcBorders>
              <w:top w:val="nil"/>
              <w:left w:val="nil"/>
              <w:bottom w:val="single" w:sz="4" w:space="0" w:color="auto"/>
              <w:right w:val="single" w:sz="4" w:space="0" w:color="auto"/>
            </w:tcBorders>
            <w:shd w:val="clear" w:color="auto" w:fill="auto"/>
            <w:vAlign w:val="center"/>
            <w:hideMark/>
          </w:tcPr>
          <w:p w14:paraId="038C4878"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37C4DD84"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1672D417" w14:textId="77777777" w:rsidR="00572995" w:rsidRPr="00483EBE" w:rsidRDefault="00572995" w:rsidP="00E8324D">
            <w:pPr>
              <w:pStyle w:val="Tablas"/>
              <w:rPr>
                <w:sz w:val="12"/>
                <w:szCs w:val="12"/>
              </w:rPr>
            </w:pPr>
            <w:r w:rsidRPr="00483EBE">
              <w:rPr>
                <w:sz w:val="12"/>
                <w:szCs w:val="12"/>
              </w:rPr>
              <w:t>SEBD</w:t>
            </w:r>
          </w:p>
        </w:tc>
      </w:tr>
      <w:tr w:rsidR="00572995" w:rsidRPr="00483EBE" w14:paraId="3FCB42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847063"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2FD87C21" w14:textId="77777777" w:rsidR="00572995" w:rsidRPr="00483EBE" w:rsidRDefault="00572995" w:rsidP="00E8324D">
            <w:pPr>
              <w:pStyle w:val="Tablas"/>
              <w:rPr>
                <w:sz w:val="12"/>
                <w:szCs w:val="12"/>
              </w:rPr>
            </w:pPr>
            <w:r w:rsidRPr="00483EBE">
              <w:rPr>
                <w:sz w:val="12"/>
                <w:szCs w:val="12"/>
              </w:rPr>
              <w:t xml:space="preserve">814 </w:t>
            </w:r>
          </w:p>
        </w:tc>
        <w:tc>
          <w:tcPr>
            <w:tcW w:w="0" w:type="auto"/>
            <w:tcBorders>
              <w:top w:val="nil"/>
              <w:left w:val="nil"/>
              <w:bottom w:val="single" w:sz="4" w:space="0" w:color="auto"/>
              <w:right w:val="single" w:sz="4" w:space="0" w:color="auto"/>
            </w:tcBorders>
            <w:shd w:val="clear" w:color="auto" w:fill="auto"/>
            <w:vAlign w:val="center"/>
            <w:hideMark/>
          </w:tcPr>
          <w:p w14:paraId="1F1EC2B3" w14:textId="77777777" w:rsidR="00572995" w:rsidRPr="00483EBE" w:rsidRDefault="00572995" w:rsidP="00E8324D">
            <w:pPr>
              <w:pStyle w:val="Tablas"/>
              <w:rPr>
                <w:sz w:val="12"/>
                <w:szCs w:val="12"/>
              </w:rPr>
            </w:pPr>
            <w:r w:rsidRPr="00483EBE">
              <w:rPr>
                <w:sz w:val="12"/>
                <w:szCs w:val="12"/>
              </w:rPr>
              <w:t>$4,948,858</w:t>
            </w:r>
          </w:p>
        </w:tc>
        <w:tc>
          <w:tcPr>
            <w:tcW w:w="0" w:type="auto"/>
            <w:tcBorders>
              <w:top w:val="nil"/>
              <w:left w:val="nil"/>
              <w:bottom w:val="single" w:sz="4" w:space="0" w:color="auto"/>
              <w:right w:val="single" w:sz="4" w:space="0" w:color="auto"/>
            </w:tcBorders>
            <w:shd w:val="clear" w:color="auto" w:fill="auto"/>
            <w:vAlign w:val="center"/>
            <w:hideMark/>
          </w:tcPr>
          <w:p w14:paraId="7A201627" w14:textId="77777777" w:rsidR="00572995" w:rsidRPr="00483EBE" w:rsidRDefault="00572995" w:rsidP="00E8324D">
            <w:pPr>
              <w:pStyle w:val="Tablas"/>
              <w:rPr>
                <w:sz w:val="12"/>
                <w:szCs w:val="12"/>
              </w:rPr>
            </w:pPr>
            <w:r w:rsidRPr="00483EBE">
              <w:rPr>
                <w:sz w:val="12"/>
                <w:szCs w:val="12"/>
              </w:rPr>
              <w:t>$6,080</w:t>
            </w:r>
          </w:p>
        </w:tc>
        <w:tc>
          <w:tcPr>
            <w:tcW w:w="0" w:type="auto"/>
            <w:tcBorders>
              <w:top w:val="nil"/>
              <w:left w:val="nil"/>
              <w:bottom w:val="single" w:sz="4" w:space="0" w:color="auto"/>
              <w:right w:val="single" w:sz="4" w:space="0" w:color="auto"/>
            </w:tcBorders>
            <w:shd w:val="clear" w:color="auto" w:fill="auto"/>
            <w:vAlign w:val="center"/>
            <w:hideMark/>
          </w:tcPr>
          <w:p w14:paraId="3BFEE129" w14:textId="77777777" w:rsidR="00572995" w:rsidRPr="00483EBE" w:rsidRDefault="00572995" w:rsidP="00E8324D">
            <w:pPr>
              <w:pStyle w:val="Tablas"/>
              <w:rPr>
                <w:sz w:val="12"/>
                <w:szCs w:val="12"/>
              </w:rPr>
            </w:pPr>
            <w:r w:rsidRPr="00483EBE">
              <w:rPr>
                <w:sz w:val="12"/>
                <w:szCs w:val="12"/>
              </w:rPr>
              <w:t>$507</w:t>
            </w:r>
          </w:p>
        </w:tc>
        <w:tc>
          <w:tcPr>
            <w:tcW w:w="0" w:type="auto"/>
            <w:tcBorders>
              <w:top w:val="nil"/>
              <w:left w:val="nil"/>
              <w:bottom w:val="single" w:sz="4" w:space="0" w:color="auto"/>
              <w:right w:val="single" w:sz="4" w:space="0" w:color="auto"/>
            </w:tcBorders>
            <w:shd w:val="clear" w:color="auto" w:fill="auto"/>
            <w:vAlign w:val="center"/>
            <w:hideMark/>
          </w:tcPr>
          <w:p w14:paraId="3C10B9A3"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68AE709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222A8C"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44C70098"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216EA8DA" w14:textId="77777777" w:rsidR="00572995" w:rsidRPr="00483EBE" w:rsidRDefault="00572995" w:rsidP="00E8324D">
            <w:pPr>
              <w:pStyle w:val="Tablas"/>
              <w:rPr>
                <w:sz w:val="12"/>
                <w:szCs w:val="12"/>
              </w:rPr>
            </w:pPr>
            <w:r w:rsidRPr="00483EBE">
              <w:rPr>
                <w:sz w:val="12"/>
                <w:szCs w:val="12"/>
              </w:rPr>
              <w:t>$4,975</w:t>
            </w:r>
          </w:p>
        </w:tc>
        <w:tc>
          <w:tcPr>
            <w:tcW w:w="0" w:type="auto"/>
            <w:tcBorders>
              <w:top w:val="nil"/>
              <w:left w:val="nil"/>
              <w:bottom w:val="single" w:sz="4" w:space="0" w:color="auto"/>
              <w:right w:val="single" w:sz="4" w:space="0" w:color="auto"/>
            </w:tcBorders>
            <w:shd w:val="clear" w:color="auto" w:fill="auto"/>
            <w:vAlign w:val="center"/>
            <w:hideMark/>
          </w:tcPr>
          <w:p w14:paraId="2D5080AC" w14:textId="77777777" w:rsidR="00572995" w:rsidRPr="00483EBE" w:rsidRDefault="00572995" w:rsidP="00E8324D">
            <w:pPr>
              <w:pStyle w:val="Tablas"/>
              <w:rPr>
                <w:sz w:val="12"/>
                <w:szCs w:val="12"/>
              </w:rPr>
            </w:pPr>
            <w:r w:rsidRPr="00483EBE">
              <w:rPr>
                <w:sz w:val="12"/>
                <w:szCs w:val="12"/>
              </w:rPr>
              <w:t>$829</w:t>
            </w:r>
          </w:p>
        </w:tc>
        <w:tc>
          <w:tcPr>
            <w:tcW w:w="0" w:type="auto"/>
            <w:tcBorders>
              <w:top w:val="nil"/>
              <w:left w:val="nil"/>
              <w:bottom w:val="single" w:sz="4" w:space="0" w:color="auto"/>
              <w:right w:val="single" w:sz="4" w:space="0" w:color="auto"/>
            </w:tcBorders>
            <w:shd w:val="clear" w:color="auto" w:fill="auto"/>
            <w:vAlign w:val="center"/>
            <w:hideMark/>
          </w:tcPr>
          <w:p w14:paraId="04651949"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3587ADFB"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312A5352" w14:textId="77777777" w:rsidR="00572995" w:rsidRPr="00483EBE" w:rsidRDefault="00572995" w:rsidP="00E8324D">
            <w:pPr>
              <w:pStyle w:val="Tablas"/>
              <w:rPr>
                <w:sz w:val="12"/>
                <w:szCs w:val="12"/>
              </w:rPr>
            </w:pPr>
            <w:r w:rsidRPr="00483EBE">
              <w:rPr>
                <w:sz w:val="12"/>
                <w:szCs w:val="12"/>
              </w:rPr>
              <w:t>SEBD</w:t>
            </w:r>
          </w:p>
        </w:tc>
      </w:tr>
      <w:tr w:rsidR="00572995" w:rsidRPr="00483EBE" w14:paraId="17BFD00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B602C5"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289544A4" w14:textId="77777777" w:rsidR="00572995" w:rsidRPr="00483EBE" w:rsidRDefault="00572995" w:rsidP="00E8324D">
            <w:pPr>
              <w:pStyle w:val="Tablas"/>
              <w:rPr>
                <w:sz w:val="12"/>
                <w:szCs w:val="12"/>
              </w:rPr>
            </w:pPr>
            <w:r w:rsidRPr="00483EBE">
              <w:rPr>
                <w:sz w:val="12"/>
                <w:szCs w:val="12"/>
              </w:rPr>
              <w:t xml:space="preserve">924 </w:t>
            </w:r>
          </w:p>
        </w:tc>
        <w:tc>
          <w:tcPr>
            <w:tcW w:w="0" w:type="auto"/>
            <w:tcBorders>
              <w:top w:val="nil"/>
              <w:left w:val="nil"/>
              <w:bottom w:val="single" w:sz="4" w:space="0" w:color="auto"/>
              <w:right w:val="single" w:sz="4" w:space="0" w:color="auto"/>
            </w:tcBorders>
            <w:shd w:val="clear" w:color="auto" w:fill="auto"/>
            <w:vAlign w:val="center"/>
            <w:hideMark/>
          </w:tcPr>
          <w:p w14:paraId="017711D6" w14:textId="77777777" w:rsidR="00572995" w:rsidRPr="00483EBE" w:rsidRDefault="00572995" w:rsidP="00E8324D">
            <w:pPr>
              <w:pStyle w:val="Tablas"/>
              <w:rPr>
                <w:sz w:val="12"/>
                <w:szCs w:val="12"/>
              </w:rPr>
            </w:pPr>
            <w:r w:rsidRPr="00483EBE">
              <w:rPr>
                <w:sz w:val="12"/>
                <w:szCs w:val="12"/>
              </w:rPr>
              <w:t>$6,055,761</w:t>
            </w:r>
          </w:p>
        </w:tc>
        <w:tc>
          <w:tcPr>
            <w:tcW w:w="0" w:type="auto"/>
            <w:tcBorders>
              <w:top w:val="nil"/>
              <w:left w:val="nil"/>
              <w:bottom w:val="single" w:sz="4" w:space="0" w:color="auto"/>
              <w:right w:val="single" w:sz="4" w:space="0" w:color="auto"/>
            </w:tcBorders>
            <w:shd w:val="clear" w:color="auto" w:fill="auto"/>
            <w:vAlign w:val="center"/>
            <w:hideMark/>
          </w:tcPr>
          <w:p w14:paraId="4FF3F271" w14:textId="77777777" w:rsidR="00572995" w:rsidRPr="00483EBE" w:rsidRDefault="00572995" w:rsidP="00E8324D">
            <w:pPr>
              <w:pStyle w:val="Tablas"/>
              <w:rPr>
                <w:sz w:val="12"/>
                <w:szCs w:val="12"/>
              </w:rPr>
            </w:pPr>
            <w:r w:rsidRPr="00483EBE">
              <w:rPr>
                <w:sz w:val="12"/>
                <w:szCs w:val="12"/>
              </w:rPr>
              <w:t>$6,554</w:t>
            </w:r>
          </w:p>
        </w:tc>
        <w:tc>
          <w:tcPr>
            <w:tcW w:w="0" w:type="auto"/>
            <w:tcBorders>
              <w:top w:val="nil"/>
              <w:left w:val="nil"/>
              <w:bottom w:val="single" w:sz="4" w:space="0" w:color="auto"/>
              <w:right w:val="single" w:sz="4" w:space="0" w:color="auto"/>
            </w:tcBorders>
            <w:shd w:val="clear" w:color="auto" w:fill="auto"/>
            <w:vAlign w:val="center"/>
            <w:hideMark/>
          </w:tcPr>
          <w:p w14:paraId="5CA8BFA1" w14:textId="77777777" w:rsidR="00572995" w:rsidRPr="00483EBE" w:rsidRDefault="00572995" w:rsidP="00E8324D">
            <w:pPr>
              <w:pStyle w:val="Tablas"/>
              <w:rPr>
                <w:sz w:val="12"/>
                <w:szCs w:val="12"/>
              </w:rPr>
            </w:pPr>
            <w:r w:rsidRPr="00483EBE">
              <w:rPr>
                <w:sz w:val="12"/>
                <w:szCs w:val="12"/>
              </w:rPr>
              <w:t>$546</w:t>
            </w:r>
          </w:p>
        </w:tc>
        <w:tc>
          <w:tcPr>
            <w:tcW w:w="0" w:type="auto"/>
            <w:tcBorders>
              <w:top w:val="nil"/>
              <w:left w:val="nil"/>
              <w:bottom w:val="single" w:sz="4" w:space="0" w:color="auto"/>
              <w:right w:val="single" w:sz="4" w:space="0" w:color="auto"/>
            </w:tcBorders>
            <w:shd w:val="clear" w:color="auto" w:fill="auto"/>
            <w:vAlign w:val="center"/>
            <w:hideMark/>
          </w:tcPr>
          <w:p w14:paraId="50CC5BFA"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4AF1738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E965CC"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33F30A9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DEA27A3" w14:textId="77777777" w:rsidR="00572995" w:rsidRPr="00483EBE" w:rsidRDefault="00572995" w:rsidP="00E8324D">
            <w:pPr>
              <w:pStyle w:val="Tablas"/>
              <w:rPr>
                <w:sz w:val="12"/>
                <w:szCs w:val="12"/>
              </w:rPr>
            </w:pPr>
            <w:r w:rsidRPr="00483EBE">
              <w:rPr>
                <w:sz w:val="12"/>
                <w:szCs w:val="12"/>
              </w:rPr>
              <w:t>$1,707</w:t>
            </w:r>
          </w:p>
        </w:tc>
        <w:tc>
          <w:tcPr>
            <w:tcW w:w="0" w:type="auto"/>
            <w:tcBorders>
              <w:top w:val="nil"/>
              <w:left w:val="nil"/>
              <w:bottom w:val="single" w:sz="4" w:space="0" w:color="auto"/>
              <w:right w:val="single" w:sz="4" w:space="0" w:color="auto"/>
            </w:tcBorders>
            <w:shd w:val="clear" w:color="auto" w:fill="auto"/>
            <w:vAlign w:val="center"/>
            <w:hideMark/>
          </w:tcPr>
          <w:p w14:paraId="6AFF5774" w14:textId="77777777" w:rsidR="00572995" w:rsidRPr="00483EBE" w:rsidRDefault="00572995" w:rsidP="00E8324D">
            <w:pPr>
              <w:pStyle w:val="Tablas"/>
              <w:rPr>
                <w:sz w:val="12"/>
                <w:szCs w:val="12"/>
              </w:rPr>
            </w:pPr>
            <w:r w:rsidRPr="00483EBE">
              <w:rPr>
                <w:sz w:val="12"/>
                <w:szCs w:val="12"/>
              </w:rPr>
              <w:t>$854</w:t>
            </w:r>
          </w:p>
        </w:tc>
        <w:tc>
          <w:tcPr>
            <w:tcW w:w="0" w:type="auto"/>
            <w:tcBorders>
              <w:top w:val="nil"/>
              <w:left w:val="nil"/>
              <w:bottom w:val="single" w:sz="4" w:space="0" w:color="auto"/>
              <w:right w:val="single" w:sz="4" w:space="0" w:color="auto"/>
            </w:tcBorders>
            <w:shd w:val="clear" w:color="auto" w:fill="auto"/>
            <w:vAlign w:val="center"/>
            <w:hideMark/>
          </w:tcPr>
          <w:p w14:paraId="60CAE2AB"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626698C1"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14FF0DC4" w14:textId="77777777" w:rsidR="00572995" w:rsidRPr="00483EBE" w:rsidRDefault="00572995" w:rsidP="00E8324D">
            <w:pPr>
              <w:pStyle w:val="Tablas"/>
              <w:rPr>
                <w:sz w:val="12"/>
                <w:szCs w:val="12"/>
              </w:rPr>
            </w:pPr>
            <w:r w:rsidRPr="00483EBE">
              <w:rPr>
                <w:sz w:val="12"/>
                <w:szCs w:val="12"/>
              </w:rPr>
              <w:t>SEBD</w:t>
            </w:r>
          </w:p>
        </w:tc>
      </w:tr>
      <w:tr w:rsidR="00572995" w:rsidRPr="00483EBE" w14:paraId="3774DAD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9C5C62"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6D90EC26" w14:textId="77777777" w:rsidR="00572995" w:rsidRPr="00483EBE" w:rsidRDefault="00572995" w:rsidP="00E8324D">
            <w:pPr>
              <w:pStyle w:val="Tablas"/>
              <w:rPr>
                <w:sz w:val="12"/>
                <w:szCs w:val="12"/>
              </w:rPr>
            </w:pPr>
            <w:r w:rsidRPr="00483EBE">
              <w:rPr>
                <w:sz w:val="12"/>
                <w:szCs w:val="12"/>
              </w:rPr>
              <w:t xml:space="preserve">323 </w:t>
            </w:r>
          </w:p>
        </w:tc>
        <w:tc>
          <w:tcPr>
            <w:tcW w:w="0" w:type="auto"/>
            <w:tcBorders>
              <w:top w:val="nil"/>
              <w:left w:val="nil"/>
              <w:bottom w:val="single" w:sz="4" w:space="0" w:color="auto"/>
              <w:right w:val="single" w:sz="4" w:space="0" w:color="auto"/>
            </w:tcBorders>
            <w:shd w:val="clear" w:color="auto" w:fill="auto"/>
            <w:vAlign w:val="center"/>
            <w:hideMark/>
          </w:tcPr>
          <w:p w14:paraId="6BC051C2" w14:textId="77777777" w:rsidR="00572995" w:rsidRPr="00483EBE" w:rsidRDefault="00572995" w:rsidP="00E8324D">
            <w:pPr>
              <w:pStyle w:val="Tablas"/>
              <w:rPr>
                <w:sz w:val="12"/>
                <w:szCs w:val="12"/>
              </w:rPr>
            </w:pPr>
            <w:r w:rsidRPr="00483EBE">
              <w:rPr>
                <w:sz w:val="12"/>
                <w:szCs w:val="12"/>
              </w:rPr>
              <w:t>$1,838,129</w:t>
            </w:r>
          </w:p>
        </w:tc>
        <w:tc>
          <w:tcPr>
            <w:tcW w:w="0" w:type="auto"/>
            <w:tcBorders>
              <w:top w:val="nil"/>
              <w:left w:val="nil"/>
              <w:bottom w:val="single" w:sz="4" w:space="0" w:color="auto"/>
              <w:right w:val="single" w:sz="4" w:space="0" w:color="auto"/>
            </w:tcBorders>
            <w:shd w:val="clear" w:color="auto" w:fill="auto"/>
            <w:vAlign w:val="center"/>
            <w:hideMark/>
          </w:tcPr>
          <w:p w14:paraId="4C0D654E" w14:textId="77777777" w:rsidR="00572995" w:rsidRPr="00483EBE" w:rsidRDefault="00572995" w:rsidP="00E8324D">
            <w:pPr>
              <w:pStyle w:val="Tablas"/>
              <w:rPr>
                <w:sz w:val="12"/>
                <w:szCs w:val="12"/>
              </w:rPr>
            </w:pPr>
            <w:r w:rsidRPr="00483EBE">
              <w:rPr>
                <w:sz w:val="12"/>
                <w:szCs w:val="12"/>
              </w:rPr>
              <w:t>$5,691</w:t>
            </w:r>
          </w:p>
        </w:tc>
        <w:tc>
          <w:tcPr>
            <w:tcW w:w="0" w:type="auto"/>
            <w:tcBorders>
              <w:top w:val="nil"/>
              <w:left w:val="nil"/>
              <w:bottom w:val="single" w:sz="4" w:space="0" w:color="auto"/>
              <w:right w:val="single" w:sz="4" w:space="0" w:color="auto"/>
            </w:tcBorders>
            <w:shd w:val="clear" w:color="auto" w:fill="auto"/>
            <w:vAlign w:val="center"/>
            <w:hideMark/>
          </w:tcPr>
          <w:p w14:paraId="38F4357B" w14:textId="77777777" w:rsidR="00572995" w:rsidRPr="00483EBE" w:rsidRDefault="00572995" w:rsidP="00E8324D">
            <w:pPr>
              <w:pStyle w:val="Tablas"/>
              <w:rPr>
                <w:sz w:val="12"/>
                <w:szCs w:val="12"/>
              </w:rPr>
            </w:pPr>
            <w:r w:rsidRPr="00483EBE">
              <w:rPr>
                <w:sz w:val="12"/>
                <w:szCs w:val="12"/>
              </w:rPr>
              <w:t>$474</w:t>
            </w:r>
          </w:p>
        </w:tc>
        <w:tc>
          <w:tcPr>
            <w:tcW w:w="0" w:type="auto"/>
            <w:tcBorders>
              <w:top w:val="nil"/>
              <w:left w:val="nil"/>
              <w:bottom w:val="single" w:sz="4" w:space="0" w:color="auto"/>
              <w:right w:val="single" w:sz="4" w:space="0" w:color="auto"/>
            </w:tcBorders>
            <w:shd w:val="clear" w:color="auto" w:fill="auto"/>
            <w:vAlign w:val="center"/>
            <w:hideMark/>
          </w:tcPr>
          <w:p w14:paraId="0BB488DA"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27F2CC8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9CBC12"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FE7C965"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1A25ECC7" w14:textId="77777777" w:rsidR="00572995" w:rsidRPr="00483EBE" w:rsidRDefault="00572995" w:rsidP="00E8324D">
            <w:pPr>
              <w:pStyle w:val="Tablas"/>
              <w:rPr>
                <w:sz w:val="12"/>
                <w:szCs w:val="12"/>
              </w:rPr>
            </w:pPr>
            <w:r w:rsidRPr="00483EBE">
              <w:rPr>
                <w:sz w:val="12"/>
                <w:szCs w:val="12"/>
              </w:rPr>
              <w:t>$5,203</w:t>
            </w:r>
          </w:p>
        </w:tc>
        <w:tc>
          <w:tcPr>
            <w:tcW w:w="0" w:type="auto"/>
            <w:tcBorders>
              <w:top w:val="nil"/>
              <w:left w:val="nil"/>
              <w:bottom w:val="single" w:sz="4" w:space="0" w:color="auto"/>
              <w:right w:val="single" w:sz="4" w:space="0" w:color="auto"/>
            </w:tcBorders>
            <w:shd w:val="clear" w:color="auto" w:fill="auto"/>
            <w:vAlign w:val="center"/>
            <w:hideMark/>
          </w:tcPr>
          <w:p w14:paraId="3BF953E7" w14:textId="77777777" w:rsidR="00572995" w:rsidRPr="00483EBE" w:rsidRDefault="00572995" w:rsidP="00E8324D">
            <w:pPr>
              <w:pStyle w:val="Tablas"/>
              <w:rPr>
                <w:sz w:val="12"/>
                <w:szCs w:val="12"/>
              </w:rPr>
            </w:pPr>
            <w:r w:rsidRPr="00483EBE">
              <w:rPr>
                <w:sz w:val="12"/>
                <w:szCs w:val="12"/>
              </w:rPr>
              <w:t>$867</w:t>
            </w:r>
          </w:p>
        </w:tc>
        <w:tc>
          <w:tcPr>
            <w:tcW w:w="0" w:type="auto"/>
            <w:tcBorders>
              <w:top w:val="nil"/>
              <w:left w:val="nil"/>
              <w:bottom w:val="single" w:sz="4" w:space="0" w:color="auto"/>
              <w:right w:val="single" w:sz="4" w:space="0" w:color="auto"/>
            </w:tcBorders>
            <w:shd w:val="clear" w:color="auto" w:fill="auto"/>
            <w:vAlign w:val="center"/>
            <w:hideMark/>
          </w:tcPr>
          <w:p w14:paraId="671494F0"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BA2BB18"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4CF03D84" w14:textId="77777777" w:rsidR="00572995" w:rsidRPr="00483EBE" w:rsidRDefault="00572995" w:rsidP="00E8324D">
            <w:pPr>
              <w:pStyle w:val="Tablas"/>
              <w:rPr>
                <w:sz w:val="12"/>
                <w:szCs w:val="12"/>
              </w:rPr>
            </w:pPr>
            <w:r w:rsidRPr="00483EBE">
              <w:rPr>
                <w:sz w:val="12"/>
                <w:szCs w:val="12"/>
              </w:rPr>
              <w:t>SEBD</w:t>
            </w:r>
          </w:p>
        </w:tc>
      </w:tr>
      <w:tr w:rsidR="00572995" w:rsidRPr="00483EBE" w14:paraId="70D03A6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8FBC3BF"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D9129DE" w14:textId="77777777" w:rsidR="00572995" w:rsidRPr="00483EBE" w:rsidRDefault="00572995" w:rsidP="00E8324D">
            <w:pPr>
              <w:pStyle w:val="Tablas"/>
              <w:rPr>
                <w:sz w:val="12"/>
                <w:szCs w:val="12"/>
              </w:rPr>
            </w:pPr>
            <w:r w:rsidRPr="00483EBE">
              <w:rPr>
                <w:sz w:val="12"/>
                <w:szCs w:val="12"/>
              </w:rPr>
              <w:t xml:space="preserve">55 </w:t>
            </w:r>
          </w:p>
        </w:tc>
        <w:tc>
          <w:tcPr>
            <w:tcW w:w="0" w:type="auto"/>
            <w:tcBorders>
              <w:top w:val="nil"/>
              <w:left w:val="nil"/>
              <w:bottom w:val="single" w:sz="4" w:space="0" w:color="auto"/>
              <w:right w:val="single" w:sz="4" w:space="0" w:color="auto"/>
            </w:tcBorders>
            <w:shd w:val="clear" w:color="auto" w:fill="auto"/>
            <w:vAlign w:val="center"/>
            <w:hideMark/>
          </w:tcPr>
          <w:p w14:paraId="14FFD4F6" w14:textId="77777777" w:rsidR="00572995" w:rsidRPr="00483EBE" w:rsidRDefault="00572995" w:rsidP="00E8324D">
            <w:pPr>
              <w:pStyle w:val="Tablas"/>
              <w:rPr>
                <w:sz w:val="12"/>
                <w:szCs w:val="12"/>
              </w:rPr>
            </w:pPr>
            <w:r w:rsidRPr="00483EBE">
              <w:rPr>
                <w:sz w:val="12"/>
                <w:szCs w:val="12"/>
              </w:rPr>
              <w:t>$420,462</w:t>
            </w:r>
          </w:p>
        </w:tc>
        <w:tc>
          <w:tcPr>
            <w:tcW w:w="0" w:type="auto"/>
            <w:tcBorders>
              <w:top w:val="nil"/>
              <w:left w:val="nil"/>
              <w:bottom w:val="single" w:sz="4" w:space="0" w:color="auto"/>
              <w:right w:val="single" w:sz="4" w:space="0" w:color="auto"/>
            </w:tcBorders>
            <w:shd w:val="clear" w:color="auto" w:fill="auto"/>
            <w:vAlign w:val="center"/>
            <w:hideMark/>
          </w:tcPr>
          <w:p w14:paraId="35999465" w14:textId="77777777" w:rsidR="00572995" w:rsidRPr="00483EBE" w:rsidRDefault="00572995" w:rsidP="00E8324D">
            <w:pPr>
              <w:pStyle w:val="Tablas"/>
              <w:rPr>
                <w:sz w:val="12"/>
                <w:szCs w:val="12"/>
              </w:rPr>
            </w:pPr>
            <w:r w:rsidRPr="00483EBE">
              <w:rPr>
                <w:sz w:val="12"/>
                <w:szCs w:val="12"/>
              </w:rPr>
              <w:t>$7,645</w:t>
            </w:r>
          </w:p>
        </w:tc>
        <w:tc>
          <w:tcPr>
            <w:tcW w:w="0" w:type="auto"/>
            <w:tcBorders>
              <w:top w:val="nil"/>
              <w:left w:val="nil"/>
              <w:bottom w:val="single" w:sz="4" w:space="0" w:color="auto"/>
              <w:right w:val="single" w:sz="4" w:space="0" w:color="auto"/>
            </w:tcBorders>
            <w:shd w:val="clear" w:color="auto" w:fill="auto"/>
            <w:vAlign w:val="center"/>
            <w:hideMark/>
          </w:tcPr>
          <w:p w14:paraId="5FDEB4EA" w14:textId="77777777" w:rsidR="00572995" w:rsidRPr="00483EBE" w:rsidRDefault="00572995" w:rsidP="00E8324D">
            <w:pPr>
              <w:pStyle w:val="Tablas"/>
              <w:rPr>
                <w:sz w:val="12"/>
                <w:szCs w:val="12"/>
              </w:rPr>
            </w:pPr>
            <w:r w:rsidRPr="00483EBE">
              <w:rPr>
                <w:sz w:val="12"/>
                <w:szCs w:val="12"/>
              </w:rPr>
              <w:t>$637</w:t>
            </w:r>
          </w:p>
        </w:tc>
        <w:tc>
          <w:tcPr>
            <w:tcW w:w="0" w:type="auto"/>
            <w:tcBorders>
              <w:top w:val="nil"/>
              <w:left w:val="nil"/>
              <w:bottom w:val="single" w:sz="4" w:space="0" w:color="auto"/>
              <w:right w:val="single" w:sz="4" w:space="0" w:color="auto"/>
            </w:tcBorders>
            <w:shd w:val="clear" w:color="auto" w:fill="auto"/>
            <w:vAlign w:val="center"/>
            <w:hideMark/>
          </w:tcPr>
          <w:p w14:paraId="7DCF671F" w14:textId="77777777" w:rsidR="00572995" w:rsidRPr="00483EBE" w:rsidRDefault="00572995" w:rsidP="00E8324D">
            <w:pPr>
              <w:pStyle w:val="Tablas"/>
              <w:rPr>
                <w:sz w:val="12"/>
                <w:szCs w:val="12"/>
              </w:rPr>
            </w:pPr>
            <w:r w:rsidRPr="00483EBE">
              <w:rPr>
                <w:sz w:val="12"/>
                <w:szCs w:val="12"/>
              </w:rPr>
              <w:t>VEJEZ RETIRO ANTICIPADO LEY 51</w:t>
            </w:r>
          </w:p>
        </w:tc>
        <w:tc>
          <w:tcPr>
            <w:tcW w:w="0" w:type="auto"/>
            <w:tcBorders>
              <w:top w:val="nil"/>
              <w:left w:val="nil"/>
              <w:bottom w:val="single" w:sz="4" w:space="0" w:color="auto"/>
              <w:right w:val="nil"/>
            </w:tcBorders>
            <w:shd w:val="clear" w:color="auto" w:fill="auto"/>
            <w:vAlign w:val="center"/>
            <w:hideMark/>
          </w:tcPr>
          <w:p w14:paraId="18B4029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D4AEFA"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16498F47"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1F0A6432" w14:textId="77777777" w:rsidR="00572995" w:rsidRPr="00483EBE" w:rsidRDefault="00572995" w:rsidP="00E8324D">
            <w:pPr>
              <w:pStyle w:val="Tablas"/>
              <w:rPr>
                <w:sz w:val="12"/>
                <w:szCs w:val="12"/>
              </w:rPr>
            </w:pPr>
            <w:r w:rsidRPr="00483EBE">
              <w:rPr>
                <w:sz w:val="12"/>
                <w:szCs w:val="12"/>
              </w:rPr>
              <w:t>$2,353</w:t>
            </w:r>
          </w:p>
        </w:tc>
        <w:tc>
          <w:tcPr>
            <w:tcW w:w="0" w:type="auto"/>
            <w:tcBorders>
              <w:top w:val="nil"/>
              <w:left w:val="nil"/>
              <w:bottom w:val="single" w:sz="4" w:space="0" w:color="auto"/>
              <w:right w:val="single" w:sz="4" w:space="0" w:color="auto"/>
            </w:tcBorders>
            <w:shd w:val="clear" w:color="auto" w:fill="auto"/>
            <w:vAlign w:val="center"/>
            <w:hideMark/>
          </w:tcPr>
          <w:p w14:paraId="6CB29DFD" w14:textId="77777777" w:rsidR="00572995" w:rsidRPr="00483EBE" w:rsidRDefault="00572995" w:rsidP="00E8324D">
            <w:pPr>
              <w:pStyle w:val="Tablas"/>
              <w:rPr>
                <w:sz w:val="12"/>
                <w:szCs w:val="12"/>
              </w:rPr>
            </w:pPr>
            <w:r w:rsidRPr="00483EBE">
              <w:rPr>
                <w:sz w:val="12"/>
                <w:szCs w:val="12"/>
              </w:rPr>
              <w:t>$784</w:t>
            </w:r>
          </w:p>
        </w:tc>
        <w:tc>
          <w:tcPr>
            <w:tcW w:w="0" w:type="auto"/>
            <w:tcBorders>
              <w:top w:val="nil"/>
              <w:left w:val="nil"/>
              <w:bottom w:val="single" w:sz="4" w:space="0" w:color="auto"/>
              <w:right w:val="single" w:sz="4" w:space="0" w:color="auto"/>
            </w:tcBorders>
            <w:shd w:val="clear" w:color="auto" w:fill="auto"/>
            <w:vAlign w:val="center"/>
            <w:hideMark/>
          </w:tcPr>
          <w:p w14:paraId="1B63EC39"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6369FD2E"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7422A992" w14:textId="77777777" w:rsidR="00572995" w:rsidRPr="00483EBE" w:rsidRDefault="00572995" w:rsidP="00E8324D">
            <w:pPr>
              <w:pStyle w:val="Tablas"/>
              <w:rPr>
                <w:sz w:val="12"/>
                <w:szCs w:val="12"/>
              </w:rPr>
            </w:pPr>
            <w:r w:rsidRPr="00483EBE">
              <w:rPr>
                <w:sz w:val="12"/>
                <w:szCs w:val="12"/>
              </w:rPr>
              <w:t>SEBD</w:t>
            </w:r>
          </w:p>
        </w:tc>
      </w:tr>
      <w:tr w:rsidR="00572995" w:rsidRPr="00483EBE" w14:paraId="26B78A2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5D5EB3"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3C06FEC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368D49C" w14:textId="77777777" w:rsidR="00572995" w:rsidRPr="00483EBE" w:rsidRDefault="00572995" w:rsidP="00E8324D">
            <w:pPr>
              <w:pStyle w:val="Tablas"/>
              <w:rPr>
                <w:sz w:val="12"/>
                <w:szCs w:val="12"/>
              </w:rPr>
            </w:pPr>
            <w:r w:rsidRPr="00483EBE">
              <w:rPr>
                <w:sz w:val="12"/>
                <w:szCs w:val="12"/>
              </w:rPr>
              <w:t>$952</w:t>
            </w:r>
          </w:p>
        </w:tc>
        <w:tc>
          <w:tcPr>
            <w:tcW w:w="0" w:type="auto"/>
            <w:tcBorders>
              <w:top w:val="nil"/>
              <w:left w:val="nil"/>
              <w:bottom w:val="single" w:sz="4" w:space="0" w:color="auto"/>
              <w:right w:val="single" w:sz="4" w:space="0" w:color="auto"/>
            </w:tcBorders>
            <w:shd w:val="clear" w:color="auto" w:fill="auto"/>
            <w:vAlign w:val="center"/>
            <w:hideMark/>
          </w:tcPr>
          <w:p w14:paraId="17B146FB" w14:textId="77777777" w:rsidR="00572995" w:rsidRPr="00483EBE" w:rsidRDefault="00572995" w:rsidP="00E8324D">
            <w:pPr>
              <w:pStyle w:val="Tablas"/>
              <w:rPr>
                <w:sz w:val="12"/>
                <w:szCs w:val="12"/>
              </w:rPr>
            </w:pPr>
            <w:r w:rsidRPr="00483EBE">
              <w:rPr>
                <w:sz w:val="12"/>
                <w:szCs w:val="12"/>
              </w:rPr>
              <w:t>$952</w:t>
            </w:r>
          </w:p>
        </w:tc>
        <w:tc>
          <w:tcPr>
            <w:tcW w:w="0" w:type="auto"/>
            <w:tcBorders>
              <w:top w:val="nil"/>
              <w:left w:val="nil"/>
              <w:bottom w:val="single" w:sz="4" w:space="0" w:color="auto"/>
              <w:right w:val="single" w:sz="4" w:space="0" w:color="auto"/>
            </w:tcBorders>
            <w:shd w:val="clear" w:color="auto" w:fill="auto"/>
            <w:vAlign w:val="center"/>
            <w:hideMark/>
          </w:tcPr>
          <w:p w14:paraId="06FCCAA7"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AF71660" w14:textId="77777777" w:rsidR="00572995" w:rsidRPr="00483EBE" w:rsidRDefault="00572995" w:rsidP="00E8324D">
            <w:pPr>
              <w:pStyle w:val="Tablas"/>
              <w:rPr>
                <w:sz w:val="12"/>
                <w:szCs w:val="12"/>
              </w:rPr>
            </w:pPr>
            <w:r w:rsidRPr="00483EBE">
              <w:rPr>
                <w:sz w:val="12"/>
                <w:szCs w:val="12"/>
              </w:rPr>
              <w:t>PROPORCIONAL TRAB. ESTACIONALES</w:t>
            </w:r>
          </w:p>
        </w:tc>
        <w:tc>
          <w:tcPr>
            <w:tcW w:w="0" w:type="auto"/>
            <w:tcBorders>
              <w:top w:val="nil"/>
              <w:left w:val="nil"/>
              <w:bottom w:val="single" w:sz="4" w:space="0" w:color="auto"/>
              <w:right w:val="nil"/>
            </w:tcBorders>
            <w:shd w:val="clear" w:color="auto" w:fill="auto"/>
            <w:vAlign w:val="center"/>
            <w:hideMark/>
          </w:tcPr>
          <w:p w14:paraId="6422331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0E1D59"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2B8890B6"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3124647E" w14:textId="77777777" w:rsidR="00572995" w:rsidRPr="00483EBE" w:rsidRDefault="00572995" w:rsidP="00E8324D">
            <w:pPr>
              <w:pStyle w:val="Tablas"/>
              <w:rPr>
                <w:sz w:val="12"/>
                <w:szCs w:val="12"/>
              </w:rPr>
            </w:pPr>
            <w:r w:rsidRPr="00483EBE">
              <w:rPr>
                <w:sz w:val="12"/>
                <w:szCs w:val="12"/>
              </w:rPr>
              <w:t>$5,714</w:t>
            </w:r>
          </w:p>
        </w:tc>
        <w:tc>
          <w:tcPr>
            <w:tcW w:w="0" w:type="auto"/>
            <w:tcBorders>
              <w:top w:val="nil"/>
              <w:left w:val="nil"/>
              <w:bottom w:val="single" w:sz="4" w:space="0" w:color="auto"/>
              <w:right w:val="single" w:sz="4" w:space="0" w:color="auto"/>
            </w:tcBorders>
            <w:shd w:val="clear" w:color="auto" w:fill="auto"/>
            <w:vAlign w:val="center"/>
            <w:hideMark/>
          </w:tcPr>
          <w:p w14:paraId="5C300F76" w14:textId="77777777" w:rsidR="00572995" w:rsidRPr="00483EBE" w:rsidRDefault="00572995" w:rsidP="00E8324D">
            <w:pPr>
              <w:pStyle w:val="Tablas"/>
              <w:rPr>
                <w:sz w:val="12"/>
                <w:szCs w:val="12"/>
              </w:rPr>
            </w:pPr>
            <w:r w:rsidRPr="00483EBE">
              <w:rPr>
                <w:sz w:val="12"/>
                <w:szCs w:val="12"/>
              </w:rPr>
              <w:t>$952</w:t>
            </w:r>
          </w:p>
        </w:tc>
        <w:tc>
          <w:tcPr>
            <w:tcW w:w="0" w:type="auto"/>
            <w:tcBorders>
              <w:top w:val="nil"/>
              <w:left w:val="nil"/>
              <w:bottom w:val="single" w:sz="4" w:space="0" w:color="auto"/>
              <w:right w:val="single" w:sz="4" w:space="0" w:color="auto"/>
            </w:tcBorders>
            <w:shd w:val="clear" w:color="auto" w:fill="auto"/>
            <w:vAlign w:val="center"/>
            <w:hideMark/>
          </w:tcPr>
          <w:p w14:paraId="3ACE0BF7"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0DADE45E"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631E9142" w14:textId="77777777" w:rsidR="00572995" w:rsidRPr="00483EBE" w:rsidRDefault="00572995" w:rsidP="00E8324D">
            <w:pPr>
              <w:pStyle w:val="Tablas"/>
              <w:rPr>
                <w:sz w:val="12"/>
                <w:szCs w:val="12"/>
              </w:rPr>
            </w:pPr>
            <w:r w:rsidRPr="00483EBE">
              <w:rPr>
                <w:sz w:val="12"/>
                <w:szCs w:val="12"/>
              </w:rPr>
              <w:t>SEBD</w:t>
            </w:r>
          </w:p>
        </w:tc>
      </w:tr>
      <w:tr w:rsidR="00572995" w:rsidRPr="00483EBE" w14:paraId="0775033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3B2F8A"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7B9B9E4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C138E71" w14:textId="77777777" w:rsidR="00572995" w:rsidRPr="00483EBE" w:rsidRDefault="00572995" w:rsidP="00E8324D">
            <w:pPr>
              <w:pStyle w:val="Tablas"/>
              <w:rPr>
                <w:sz w:val="12"/>
                <w:szCs w:val="12"/>
              </w:rPr>
            </w:pPr>
            <w:r w:rsidRPr="00483EBE">
              <w:rPr>
                <w:sz w:val="12"/>
                <w:szCs w:val="12"/>
              </w:rPr>
              <w:t>$886</w:t>
            </w:r>
          </w:p>
        </w:tc>
        <w:tc>
          <w:tcPr>
            <w:tcW w:w="0" w:type="auto"/>
            <w:tcBorders>
              <w:top w:val="nil"/>
              <w:left w:val="nil"/>
              <w:bottom w:val="single" w:sz="4" w:space="0" w:color="auto"/>
              <w:right w:val="single" w:sz="4" w:space="0" w:color="auto"/>
            </w:tcBorders>
            <w:shd w:val="clear" w:color="auto" w:fill="auto"/>
            <w:vAlign w:val="center"/>
            <w:hideMark/>
          </w:tcPr>
          <w:p w14:paraId="354C42B8" w14:textId="77777777" w:rsidR="00572995" w:rsidRPr="00483EBE" w:rsidRDefault="00572995" w:rsidP="00E8324D">
            <w:pPr>
              <w:pStyle w:val="Tablas"/>
              <w:rPr>
                <w:sz w:val="12"/>
                <w:szCs w:val="12"/>
              </w:rPr>
            </w:pPr>
            <w:r w:rsidRPr="00483EBE">
              <w:rPr>
                <w:sz w:val="12"/>
                <w:szCs w:val="12"/>
              </w:rPr>
              <w:t>$886</w:t>
            </w:r>
          </w:p>
        </w:tc>
        <w:tc>
          <w:tcPr>
            <w:tcW w:w="0" w:type="auto"/>
            <w:tcBorders>
              <w:top w:val="nil"/>
              <w:left w:val="nil"/>
              <w:bottom w:val="single" w:sz="4" w:space="0" w:color="auto"/>
              <w:right w:val="single" w:sz="4" w:space="0" w:color="auto"/>
            </w:tcBorders>
            <w:shd w:val="clear" w:color="auto" w:fill="auto"/>
            <w:vAlign w:val="center"/>
            <w:hideMark/>
          </w:tcPr>
          <w:p w14:paraId="49A85320"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5989DB00" w14:textId="77777777" w:rsidR="00572995" w:rsidRPr="00483EBE" w:rsidRDefault="00572995" w:rsidP="00E8324D">
            <w:pPr>
              <w:pStyle w:val="Tablas"/>
              <w:rPr>
                <w:sz w:val="12"/>
                <w:szCs w:val="12"/>
              </w:rPr>
            </w:pPr>
            <w:r w:rsidRPr="00483EBE">
              <w:rPr>
                <w:sz w:val="12"/>
                <w:szCs w:val="12"/>
              </w:rPr>
              <w:t>PROPORCIONAL TRAB. ESTACIONALES</w:t>
            </w:r>
          </w:p>
        </w:tc>
        <w:tc>
          <w:tcPr>
            <w:tcW w:w="0" w:type="auto"/>
            <w:tcBorders>
              <w:top w:val="nil"/>
              <w:left w:val="nil"/>
              <w:bottom w:val="single" w:sz="4" w:space="0" w:color="auto"/>
              <w:right w:val="nil"/>
            </w:tcBorders>
            <w:shd w:val="clear" w:color="auto" w:fill="auto"/>
            <w:vAlign w:val="center"/>
            <w:hideMark/>
          </w:tcPr>
          <w:p w14:paraId="18A369D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1F3018"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5784F943"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235B5270" w14:textId="77777777" w:rsidR="00572995" w:rsidRPr="00483EBE" w:rsidRDefault="00572995" w:rsidP="00E8324D">
            <w:pPr>
              <w:pStyle w:val="Tablas"/>
              <w:rPr>
                <w:sz w:val="12"/>
                <w:szCs w:val="12"/>
              </w:rPr>
            </w:pPr>
            <w:r w:rsidRPr="00483EBE">
              <w:rPr>
                <w:sz w:val="12"/>
                <w:szCs w:val="12"/>
              </w:rPr>
              <w:t>$9,857</w:t>
            </w:r>
          </w:p>
        </w:tc>
        <w:tc>
          <w:tcPr>
            <w:tcW w:w="0" w:type="auto"/>
            <w:tcBorders>
              <w:top w:val="nil"/>
              <w:left w:val="nil"/>
              <w:bottom w:val="single" w:sz="4" w:space="0" w:color="auto"/>
              <w:right w:val="single" w:sz="4" w:space="0" w:color="auto"/>
            </w:tcBorders>
            <w:shd w:val="clear" w:color="auto" w:fill="auto"/>
            <w:vAlign w:val="center"/>
            <w:hideMark/>
          </w:tcPr>
          <w:p w14:paraId="01765707" w14:textId="77777777" w:rsidR="00572995" w:rsidRPr="00483EBE" w:rsidRDefault="00572995" w:rsidP="00E8324D">
            <w:pPr>
              <w:pStyle w:val="Tablas"/>
              <w:rPr>
                <w:sz w:val="12"/>
                <w:szCs w:val="12"/>
              </w:rPr>
            </w:pPr>
            <w:r w:rsidRPr="00483EBE">
              <w:rPr>
                <w:sz w:val="12"/>
                <w:szCs w:val="12"/>
              </w:rPr>
              <w:t>$1,095</w:t>
            </w:r>
          </w:p>
        </w:tc>
        <w:tc>
          <w:tcPr>
            <w:tcW w:w="0" w:type="auto"/>
            <w:tcBorders>
              <w:top w:val="nil"/>
              <w:left w:val="nil"/>
              <w:bottom w:val="single" w:sz="4" w:space="0" w:color="auto"/>
              <w:right w:val="single" w:sz="4" w:space="0" w:color="auto"/>
            </w:tcBorders>
            <w:shd w:val="clear" w:color="auto" w:fill="auto"/>
            <w:vAlign w:val="center"/>
            <w:hideMark/>
          </w:tcPr>
          <w:p w14:paraId="33F54DD5"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4B7B740"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76FDF38B" w14:textId="77777777" w:rsidR="00572995" w:rsidRPr="00483EBE" w:rsidRDefault="00572995" w:rsidP="00E8324D">
            <w:pPr>
              <w:pStyle w:val="Tablas"/>
              <w:rPr>
                <w:sz w:val="12"/>
                <w:szCs w:val="12"/>
              </w:rPr>
            </w:pPr>
            <w:r w:rsidRPr="00483EBE">
              <w:rPr>
                <w:sz w:val="12"/>
                <w:szCs w:val="12"/>
              </w:rPr>
              <w:t>SEBD</w:t>
            </w:r>
          </w:p>
        </w:tc>
      </w:tr>
      <w:tr w:rsidR="00572995" w:rsidRPr="00483EBE" w14:paraId="5C8123E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087DFD"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73D6312B"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B292BCA" w14:textId="77777777" w:rsidR="00572995" w:rsidRPr="00483EBE" w:rsidRDefault="00572995" w:rsidP="00E8324D">
            <w:pPr>
              <w:pStyle w:val="Tablas"/>
              <w:rPr>
                <w:sz w:val="12"/>
                <w:szCs w:val="12"/>
              </w:rPr>
            </w:pPr>
            <w:r w:rsidRPr="00483EBE">
              <w:rPr>
                <w:sz w:val="12"/>
                <w:szCs w:val="12"/>
              </w:rPr>
              <w:t>$9,318</w:t>
            </w:r>
          </w:p>
        </w:tc>
        <w:tc>
          <w:tcPr>
            <w:tcW w:w="0" w:type="auto"/>
            <w:tcBorders>
              <w:top w:val="nil"/>
              <w:left w:val="nil"/>
              <w:bottom w:val="single" w:sz="4" w:space="0" w:color="auto"/>
              <w:right w:val="single" w:sz="4" w:space="0" w:color="auto"/>
            </w:tcBorders>
            <w:shd w:val="clear" w:color="auto" w:fill="auto"/>
            <w:vAlign w:val="center"/>
            <w:hideMark/>
          </w:tcPr>
          <w:p w14:paraId="7581D73F" w14:textId="77777777" w:rsidR="00572995" w:rsidRPr="00483EBE" w:rsidRDefault="00572995" w:rsidP="00E8324D">
            <w:pPr>
              <w:pStyle w:val="Tablas"/>
              <w:rPr>
                <w:sz w:val="12"/>
                <w:szCs w:val="12"/>
              </w:rPr>
            </w:pPr>
            <w:r w:rsidRPr="00483EBE">
              <w:rPr>
                <w:sz w:val="12"/>
                <w:szCs w:val="12"/>
              </w:rPr>
              <w:t>$4,659</w:t>
            </w:r>
          </w:p>
        </w:tc>
        <w:tc>
          <w:tcPr>
            <w:tcW w:w="0" w:type="auto"/>
            <w:tcBorders>
              <w:top w:val="nil"/>
              <w:left w:val="nil"/>
              <w:bottom w:val="single" w:sz="4" w:space="0" w:color="auto"/>
              <w:right w:val="single" w:sz="4" w:space="0" w:color="auto"/>
            </w:tcBorders>
            <w:shd w:val="clear" w:color="auto" w:fill="auto"/>
            <w:vAlign w:val="center"/>
            <w:hideMark/>
          </w:tcPr>
          <w:p w14:paraId="112B7743" w14:textId="77777777" w:rsidR="00572995" w:rsidRPr="00483EBE" w:rsidRDefault="00572995" w:rsidP="00E8324D">
            <w:pPr>
              <w:pStyle w:val="Tablas"/>
              <w:rPr>
                <w:sz w:val="12"/>
                <w:szCs w:val="12"/>
              </w:rPr>
            </w:pPr>
            <w:r w:rsidRPr="00483EBE">
              <w:rPr>
                <w:sz w:val="12"/>
                <w:szCs w:val="12"/>
              </w:rPr>
              <w:t>$388</w:t>
            </w:r>
          </w:p>
        </w:tc>
        <w:tc>
          <w:tcPr>
            <w:tcW w:w="0" w:type="auto"/>
            <w:tcBorders>
              <w:top w:val="nil"/>
              <w:left w:val="nil"/>
              <w:bottom w:val="single" w:sz="4" w:space="0" w:color="auto"/>
              <w:right w:val="single" w:sz="4" w:space="0" w:color="auto"/>
            </w:tcBorders>
            <w:shd w:val="clear" w:color="auto" w:fill="auto"/>
            <w:vAlign w:val="center"/>
            <w:hideMark/>
          </w:tcPr>
          <w:p w14:paraId="4B8B040E" w14:textId="77777777" w:rsidR="00572995" w:rsidRPr="00483EBE" w:rsidRDefault="00572995" w:rsidP="00E8324D">
            <w:pPr>
              <w:pStyle w:val="Tablas"/>
              <w:rPr>
                <w:sz w:val="12"/>
                <w:szCs w:val="12"/>
              </w:rPr>
            </w:pPr>
            <w:r w:rsidRPr="00483EBE">
              <w:rPr>
                <w:sz w:val="12"/>
                <w:szCs w:val="12"/>
              </w:rPr>
              <w:t>VEJEZ TRABAJADORES BANANERAS</w:t>
            </w:r>
          </w:p>
        </w:tc>
        <w:tc>
          <w:tcPr>
            <w:tcW w:w="0" w:type="auto"/>
            <w:tcBorders>
              <w:top w:val="nil"/>
              <w:left w:val="nil"/>
              <w:bottom w:val="single" w:sz="4" w:space="0" w:color="auto"/>
              <w:right w:val="nil"/>
            </w:tcBorders>
            <w:shd w:val="clear" w:color="auto" w:fill="auto"/>
            <w:vAlign w:val="center"/>
            <w:hideMark/>
          </w:tcPr>
          <w:p w14:paraId="2F27683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D54193"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31415E19"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3C3B9AD" w14:textId="77777777" w:rsidR="00572995" w:rsidRPr="00483EBE" w:rsidRDefault="00572995" w:rsidP="00E8324D">
            <w:pPr>
              <w:pStyle w:val="Tablas"/>
              <w:rPr>
                <w:sz w:val="12"/>
                <w:szCs w:val="12"/>
              </w:rPr>
            </w:pPr>
            <w:r w:rsidRPr="00483EBE">
              <w:rPr>
                <w:sz w:val="12"/>
                <w:szCs w:val="12"/>
              </w:rPr>
              <w:t>$7,097</w:t>
            </w:r>
          </w:p>
        </w:tc>
        <w:tc>
          <w:tcPr>
            <w:tcW w:w="0" w:type="auto"/>
            <w:tcBorders>
              <w:top w:val="nil"/>
              <w:left w:val="nil"/>
              <w:bottom w:val="single" w:sz="4" w:space="0" w:color="auto"/>
              <w:right w:val="single" w:sz="4" w:space="0" w:color="auto"/>
            </w:tcBorders>
            <w:shd w:val="clear" w:color="auto" w:fill="auto"/>
            <w:vAlign w:val="center"/>
            <w:hideMark/>
          </w:tcPr>
          <w:p w14:paraId="76B6FE75" w14:textId="77777777" w:rsidR="00572995" w:rsidRPr="00483EBE" w:rsidRDefault="00572995" w:rsidP="00E8324D">
            <w:pPr>
              <w:pStyle w:val="Tablas"/>
              <w:rPr>
                <w:sz w:val="12"/>
                <w:szCs w:val="12"/>
              </w:rPr>
            </w:pPr>
            <w:r w:rsidRPr="00483EBE">
              <w:rPr>
                <w:sz w:val="12"/>
                <w:szCs w:val="12"/>
              </w:rPr>
              <w:t>$1,014</w:t>
            </w:r>
          </w:p>
        </w:tc>
        <w:tc>
          <w:tcPr>
            <w:tcW w:w="0" w:type="auto"/>
            <w:tcBorders>
              <w:top w:val="nil"/>
              <w:left w:val="nil"/>
              <w:bottom w:val="single" w:sz="4" w:space="0" w:color="auto"/>
              <w:right w:val="single" w:sz="4" w:space="0" w:color="auto"/>
            </w:tcBorders>
            <w:shd w:val="clear" w:color="auto" w:fill="auto"/>
            <w:vAlign w:val="center"/>
            <w:hideMark/>
          </w:tcPr>
          <w:p w14:paraId="654CBBD3"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4BCE6817"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487C1D69" w14:textId="77777777" w:rsidR="00572995" w:rsidRPr="00483EBE" w:rsidRDefault="00572995" w:rsidP="00E8324D">
            <w:pPr>
              <w:pStyle w:val="Tablas"/>
              <w:rPr>
                <w:sz w:val="12"/>
                <w:szCs w:val="12"/>
              </w:rPr>
            </w:pPr>
            <w:r w:rsidRPr="00483EBE">
              <w:rPr>
                <w:sz w:val="12"/>
                <w:szCs w:val="12"/>
              </w:rPr>
              <w:t>SEBD</w:t>
            </w:r>
          </w:p>
        </w:tc>
      </w:tr>
      <w:tr w:rsidR="00572995" w:rsidRPr="00483EBE" w14:paraId="3936BB4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4C32AE"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4341398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84863E8" w14:textId="77777777" w:rsidR="00572995" w:rsidRPr="00483EBE" w:rsidRDefault="00572995" w:rsidP="00E8324D">
            <w:pPr>
              <w:pStyle w:val="Tablas"/>
              <w:rPr>
                <w:sz w:val="12"/>
                <w:szCs w:val="12"/>
              </w:rPr>
            </w:pPr>
            <w:r w:rsidRPr="00483EBE">
              <w:rPr>
                <w:sz w:val="12"/>
                <w:szCs w:val="12"/>
              </w:rPr>
              <w:t>$4,371</w:t>
            </w:r>
          </w:p>
        </w:tc>
        <w:tc>
          <w:tcPr>
            <w:tcW w:w="0" w:type="auto"/>
            <w:tcBorders>
              <w:top w:val="nil"/>
              <w:left w:val="nil"/>
              <w:bottom w:val="single" w:sz="4" w:space="0" w:color="auto"/>
              <w:right w:val="single" w:sz="4" w:space="0" w:color="auto"/>
            </w:tcBorders>
            <w:shd w:val="clear" w:color="auto" w:fill="auto"/>
            <w:vAlign w:val="center"/>
            <w:hideMark/>
          </w:tcPr>
          <w:p w14:paraId="4C2D84C9" w14:textId="77777777" w:rsidR="00572995" w:rsidRPr="00483EBE" w:rsidRDefault="00572995" w:rsidP="00E8324D">
            <w:pPr>
              <w:pStyle w:val="Tablas"/>
              <w:rPr>
                <w:sz w:val="12"/>
                <w:szCs w:val="12"/>
              </w:rPr>
            </w:pPr>
            <w:r w:rsidRPr="00483EBE">
              <w:rPr>
                <w:sz w:val="12"/>
                <w:szCs w:val="12"/>
              </w:rPr>
              <w:t>$4,371</w:t>
            </w:r>
          </w:p>
        </w:tc>
        <w:tc>
          <w:tcPr>
            <w:tcW w:w="0" w:type="auto"/>
            <w:tcBorders>
              <w:top w:val="nil"/>
              <w:left w:val="nil"/>
              <w:bottom w:val="single" w:sz="4" w:space="0" w:color="auto"/>
              <w:right w:val="single" w:sz="4" w:space="0" w:color="auto"/>
            </w:tcBorders>
            <w:shd w:val="clear" w:color="auto" w:fill="auto"/>
            <w:vAlign w:val="center"/>
            <w:hideMark/>
          </w:tcPr>
          <w:p w14:paraId="094BF421"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41E1590D" w14:textId="77777777" w:rsidR="00572995" w:rsidRPr="00483EBE" w:rsidRDefault="00572995" w:rsidP="00E8324D">
            <w:pPr>
              <w:pStyle w:val="Tablas"/>
              <w:rPr>
                <w:sz w:val="12"/>
                <w:szCs w:val="12"/>
              </w:rPr>
            </w:pPr>
            <w:r w:rsidRPr="00483EBE">
              <w:rPr>
                <w:sz w:val="12"/>
                <w:szCs w:val="12"/>
              </w:rPr>
              <w:t>VEJEZ TRABAJADORES BANANERAS</w:t>
            </w:r>
          </w:p>
        </w:tc>
        <w:tc>
          <w:tcPr>
            <w:tcW w:w="0" w:type="auto"/>
            <w:tcBorders>
              <w:top w:val="nil"/>
              <w:left w:val="nil"/>
              <w:bottom w:val="single" w:sz="4" w:space="0" w:color="auto"/>
              <w:right w:val="nil"/>
            </w:tcBorders>
            <w:shd w:val="clear" w:color="auto" w:fill="auto"/>
            <w:vAlign w:val="center"/>
            <w:hideMark/>
          </w:tcPr>
          <w:p w14:paraId="7D22110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F31F91"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00ECD2C"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2E2067A" w14:textId="77777777" w:rsidR="00572995" w:rsidRPr="00483EBE" w:rsidRDefault="00572995" w:rsidP="00E8324D">
            <w:pPr>
              <w:pStyle w:val="Tablas"/>
              <w:rPr>
                <w:sz w:val="12"/>
                <w:szCs w:val="12"/>
              </w:rPr>
            </w:pPr>
            <w:r w:rsidRPr="00483EBE">
              <w:rPr>
                <w:sz w:val="12"/>
                <w:szCs w:val="12"/>
              </w:rPr>
              <w:t>$4,141</w:t>
            </w:r>
          </w:p>
        </w:tc>
        <w:tc>
          <w:tcPr>
            <w:tcW w:w="0" w:type="auto"/>
            <w:tcBorders>
              <w:top w:val="nil"/>
              <w:left w:val="nil"/>
              <w:bottom w:val="single" w:sz="4" w:space="0" w:color="auto"/>
              <w:right w:val="single" w:sz="4" w:space="0" w:color="auto"/>
            </w:tcBorders>
            <w:shd w:val="clear" w:color="auto" w:fill="auto"/>
            <w:vAlign w:val="center"/>
            <w:hideMark/>
          </w:tcPr>
          <w:p w14:paraId="341F229B" w14:textId="77777777" w:rsidR="00572995" w:rsidRPr="00483EBE" w:rsidRDefault="00572995" w:rsidP="00E8324D">
            <w:pPr>
              <w:pStyle w:val="Tablas"/>
              <w:rPr>
                <w:sz w:val="12"/>
                <w:szCs w:val="12"/>
              </w:rPr>
            </w:pPr>
            <w:r w:rsidRPr="00483EBE">
              <w:rPr>
                <w:sz w:val="12"/>
                <w:szCs w:val="12"/>
              </w:rPr>
              <w:t>$828</w:t>
            </w:r>
          </w:p>
        </w:tc>
        <w:tc>
          <w:tcPr>
            <w:tcW w:w="0" w:type="auto"/>
            <w:tcBorders>
              <w:top w:val="nil"/>
              <w:left w:val="nil"/>
              <w:bottom w:val="single" w:sz="4" w:space="0" w:color="auto"/>
              <w:right w:val="single" w:sz="4" w:space="0" w:color="auto"/>
            </w:tcBorders>
            <w:shd w:val="clear" w:color="auto" w:fill="auto"/>
            <w:vAlign w:val="center"/>
            <w:hideMark/>
          </w:tcPr>
          <w:p w14:paraId="297F5533"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4F45B8C"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7D68D16A" w14:textId="77777777" w:rsidR="00572995" w:rsidRPr="00483EBE" w:rsidRDefault="00572995" w:rsidP="00E8324D">
            <w:pPr>
              <w:pStyle w:val="Tablas"/>
              <w:rPr>
                <w:sz w:val="12"/>
                <w:szCs w:val="12"/>
              </w:rPr>
            </w:pPr>
            <w:r w:rsidRPr="00483EBE">
              <w:rPr>
                <w:sz w:val="12"/>
                <w:szCs w:val="12"/>
              </w:rPr>
              <w:t>SEBD</w:t>
            </w:r>
          </w:p>
        </w:tc>
      </w:tr>
      <w:tr w:rsidR="00572995" w:rsidRPr="00483EBE" w14:paraId="4D8554B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3BA8E40"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26EFD45D"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9B2C694" w14:textId="77777777" w:rsidR="00572995" w:rsidRPr="00483EBE" w:rsidRDefault="00572995" w:rsidP="00E8324D">
            <w:pPr>
              <w:pStyle w:val="Tablas"/>
              <w:rPr>
                <w:sz w:val="12"/>
                <w:szCs w:val="12"/>
              </w:rPr>
            </w:pPr>
            <w:r w:rsidRPr="00483EBE">
              <w:rPr>
                <w:sz w:val="12"/>
                <w:szCs w:val="12"/>
              </w:rPr>
              <w:t>$11,774</w:t>
            </w:r>
          </w:p>
        </w:tc>
        <w:tc>
          <w:tcPr>
            <w:tcW w:w="0" w:type="auto"/>
            <w:tcBorders>
              <w:top w:val="nil"/>
              <w:left w:val="nil"/>
              <w:bottom w:val="single" w:sz="4" w:space="0" w:color="auto"/>
              <w:right w:val="single" w:sz="4" w:space="0" w:color="auto"/>
            </w:tcBorders>
            <w:shd w:val="clear" w:color="auto" w:fill="auto"/>
            <w:vAlign w:val="center"/>
            <w:hideMark/>
          </w:tcPr>
          <w:p w14:paraId="3A7910F4" w14:textId="77777777" w:rsidR="00572995" w:rsidRPr="00483EBE" w:rsidRDefault="00572995" w:rsidP="00E8324D">
            <w:pPr>
              <w:pStyle w:val="Tablas"/>
              <w:rPr>
                <w:sz w:val="12"/>
                <w:szCs w:val="12"/>
              </w:rPr>
            </w:pPr>
            <w:r w:rsidRPr="00483EBE">
              <w:rPr>
                <w:sz w:val="12"/>
                <w:szCs w:val="12"/>
              </w:rPr>
              <w:t>$3,925</w:t>
            </w:r>
          </w:p>
        </w:tc>
        <w:tc>
          <w:tcPr>
            <w:tcW w:w="0" w:type="auto"/>
            <w:tcBorders>
              <w:top w:val="nil"/>
              <w:left w:val="nil"/>
              <w:bottom w:val="single" w:sz="4" w:space="0" w:color="auto"/>
              <w:right w:val="single" w:sz="4" w:space="0" w:color="auto"/>
            </w:tcBorders>
            <w:shd w:val="clear" w:color="auto" w:fill="auto"/>
            <w:vAlign w:val="center"/>
            <w:hideMark/>
          </w:tcPr>
          <w:p w14:paraId="518C3DC7" w14:textId="77777777" w:rsidR="00572995" w:rsidRPr="00483EBE" w:rsidRDefault="00572995" w:rsidP="00E8324D">
            <w:pPr>
              <w:pStyle w:val="Tablas"/>
              <w:rPr>
                <w:sz w:val="12"/>
                <w:szCs w:val="12"/>
              </w:rPr>
            </w:pPr>
            <w:r w:rsidRPr="00483EBE">
              <w:rPr>
                <w:sz w:val="12"/>
                <w:szCs w:val="12"/>
              </w:rPr>
              <w:t>$327</w:t>
            </w:r>
          </w:p>
        </w:tc>
        <w:tc>
          <w:tcPr>
            <w:tcW w:w="0" w:type="auto"/>
            <w:tcBorders>
              <w:top w:val="nil"/>
              <w:left w:val="nil"/>
              <w:bottom w:val="single" w:sz="4" w:space="0" w:color="auto"/>
              <w:right w:val="single" w:sz="4" w:space="0" w:color="auto"/>
            </w:tcBorders>
            <w:shd w:val="clear" w:color="auto" w:fill="auto"/>
            <w:vAlign w:val="center"/>
            <w:hideMark/>
          </w:tcPr>
          <w:p w14:paraId="0C2ACCAB" w14:textId="77777777" w:rsidR="00572995" w:rsidRPr="00483EBE" w:rsidRDefault="00572995" w:rsidP="00E8324D">
            <w:pPr>
              <w:pStyle w:val="Tablas"/>
              <w:rPr>
                <w:sz w:val="12"/>
                <w:szCs w:val="12"/>
              </w:rPr>
            </w:pPr>
            <w:r w:rsidRPr="00483EBE">
              <w:rPr>
                <w:sz w:val="12"/>
                <w:szCs w:val="12"/>
              </w:rPr>
              <w:t>VEJEZ TRABAJADORES BANANERAS</w:t>
            </w:r>
          </w:p>
        </w:tc>
        <w:tc>
          <w:tcPr>
            <w:tcW w:w="0" w:type="auto"/>
            <w:tcBorders>
              <w:top w:val="nil"/>
              <w:left w:val="nil"/>
              <w:bottom w:val="single" w:sz="4" w:space="0" w:color="auto"/>
              <w:right w:val="nil"/>
            </w:tcBorders>
            <w:shd w:val="clear" w:color="auto" w:fill="auto"/>
            <w:vAlign w:val="center"/>
            <w:hideMark/>
          </w:tcPr>
          <w:p w14:paraId="60FA79A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41940EE"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57DC8E5A"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434DECC2" w14:textId="77777777" w:rsidR="00572995" w:rsidRPr="00483EBE" w:rsidRDefault="00572995" w:rsidP="00E8324D">
            <w:pPr>
              <w:pStyle w:val="Tablas"/>
              <w:rPr>
                <w:sz w:val="12"/>
                <w:szCs w:val="12"/>
              </w:rPr>
            </w:pPr>
            <w:r w:rsidRPr="00483EBE">
              <w:rPr>
                <w:sz w:val="12"/>
                <w:szCs w:val="12"/>
              </w:rPr>
              <w:t>$14,439</w:t>
            </w:r>
          </w:p>
        </w:tc>
        <w:tc>
          <w:tcPr>
            <w:tcW w:w="0" w:type="auto"/>
            <w:tcBorders>
              <w:top w:val="nil"/>
              <w:left w:val="nil"/>
              <w:bottom w:val="single" w:sz="4" w:space="0" w:color="auto"/>
              <w:right w:val="single" w:sz="4" w:space="0" w:color="auto"/>
            </w:tcBorders>
            <w:shd w:val="clear" w:color="auto" w:fill="auto"/>
            <w:vAlign w:val="center"/>
            <w:hideMark/>
          </w:tcPr>
          <w:p w14:paraId="1F80B50E" w14:textId="77777777" w:rsidR="00572995" w:rsidRPr="00483EBE" w:rsidRDefault="00572995" w:rsidP="00E8324D">
            <w:pPr>
              <w:pStyle w:val="Tablas"/>
              <w:rPr>
                <w:sz w:val="12"/>
                <w:szCs w:val="12"/>
              </w:rPr>
            </w:pPr>
            <w:r w:rsidRPr="00483EBE">
              <w:rPr>
                <w:sz w:val="12"/>
                <w:szCs w:val="12"/>
              </w:rPr>
              <w:t>$1,203</w:t>
            </w:r>
          </w:p>
        </w:tc>
        <w:tc>
          <w:tcPr>
            <w:tcW w:w="0" w:type="auto"/>
            <w:tcBorders>
              <w:top w:val="nil"/>
              <w:left w:val="nil"/>
              <w:bottom w:val="single" w:sz="4" w:space="0" w:color="auto"/>
              <w:right w:val="single" w:sz="4" w:space="0" w:color="auto"/>
            </w:tcBorders>
            <w:shd w:val="clear" w:color="auto" w:fill="auto"/>
            <w:vAlign w:val="center"/>
            <w:hideMark/>
          </w:tcPr>
          <w:p w14:paraId="27AEA71D"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724DD2E2"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2EA00FA7" w14:textId="77777777" w:rsidR="00572995" w:rsidRPr="00483EBE" w:rsidRDefault="00572995" w:rsidP="00E8324D">
            <w:pPr>
              <w:pStyle w:val="Tablas"/>
              <w:rPr>
                <w:sz w:val="12"/>
                <w:szCs w:val="12"/>
              </w:rPr>
            </w:pPr>
            <w:r w:rsidRPr="00483EBE">
              <w:rPr>
                <w:sz w:val="12"/>
                <w:szCs w:val="12"/>
              </w:rPr>
              <w:t>SEBD</w:t>
            </w:r>
          </w:p>
        </w:tc>
      </w:tr>
      <w:tr w:rsidR="00572995" w:rsidRPr="00483EBE" w14:paraId="2F6C120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0F71D5"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5E8EB63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3F07063" w14:textId="77777777" w:rsidR="00572995" w:rsidRPr="00483EBE" w:rsidRDefault="00572995" w:rsidP="00E8324D">
            <w:pPr>
              <w:pStyle w:val="Tablas"/>
              <w:rPr>
                <w:sz w:val="12"/>
                <w:szCs w:val="12"/>
              </w:rPr>
            </w:pPr>
            <w:r w:rsidRPr="00483EBE">
              <w:rPr>
                <w:sz w:val="12"/>
                <w:szCs w:val="12"/>
              </w:rPr>
              <w:t>$9,696</w:t>
            </w:r>
          </w:p>
        </w:tc>
        <w:tc>
          <w:tcPr>
            <w:tcW w:w="0" w:type="auto"/>
            <w:tcBorders>
              <w:top w:val="nil"/>
              <w:left w:val="nil"/>
              <w:bottom w:val="single" w:sz="4" w:space="0" w:color="auto"/>
              <w:right w:val="single" w:sz="4" w:space="0" w:color="auto"/>
            </w:tcBorders>
            <w:shd w:val="clear" w:color="auto" w:fill="auto"/>
            <w:vAlign w:val="center"/>
            <w:hideMark/>
          </w:tcPr>
          <w:p w14:paraId="5A143FBC" w14:textId="77777777" w:rsidR="00572995" w:rsidRPr="00483EBE" w:rsidRDefault="00572995" w:rsidP="00E8324D">
            <w:pPr>
              <w:pStyle w:val="Tablas"/>
              <w:rPr>
                <w:sz w:val="12"/>
                <w:szCs w:val="12"/>
              </w:rPr>
            </w:pPr>
            <w:r w:rsidRPr="00483EBE">
              <w:rPr>
                <w:sz w:val="12"/>
                <w:szCs w:val="12"/>
              </w:rPr>
              <w:t>$4,848</w:t>
            </w:r>
          </w:p>
        </w:tc>
        <w:tc>
          <w:tcPr>
            <w:tcW w:w="0" w:type="auto"/>
            <w:tcBorders>
              <w:top w:val="nil"/>
              <w:left w:val="nil"/>
              <w:bottom w:val="single" w:sz="4" w:space="0" w:color="auto"/>
              <w:right w:val="single" w:sz="4" w:space="0" w:color="auto"/>
            </w:tcBorders>
            <w:shd w:val="clear" w:color="auto" w:fill="auto"/>
            <w:vAlign w:val="center"/>
            <w:hideMark/>
          </w:tcPr>
          <w:p w14:paraId="55DDEADC" w14:textId="77777777" w:rsidR="00572995" w:rsidRPr="00483EBE" w:rsidRDefault="00572995" w:rsidP="00E8324D">
            <w:pPr>
              <w:pStyle w:val="Tablas"/>
              <w:rPr>
                <w:sz w:val="12"/>
                <w:szCs w:val="12"/>
              </w:rPr>
            </w:pPr>
            <w:r w:rsidRPr="00483EBE">
              <w:rPr>
                <w:sz w:val="12"/>
                <w:szCs w:val="12"/>
              </w:rPr>
              <w:t>$404</w:t>
            </w:r>
          </w:p>
        </w:tc>
        <w:tc>
          <w:tcPr>
            <w:tcW w:w="0" w:type="auto"/>
            <w:tcBorders>
              <w:top w:val="nil"/>
              <w:left w:val="nil"/>
              <w:bottom w:val="single" w:sz="4" w:space="0" w:color="auto"/>
              <w:right w:val="single" w:sz="4" w:space="0" w:color="auto"/>
            </w:tcBorders>
            <w:shd w:val="clear" w:color="auto" w:fill="auto"/>
            <w:vAlign w:val="center"/>
            <w:hideMark/>
          </w:tcPr>
          <w:p w14:paraId="3D87D26A" w14:textId="77777777" w:rsidR="00572995" w:rsidRPr="00483EBE" w:rsidRDefault="00572995" w:rsidP="00E8324D">
            <w:pPr>
              <w:pStyle w:val="Tablas"/>
              <w:rPr>
                <w:sz w:val="12"/>
                <w:szCs w:val="12"/>
              </w:rPr>
            </w:pPr>
            <w:r w:rsidRPr="00483EBE">
              <w:rPr>
                <w:sz w:val="12"/>
                <w:szCs w:val="12"/>
              </w:rPr>
              <w:t>VEJEZ TRABAJADORES BANANERAS</w:t>
            </w:r>
          </w:p>
        </w:tc>
        <w:tc>
          <w:tcPr>
            <w:tcW w:w="0" w:type="auto"/>
            <w:tcBorders>
              <w:top w:val="nil"/>
              <w:left w:val="nil"/>
              <w:bottom w:val="single" w:sz="4" w:space="0" w:color="auto"/>
              <w:right w:val="nil"/>
            </w:tcBorders>
            <w:shd w:val="clear" w:color="auto" w:fill="auto"/>
            <w:vAlign w:val="center"/>
            <w:hideMark/>
          </w:tcPr>
          <w:p w14:paraId="1E9FF3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5A55F2"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9A012C3"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CFC8168" w14:textId="77777777" w:rsidR="00572995" w:rsidRPr="00483EBE" w:rsidRDefault="00572995" w:rsidP="00E8324D">
            <w:pPr>
              <w:pStyle w:val="Tablas"/>
              <w:rPr>
                <w:sz w:val="12"/>
                <w:szCs w:val="12"/>
              </w:rPr>
            </w:pPr>
            <w:r w:rsidRPr="00483EBE">
              <w:rPr>
                <w:sz w:val="12"/>
                <w:szCs w:val="12"/>
              </w:rPr>
              <w:t>$7,006</w:t>
            </w:r>
          </w:p>
        </w:tc>
        <w:tc>
          <w:tcPr>
            <w:tcW w:w="0" w:type="auto"/>
            <w:tcBorders>
              <w:top w:val="nil"/>
              <w:left w:val="nil"/>
              <w:bottom w:val="single" w:sz="4" w:space="0" w:color="auto"/>
              <w:right w:val="single" w:sz="4" w:space="0" w:color="auto"/>
            </w:tcBorders>
            <w:shd w:val="clear" w:color="auto" w:fill="auto"/>
            <w:vAlign w:val="center"/>
            <w:hideMark/>
          </w:tcPr>
          <w:p w14:paraId="6DFD3FF4" w14:textId="77777777" w:rsidR="00572995" w:rsidRPr="00483EBE" w:rsidRDefault="00572995" w:rsidP="00E8324D">
            <w:pPr>
              <w:pStyle w:val="Tablas"/>
              <w:rPr>
                <w:sz w:val="12"/>
                <w:szCs w:val="12"/>
              </w:rPr>
            </w:pPr>
            <w:r w:rsidRPr="00483EBE">
              <w:rPr>
                <w:sz w:val="12"/>
                <w:szCs w:val="12"/>
              </w:rPr>
              <w:t>$1,001</w:t>
            </w:r>
          </w:p>
        </w:tc>
        <w:tc>
          <w:tcPr>
            <w:tcW w:w="0" w:type="auto"/>
            <w:tcBorders>
              <w:top w:val="nil"/>
              <w:left w:val="nil"/>
              <w:bottom w:val="single" w:sz="4" w:space="0" w:color="auto"/>
              <w:right w:val="single" w:sz="4" w:space="0" w:color="auto"/>
            </w:tcBorders>
            <w:shd w:val="clear" w:color="auto" w:fill="auto"/>
            <w:vAlign w:val="center"/>
            <w:hideMark/>
          </w:tcPr>
          <w:p w14:paraId="278B774B"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C6C3145"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4DAAE04F" w14:textId="77777777" w:rsidR="00572995" w:rsidRPr="00483EBE" w:rsidRDefault="00572995" w:rsidP="00E8324D">
            <w:pPr>
              <w:pStyle w:val="Tablas"/>
              <w:rPr>
                <w:sz w:val="12"/>
                <w:szCs w:val="12"/>
              </w:rPr>
            </w:pPr>
            <w:r w:rsidRPr="00483EBE">
              <w:rPr>
                <w:sz w:val="12"/>
                <w:szCs w:val="12"/>
              </w:rPr>
              <w:t>SEBD</w:t>
            </w:r>
          </w:p>
        </w:tc>
      </w:tr>
      <w:tr w:rsidR="00572995" w:rsidRPr="00483EBE" w14:paraId="26248FA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FCCD37"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0059B10B"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0BE9A25B" w14:textId="77777777" w:rsidR="00572995" w:rsidRPr="00483EBE" w:rsidRDefault="00572995" w:rsidP="00E8324D">
            <w:pPr>
              <w:pStyle w:val="Tablas"/>
              <w:rPr>
                <w:sz w:val="12"/>
                <w:szCs w:val="12"/>
              </w:rPr>
            </w:pPr>
            <w:r w:rsidRPr="00483EBE">
              <w:rPr>
                <w:sz w:val="12"/>
                <w:szCs w:val="12"/>
              </w:rPr>
              <w:t>$28,042</w:t>
            </w:r>
          </w:p>
        </w:tc>
        <w:tc>
          <w:tcPr>
            <w:tcW w:w="0" w:type="auto"/>
            <w:tcBorders>
              <w:top w:val="nil"/>
              <w:left w:val="nil"/>
              <w:bottom w:val="single" w:sz="4" w:space="0" w:color="auto"/>
              <w:right w:val="single" w:sz="4" w:space="0" w:color="auto"/>
            </w:tcBorders>
            <w:shd w:val="clear" w:color="auto" w:fill="auto"/>
            <w:vAlign w:val="center"/>
            <w:hideMark/>
          </w:tcPr>
          <w:p w14:paraId="1D0628BF" w14:textId="77777777" w:rsidR="00572995" w:rsidRPr="00483EBE" w:rsidRDefault="00572995" w:rsidP="00E8324D">
            <w:pPr>
              <w:pStyle w:val="Tablas"/>
              <w:rPr>
                <w:sz w:val="12"/>
                <w:szCs w:val="12"/>
              </w:rPr>
            </w:pPr>
            <w:r w:rsidRPr="00483EBE">
              <w:rPr>
                <w:sz w:val="12"/>
                <w:szCs w:val="12"/>
              </w:rPr>
              <w:t>$4,674</w:t>
            </w:r>
          </w:p>
        </w:tc>
        <w:tc>
          <w:tcPr>
            <w:tcW w:w="0" w:type="auto"/>
            <w:tcBorders>
              <w:top w:val="nil"/>
              <w:left w:val="nil"/>
              <w:bottom w:val="single" w:sz="4" w:space="0" w:color="auto"/>
              <w:right w:val="single" w:sz="4" w:space="0" w:color="auto"/>
            </w:tcBorders>
            <w:shd w:val="clear" w:color="auto" w:fill="auto"/>
            <w:vAlign w:val="center"/>
            <w:hideMark/>
          </w:tcPr>
          <w:p w14:paraId="1055E545" w14:textId="77777777" w:rsidR="00572995" w:rsidRPr="00483EBE" w:rsidRDefault="00572995" w:rsidP="00E8324D">
            <w:pPr>
              <w:pStyle w:val="Tablas"/>
              <w:rPr>
                <w:sz w:val="12"/>
                <w:szCs w:val="12"/>
              </w:rPr>
            </w:pPr>
            <w:r w:rsidRPr="00483EBE">
              <w:rPr>
                <w:sz w:val="12"/>
                <w:szCs w:val="12"/>
              </w:rPr>
              <w:t>$389</w:t>
            </w:r>
          </w:p>
        </w:tc>
        <w:tc>
          <w:tcPr>
            <w:tcW w:w="0" w:type="auto"/>
            <w:tcBorders>
              <w:top w:val="nil"/>
              <w:left w:val="nil"/>
              <w:bottom w:val="single" w:sz="4" w:space="0" w:color="auto"/>
              <w:right w:val="single" w:sz="4" w:space="0" w:color="auto"/>
            </w:tcBorders>
            <w:shd w:val="clear" w:color="auto" w:fill="auto"/>
            <w:vAlign w:val="center"/>
            <w:hideMark/>
          </w:tcPr>
          <w:p w14:paraId="4A49540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A289AF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2CCF95B"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0C86B775"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738BB1B" w14:textId="77777777" w:rsidR="00572995" w:rsidRPr="00483EBE" w:rsidRDefault="00572995" w:rsidP="00E8324D">
            <w:pPr>
              <w:pStyle w:val="Tablas"/>
              <w:rPr>
                <w:sz w:val="12"/>
                <w:szCs w:val="12"/>
              </w:rPr>
            </w:pPr>
            <w:r w:rsidRPr="00483EBE">
              <w:rPr>
                <w:sz w:val="12"/>
                <w:szCs w:val="12"/>
              </w:rPr>
              <w:t>$7,402</w:t>
            </w:r>
          </w:p>
        </w:tc>
        <w:tc>
          <w:tcPr>
            <w:tcW w:w="0" w:type="auto"/>
            <w:tcBorders>
              <w:top w:val="nil"/>
              <w:left w:val="nil"/>
              <w:bottom w:val="single" w:sz="4" w:space="0" w:color="auto"/>
              <w:right w:val="single" w:sz="4" w:space="0" w:color="auto"/>
            </w:tcBorders>
            <w:shd w:val="clear" w:color="auto" w:fill="auto"/>
            <w:vAlign w:val="center"/>
            <w:hideMark/>
          </w:tcPr>
          <w:p w14:paraId="466EBCBC" w14:textId="77777777" w:rsidR="00572995" w:rsidRPr="00483EBE" w:rsidRDefault="00572995" w:rsidP="00E8324D">
            <w:pPr>
              <w:pStyle w:val="Tablas"/>
              <w:rPr>
                <w:sz w:val="12"/>
                <w:szCs w:val="12"/>
              </w:rPr>
            </w:pPr>
            <w:r w:rsidRPr="00483EBE">
              <w:rPr>
                <w:sz w:val="12"/>
                <w:szCs w:val="12"/>
              </w:rPr>
              <w:t>$1,057</w:t>
            </w:r>
          </w:p>
        </w:tc>
        <w:tc>
          <w:tcPr>
            <w:tcW w:w="0" w:type="auto"/>
            <w:tcBorders>
              <w:top w:val="nil"/>
              <w:left w:val="nil"/>
              <w:bottom w:val="single" w:sz="4" w:space="0" w:color="auto"/>
              <w:right w:val="single" w:sz="4" w:space="0" w:color="auto"/>
            </w:tcBorders>
            <w:shd w:val="clear" w:color="auto" w:fill="auto"/>
            <w:vAlign w:val="center"/>
            <w:hideMark/>
          </w:tcPr>
          <w:p w14:paraId="214B6342"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642BACCC"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7A90F56F" w14:textId="77777777" w:rsidR="00572995" w:rsidRPr="00483EBE" w:rsidRDefault="00572995" w:rsidP="00E8324D">
            <w:pPr>
              <w:pStyle w:val="Tablas"/>
              <w:rPr>
                <w:sz w:val="12"/>
                <w:szCs w:val="12"/>
              </w:rPr>
            </w:pPr>
            <w:r w:rsidRPr="00483EBE">
              <w:rPr>
                <w:sz w:val="12"/>
                <w:szCs w:val="12"/>
              </w:rPr>
              <w:t>SEBD</w:t>
            </w:r>
          </w:p>
        </w:tc>
      </w:tr>
      <w:tr w:rsidR="00572995" w:rsidRPr="00483EBE" w14:paraId="7F49EB4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3A88622"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532EBF96"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4378B349" w14:textId="77777777" w:rsidR="00572995" w:rsidRPr="00483EBE" w:rsidRDefault="00572995" w:rsidP="00E8324D">
            <w:pPr>
              <w:pStyle w:val="Tablas"/>
              <w:rPr>
                <w:sz w:val="12"/>
                <w:szCs w:val="12"/>
              </w:rPr>
            </w:pPr>
            <w:r w:rsidRPr="00483EBE">
              <w:rPr>
                <w:sz w:val="12"/>
                <w:szCs w:val="12"/>
              </w:rPr>
              <w:t>$24,020</w:t>
            </w:r>
          </w:p>
        </w:tc>
        <w:tc>
          <w:tcPr>
            <w:tcW w:w="0" w:type="auto"/>
            <w:tcBorders>
              <w:top w:val="nil"/>
              <w:left w:val="nil"/>
              <w:bottom w:val="single" w:sz="4" w:space="0" w:color="auto"/>
              <w:right w:val="single" w:sz="4" w:space="0" w:color="auto"/>
            </w:tcBorders>
            <w:shd w:val="clear" w:color="auto" w:fill="auto"/>
            <w:vAlign w:val="center"/>
            <w:hideMark/>
          </w:tcPr>
          <w:p w14:paraId="0882D08A" w14:textId="77777777" w:rsidR="00572995" w:rsidRPr="00483EBE" w:rsidRDefault="00572995" w:rsidP="00E8324D">
            <w:pPr>
              <w:pStyle w:val="Tablas"/>
              <w:rPr>
                <w:sz w:val="12"/>
                <w:szCs w:val="12"/>
              </w:rPr>
            </w:pPr>
            <w:r w:rsidRPr="00483EBE">
              <w:rPr>
                <w:sz w:val="12"/>
                <w:szCs w:val="12"/>
              </w:rPr>
              <w:t>$4,003</w:t>
            </w:r>
          </w:p>
        </w:tc>
        <w:tc>
          <w:tcPr>
            <w:tcW w:w="0" w:type="auto"/>
            <w:tcBorders>
              <w:top w:val="nil"/>
              <w:left w:val="nil"/>
              <w:bottom w:val="single" w:sz="4" w:space="0" w:color="auto"/>
              <w:right w:val="single" w:sz="4" w:space="0" w:color="auto"/>
            </w:tcBorders>
            <w:shd w:val="clear" w:color="auto" w:fill="auto"/>
            <w:vAlign w:val="center"/>
            <w:hideMark/>
          </w:tcPr>
          <w:p w14:paraId="1D86E985" w14:textId="77777777" w:rsidR="00572995" w:rsidRPr="00483EBE" w:rsidRDefault="00572995" w:rsidP="00E8324D">
            <w:pPr>
              <w:pStyle w:val="Tablas"/>
              <w:rPr>
                <w:sz w:val="12"/>
                <w:szCs w:val="12"/>
              </w:rPr>
            </w:pPr>
            <w:r w:rsidRPr="00483EBE">
              <w:rPr>
                <w:sz w:val="12"/>
                <w:szCs w:val="12"/>
              </w:rPr>
              <w:t>$334</w:t>
            </w:r>
          </w:p>
        </w:tc>
        <w:tc>
          <w:tcPr>
            <w:tcW w:w="0" w:type="auto"/>
            <w:tcBorders>
              <w:top w:val="nil"/>
              <w:left w:val="nil"/>
              <w:bottom w:val="single" w:sz="4" w:space="0" w:color="auto"/>
              <w:right w:val="single" w:sz="4" w:space="0" w:color="auto"/>
            </w:tcBorders>
            <w:shd w:val="clear" w:color="auto" w:fill="auto"/>
            <w:vAlign w:val="center"/>
            <w:hideMark/>
          </w:tcPr>
          <w:p w14:paraId="5BB94D4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ED7C02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F3FDBF"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5C5A7734"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159BF889" w14:textId="77777777" w:rsidR="00572995" w:rsidRPr="00483EBE" w:rsidRDefault="00572995" w:rsidP="00E8324D">
            <w:pPr>
              <w:pStyle w:val="Tablas"/>
              <w:rPr>
                <w:sz w:val="12"/>
                <w:szCs w:val="12"/>
              </w:rPr>
            </w:pPr>
            <w:r w:rsidRPr="00483EBE">
              <w:rPr>
                <w:sz w:val="12"/>
                <w:szCs w:val="12"/>
              </w:rPr>
              <w:t>$7,785</w:t>
            </w:r>
          </w:p>
        </w:tc>
        <w:tc>
          <w:tcPr>
            <w:tcW w:w="0" w:type="auto"/>
            <w:tcBorders>
              <w:top w:val="nil"/>
              <w:left w:val="nil"/>
              <w:bottom w:val="single" w:sz="4" w:space="0" w:color="auto"/>
              <w:right w:val="single" w:sz="4" w:space="0" w:color="auto"/>
            </w:tcBorders>
            <w:shd w:val="clear" w:color="auto" w:fill="auto"/>
            <w:vAlign w:val="center"/>
            <w:hideMark/>
          </w:tcPr>
          <w:p w14:paraId="1B9A4FCD" w14:textId="77777777" w:rsidR="00572995" w:rsidRPr="00483EBE" w:rsidRDefault="00572995" w:rsidP="00E8324D">
            <w:pPr>
              <w:pStyle w:val="Tablas"/>
              <w:rPr>
                <w:sz w:val="12"/>
                <w:szCs w:val="12"/>
              </w:rPr>
            </w:pPr>
            <w:r w:rsidRPr="00483EBE">
              <w:rPr>
                <w:sz w:val="12"/>
                <w:szCs w:val="12"/>
              </w:rPr>
              <w:t>$1,297</w:t>
            </w:r>
          </w:p>
        </w:tc>
        <w:tc>
          <w:tcPr>
            <w:tcW w:w="0" w:type="auto"/>
            <w:tcBorders>
              <w:top w:val="nil"/>
              <w:left w:val="nil"/>
              <w:bottom w:val="single" w:sz="4" w:space="0" w:color="auto"/>
              <w:right w:val="single" w:sz="4" w:space="0" w:color="auto"/>
            </w:tcBorders>
            <w:shd w:val="clear" w:color="auto" w:fill="auto"/>
            <w:vAlign w:val="center"/>
            <w:hideMark/>
          </w:tcPr>
          <w:p w14:paraId="09F42F83"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77CF655D"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6A70AA80" w14:textId="77777777" w:rsidR="00572995" w:rsidRPr="00483EBE" w:rsidRDefault="00572995" w:rsidP="00E8324D">
            <w:pPr>
              <w:pStyle w:val="Tablas"/>
              <w:rPr>
                <w:sz w:val="12"/>
                <w:szCs w:val="12"/>
              </w:rPr>
            </w:pPr>
            <w:r w:rsidRPr="00483EBE">
              <w:rPr>
                <w:sz w:val="12"/>
                <w:szCs w:val="12"/>
              </w:rPr>
              <w:t>SEBD</w:t>
            </w:r>
          </w:p>
        </w:tc>
      </w:tr>
      <w:tr w:rsidR="00572995" w:rsidRPr="00483EBE" w14:paraId="35361BE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D50460"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7415A639"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7D96C041" w14:textId="77777777" w:rsidR="00572995" w:rsidRPr="00483EBE" w:rsidRDefault="00572995" w:rsidP="00E8324D">
            <w:pPr>
              <w:pStyle w:val="Tablas"/>
              <w:rPr>
                <w:sz w:val="12"/>
                <w:szCs w:val="12"/>
              </w:rPr>
            </w:pPr>
            <w:r w:rsidRPr="00483EBE">
              <w:rPr>
                <w:sz w:val="12"/>
                <w:szCs w:val="12"/>
              </w:rPr>
              <w:t>$23,850</w:t>
            </w:r>
          </w:p>
        </w:tc>
        <w:tc>
          <w:tcPr>
            <w:tcW w:w="0" w:type="auto"/>
            <w:tcBorders>
              <w:top w:val="nil"/>
              <w:left w:val="nil"/>
              <w:bottom w:val="single" w:sz="4" w:space="0" w:color="auto"/>
              <w:right w:val="single" w:sz="4" w:space="0" w:color="auto"/>
            </w:tcBorders>
            <w:shd w:val="clear" w:color="auto" w:fill="auto"/>
            <w:vAlign w:val="center"/>
            <w:hideMark/>
          </w:tcPr>
          <w:p w14:paraId="1B5A7F04" w14:textId="77777777" w:rsidR="00572995" w:rsidRPr="00483EBE" w:rsidRDefault="00572995" w:rsidP="00E8324D">
            <w:pPr>
              <w:pStyle w:val="Tablas"/>
              <w:rPr>
                <w:sz w:val="12"/>
                <w:szCs w:val="12"/>
              </w:rPr>
            </w:pPr>
            <w:r w:rsidRPr="00483EBE">
              <w:rPr>
                <w:sz w:val="12"/>
                <w:szCs w:val="12"/>
              </w:rPr>
              <w:t>$3,975</w:t>
            </w:r>
          </w:p>
        </w:tc>
        <w:tc>
          <w:tcPr>
            <w:tcW w:w="0" w:type="auto"/>
            <w:tcBorders>
              <w:top w:val="nil"/>
              <w:left w:val="nil"/>
              <w:bottom w:val="single" w:sz="4" w:space="0" w:color="auto"/>
              <w:right w:val="single" w:sz="4" w:space="0" w:color="auto"/>
            </w:tcBorders>
            <w:shd w:val="clear" w:color="auto" w:fill="auto"/>
            <w:vAlign w:val="center"/>
            <w:hideMark/>
          </w:tcPr>
          <w:p w14:paraId="79C78A9A" w14:textId="77777777" w:rsidR="00572995" w:rsidRPr="00483EBE" w:rsidRDefault="00572995" w:rsidP="00E8324D">
            <w:pPr>
              <w:pStyle w:val="Tablas"/>
              <w:rPr>
                <w:sz w:val="12"/>
                <w:szCs w:val="12"/>
              </w:rPr>
            </w:pPr>
            <w:r w:rsidRPr="00483EBE">
              <w:rPr>
                <w:sz w:val="12"/>
                <w:szCs w:val="12"/>
              </w:rPr>
              <w:t>$331</w:t>
            </w:r>
          </w:p>
        </w:tc>
        <w:tc>
          <w:tcPr>
            <w:tcW w:w="0" w:type="auto"/>
            <w:tcBorders>
              <w:top w:val="nil"/>
              <w:left w:val="nil"/>
              <w:bottom w:val="single" w:sz="4" w:space="0" w:color="auto"/>
              <w:right w:val="single" w:sz="4" w:space="0" w:color="auto"/>
            </w:tcBorders>
            <w:shd w:val="clear" w:color="auto" w:fill="auto"/>
            <w:vAlign w:val="center"/>
            <w:hideMark/>
          </w:tcPr>
          <w:p w14:paraId="771D2117"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38B65F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D3A341"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32AA505"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6097155" w14:textId="77777777" w:rsidR="00572995" w:rsidRPr="00483EBE" w:rsidRDefault="00572995" w:rsidP="00E8324D">
            <w:pPr>
              <w:pStyle w:val="Tablas"/>
              <w:rPr>
                <w:sz w:val="12"/>
                <w:szCs w:val="12"/>
              </w:rPr>
            </w:pPr>
            <w:r w:rsidRPr="00483EBE">
              <w:rPr>
                <w:sz w:val="12"/>
                <w:szCs w:val="12"/>
              </w:rPr>
              <w:t>$3,697</w:t>
            </w:r>
          </w:p>
        </w:tc>
        <w:tc>
          <w:tcPr>
            <w:tcW w:w="0" w:type="auto"/>
            <w:tcBorders>
              <w:top w:val="nil"/>
              <w:left w:val="nil"/>
              <w:bottom w:val="single" w:sz="4" w:space="0" w:color="auto"/>
              <w:right w:val="single" w:sz="4" w:space="0" w:color="auto"/>
            </w:tcBorders>
            <w:shd w:val="clear" w:color="auto" w:fill="auto"/>
            <w:vAlign w:val="center"/>
            <w:hideMark/>
          </w:tcPr>
          <w:p w14:paraId="234D8C6B" w14:textId="77777777" w:rsidR="00572995" w:rsidRPr="00483EBE" w:rsidRDefault="00572995" w:rsidP="00E8324D">
            <w:pPr>
              <w:pStyle w:val="Tablas"/>
              <w:rPr>
                <w:sz w:val="12"/>
                <w:szCs w:val="12"/>
              </w:rPr>
            </w:pPr>
            <w:r w:rsidRPr="00483EBE">
              <w:rPr>
                <w:sz w:val="12"/>
                <w:szCs w:val="12"/>
              </w:rPr>
              <w:t>$1,232</w:t>
            </w:r>
          </w:p>
        </w:tc>
        <w:tc>
          <w:tcPr>
            <w:tcW w:w="0" w:type="auto"/>
            <w:tcBorders>
              <w:top w:val="nil"/>
              <w:left w:val="nil"/>
              <w:bottom w:val="single" w:sz="4" w:space="0" w:color="auto"/>
              <w:right w:val="single" w:sz="4" w:space="0" w:color="auto"/>
            </w:tcBorders>
            <w:shd w:val="clear" w:color="auto" w:fill="auto"/>
            <w:vAlign w:val="center"/>
            <w:hideMark/>
          </w:tcPr>
          <w:p w14:paraId="7110A3BC"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26664C59"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3D8BBF49" w14:textId="77777777" w:rsidR="00572995" w:rsidRPr="00483EBE" w:rsidRDefault="00572995" w:rsidP="00E8324D">
            <w:pPr>
              <w:pStyle w:val="Tablas"/>
              <w:rPr>
                <w:sz w:val="12"/>
                <w:szCs w:val="12"/>
              </w:rPr>
            </w:pPr>
            <w:r w:rsidRPr="00483EBE">
              <w:rPr>
                <w:sz w:val="12"/>
                <w:szCs w:val="12"/>
              </w:rPr>
              <w:t>SEBD</w:t>
            </w:r>
          </w:p>
        </w:tc>
      </w:tr>
      <w:tr w:rsidR="00572995" w:rsidRPr="00483EBE" w14:paraId="6AF614C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D93239"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6268B595"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660AFF27" w14:textId="77777777" w:rsidR="00572995" w:rsidRPr="00483EBE" w:rsidRDefault="00572995" w:rsidP="00E8324D">
            <w:pPr>
              <w:pStyle w:val="Tablas"/>
              <w:rPr>
                <w:sz w:val="12"/>
                <w:szCs w:val="12"/>
              </w:rPr>
            </w:pPr>
            <w:r w:rsidRPr="00483EBE">
              <w:rPr>
                <w:sz w:val="12"/>
                <w:szCs w:val="12"/>
              </w:rPr>
              <w:t>$55,393</w:t>
            </w:r>
          </w:p>
        </w:tc>
        <w:tc>
          <w:tcPr>
            <w:tcW w:w="0" w:type="auto"/>
            <w:tcBorders>
              <w:top w:val="nil"/>
              <w:left w:val="nil"/>
              <w:bottom w:val="single" w:sz="4" w:space="0" w:color="auto"/>
              <w:right w:val="single" w:sz="4" w:space="0" w:color="auto"/>
            </w:tcBorders>
            <w:shd w:val="clear" w:color="auto" w:fill="auto"/>
            <w:vAlign w:val="center"/>
            <w:hideMark/>
          </w:tcPr>
          <w:p w14:paraId="4EEB55D5" w14:textId="77777777" w:rsidR="00572995" w:rsidRPr="00483EBE" w:rsidRDefault="00572995" w:rsidP="00E8324D">
            <w:pPr>
              <w:pStyle w:val="Tablas"/>
              <w:rPr>
                <w:sz w:val="12"/>
                <w:szCs w:val="12"/>
              </w:rPr>
            </w:pPr>
            <w:r w:rsidRPr="00483EBE">
              <w:rPr>
                <w:sz w:val="12"/>
                <w:szCs w:val="12"/>
              </w:rPr>
              <w:t>$4,261</w:t>
            </w:r>
          </w:p>
        </w:tc>
        <w:tc>
          <w:tcPr>
            <w:tcW w:w="0" w:type="auto"/>
            <w:tcBorders>
              <w:top w:val="nil"/>
              <w:left w:val="nil"/>
              <w:bottom w:val="single" w:sz="4" w:space="0" w:color="auto"/>
              <w:right w:val="single" w:sz="4" w:space="0" w:color="auto"/>
            </w:tcBorders>
            <w:shd w:val="clear" w:color="auto" w:fill="auto"/>
            <w:vAlign w:val="center"/>
            <w:hideMark/>
          </w:tcPr>
          <w:p w14:paraId="35489DFA" w14:textId="77777777" w:rsidR="00572995" w:rsidRPr="00483EBE" w:rsidRDefault="00572995" w:rsidP="00E8324D">
            <w:pPr>
              <w:pStyle w:val="Tablas"/>
              <w:rPr>
                <w:sz w:val="12"/>
                <w:szCs w:val="12"/>
              </w:rPr>
            </w:pPr>
            <w:r w:rsidRPr="00483EBE">
              <w:rPr>
                <w:sz w:val="12"/>
                <w:szCs w:val="12"/>
              </w:rPr>
              <w:t>$355</w:t>
            </w:r>
          </w:p>
        </w:tc>
        <w:tc>
          <w:tcPr>
            <w:tcW w:w="0" w:type="auto"/>
            <w:tcBorders>
              <w:top w:val="nil"/>
              <w:left w:val="nil"/>
              <w:bottom w:val="single" w:sz="4" w:space="0" w:color="auto"/>
              <w:right w:val="single" w:sz="4" w:space="0" w:color="auto"/>
            </w:tcBorders>
            <w:shd w:val="clear" w:color="auto" w:fill="auto"/>
            <w:vAlign w:val="center"/>
            <w:hideMark/>
          </w:tcPr>
          <w:p w14:paraId="3DE1523E"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81CE6E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D1C463"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2567FFD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1CE3724" w14:textId="77777777" w:rsidR="00572995" w:rsidRPr="00483EBE" w:rsidRDefault="00572995" w:rsidP="00E8324D">
            <w:pPr>
              <w:pStyle w:val="Tablas"/>
              <w:rPr>
                <w:sz w:val="12"/>
                <w:szCs w:val="12"/>
              </w:rPr>
            </w:pPr>
            <w:r w:rsidRPr="00483EBE">
              <w:rPr>
                <w:sz w:val="12"/>
                <w:szCs w:val="12"/>
              </w:rPr>
              <w:t>$1,418</w:t>
            </w:r>
          </w:p>
        </w:tc>
        <w:tc>
          <w:tcPr>
            <w:tcW w:w="0" w:type="auto"/>
            <w:tcBorders>
              <w:top w:val="nil"/>
              <w:left w:val="nil"/>
              <w:bottom w:val="single" w:sz="4" w:space="0" w:color="auto"/>
              <w:right w:val="single" w:sz="4" w:space="0" w:color="auto"/>
            </w:tcBorders>
            <w:shd w:val="clear" w:color="auto" w:fill="auto"/>
            <w:vAlign w:val="center"/>
            <w:hideMark/>
          </w:tcPr>
          <w:p w14:paraId="7F2632B8" w14:textId="77777777" w:rsidR="00572995" w:rsidRPr="00483EBE" w:rsidRDefault="00572995" w:rsidP="00E8324D">
            <w:pPr>
              <w:pStyle w:val="Tablas"/>
              <w:rPr>
                <w:sz w:val="12"/>
                <w:szCs w:val="12"/>
              </w:rPr>
            </w:pPr>
            <w:r w:rsidRPr="00483EBE">
              <w:rPr>
                <w:sz w:val="12"/>
                <w:szCs w:val="12"/>
              </w:rPr>
              <w:t>$1,418</w:t>
            </w:r>
          </w:p>
        </w:tc>
        <w:tc>
          <w:tcPr>
            <w:tcW w:w="0" w:type="auto"/>
            <w:tcBorders>
              <w:top w:val="nil"/>
              <w:left w:val="nil"/>
              <w:bottom w:val="single" w:sz="4" w:space="0" w:color="auto"/>
              <w:right w:val="single" w:sz="4" w:space="0" w:color="auto"/>
            </w:tcBorders>
            <w:shd w:val="clear" w:color="auto" w:fill="auto"/>
            <w:vAlign w:val="center"/>
            <w:hideMark/>
          </w:tcPr>
          <w:p w14:paraId="7774CA75"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5687D008"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3344A18B" w14:textId="77777777" w:rsidR="00572995" w:rsidRPr="00483EBE" w:rsidRDefault="00572995" w:rsidP="00E8324D">
            <w:pPr>
              <w:pStyle w:val="Tablas"/>
              <w:rPr>
                <w:sz w:val="12"/>
                <w:szCs w:val="12"/>
              </w:rPr>
            </w:pPr>
            <w:r w:rsidRPr="00483EBE">
              <w:rPr>
                <w:sz w:val="12"/>
                <w:szCs w:val="12"/>
              </w:rPr>
              <w:t>SEBD</w:t>
            </w:r>
          </w:p>
        </w:tc>
      </w:tr>
      <w:tr w:rsidR="00572995" w:rsidRPr="00483EBE" w14:paraId="3D76AEE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881AD6"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697A9061"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1E01D732" w14:textId="77777777" w:rsidR="00572995" w:rsidRPr="00483EBE" w:rsidRDefault="00572995" w:rsidP="00E8324D">
            <w:pPr>
              <w:pStyle w:val="Tablas"/>
              <w:rPr>
                <w:sz w:val="12"/>
                <w:szCs w:val="12"/>
              </w:rPr>
            </w:pPr>
            <w:r w:rsidRPr="00483EBE">
              <w:rPr>
                <w:sz w:val="12"/>
                <w:szCs w:val="12"/>
              </w:rPr>
              <w:t>$39,005</w:t>
            </w:r>
          </w:p>
        </w:tc>
        <w:tc>
          <w:tcPr>
            <w:tcW w:w="0" w:type="auto"/>
            <w:tcBorders>
              <w:top w:val="nil"/>
              <w:left w:val="nil"/>
              <w:bottom w:val="single" w:sz="4" w:space="0" w:color="auto"/>
              <w:right w:val="single" w:sz="4" w:space="0" w:color="auto"/>
            </w:tcBorders>
            <w:shd w:val="clear" w:color="auto" w:fill="auto"/>
            <w:vAlign w:val="center"/>
            <w:hideMark/>
          </w:tcPr>
          <w:p w14:paraId="47A9599A" w14:textId="77777777" w:rsidR="00572995" w:rsidRPr="00483EBE" w:rsidRDefault="00572995" w:rsidP="00E8324D">
            <w:pPr>
              <w:pStyle w:val="Tablas"/>
              <w:rPr>
                <w:sz w:val="12"/>
                <w:szCs w:val="12"/>
              </w:rPr>
            </w:pPr>
            <w:r w:rsidRPr="00483EBE">
              <w:rPr>
                <w:sz w:val="12"/>
                <w:szCs w:val="12"/>
              </w:rPr>
              <w:t>$3,900</w:t>
            </w:r>
          </w:p>
        </w:tc>
        <w:tc>
          <w:tcPr>
            <w:tcW w:w="0" w:type="auto"/>
            <w:tcBorders>
              <w:top w:val="nil"/>
              <w:left w:val="nil"/>
              <w:bottom w:val="single" w:sz="4" w:space="0" w:color="auto"/>
              <w:right w:val="single" w:sz="4" w:space="0" w:color="auto"/>
            </w:tcBorders>
            <w:shd w:val="clear" w:color="auto" w:fill="auto"/>
            <w:vAlign w:val="center"/>
            <w:hideMark/>
          </w:tcPr>
          <w:p w14:paraId="46DF4AE0" w14:textId="77777777" w:rsidR="00572995" w:rsidRPr="00483EBE" w:rsidRDefault="00572995" w:rsidP="00E8324D">
            <w:pPr>
              <w:pStyle w:val="Tablas"/>
              <w:rPr>
                <w:sz w:val="12"/>
                <w:szCs w:val="12"/>
              </w:rPr>
            </w:pPr>
            <w:r w:rsidRPr="00483EBE">
              <w:rPr>
                <w:sz w:val="12"/>
                <w:szCs w:val="12"/>
              </w:rPr>
              <w:t>$325</w:t>
            </w:r>
          </w:p>
        </w:tc>
        <w:tc>
          <w:tcPr>
            <w:tcW w:w="0" w:type="auto"/>
            <w:tcBorders>
              <w:top w:val="nil"/>
              <w:left w:val="nil"/>
              <w:bottom w:val="single" w:sz="4" w:space="0" w:color="auto"/>
              <w:right w:val="single" w:sz="4" w:space="0" w:color="auto"/>
            </w:tcBorders>
            <w:shd w:val="clear" w:color="auto" w:fill="auto"/>
            <w:vAlign w:val="center"/>
            <w:hideMark/>
          </w:tcPr>
          <w:p w14:paraId="7F485CB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61A0DE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936781"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31F66F8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62108E0" w14:textId="77777777" w:rsidR="00572995" w:rsidRPr="00483EBE" w:rsidRDefault="00572995" w:rsidP="00E8324D">
            <w:pPr>
              <w:pStyle w:val="Tablas"/>
              <w:rPr>
                <w:sz w:val="12"/>
                <w:szCs w:val="12"/>
              </w:rPr>
            </w:pPr>
            <w:r w:rsidRPr="00483EBE">
              <w:rPr>
                <w:sz w:val="12"/>
                <w:szCs w:val="12"/>
              </w:rPr>
              <w:t>$2,421</w:t>
            </w:r>
          </w:p>
        </w:tc>
        <w:tc>
          <w:tcPr>
            <w:tcW w:w="0" w:type="auto"/>
            <w:tcBorders>
              <w:top w:val="nil"/>
              <w:left w:val="nil"/>
              <w:bottom w:val="single" w:sz="4" w:space="0" w:color="auto"/>
              <w:right w:val="single" w:sz="4" w:space="0" w:color="auto"/>
            </w:tcBorders>
            <w:shd w:val="clear" w:color="auto" w:fill="auto"/>
            <w:vAlign w:val="center"/>
            <w:hideMark/>
          </w:tcPr>
          <w:p w14:paraId="4C5E4A42" w14:textId="77777777" w:rsidR="00572995" w:rsidRPr="00483EBE" w:rsidRDefault="00572995" w:rsidP="00E8324D">
            <w:pPr>
              <w:pStyle w:val="Tablas"/>
              <w:rPr>
                <w:sz w:val="12"/>
                <w:szCs w:val="12"/>
              </w:rPr>
            </w:pPr>
            <w:r w:rsidRPr="00483EBE">
              <w:rPr>
                <w:sz w:val="12"/>
                <w:szCs w:val="12"/>
              </w:rPr>
              <w:t>$1,211</w:t>
            </w:r>
          </w:p>
        </w:tc>
        <w:tc>
          <w:tcPr>
            <w:tcW w:w="0" w:type="auto"/>
            <w:tcBorders>
              <w:top w:val="nil"/>
              <w:left w:val="nil"/>
              <w:bottom w:val="single" w:sz="4" w:space="0" w:color="auto"/>
              <w:right w:val="single" w:sz="4" w:space="0" w:color="auto"/>
            </w:tcBorders>
            <w:shd w:val="clear" w:color="auto" w:fill="auto"/>
            <w:vAlign w:val="center"/>
            <w:hideMark/>
          </w:tcPr>
          <w:p w14:paraId="5853B611"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1E7CA031"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2E1A2E80" w14:textId="77777777" w:rsidR="00572995" w:rsidRPr="00483EBE" w:rsidRDefault="00572995" w:rsidP="00E8324D">
            <w:pPr>
              <w:pStyle w:val="Tablas"/>
              <w:rPr>
                <w:sz w:val="12"/>
                <w:szCs w:val="12"/>
              </w:rPr>
            </w:pPr>
            <w:r w:rsidRPr="00483EBE">
              <w:rPr>
                <w:sz w:val="12"/>
                <w:szCs w:val="12"/>
              </w:rPr>
              <w:t>SEBD</w:t>
            </w:r>
          </w:p>
        </w:tc>
      </w:tr>
      <w:tr w:rsidR="00572995" w:rsidRPr="00483EBE" w14:paraId="507B7D5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D20BBEC"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3BD604B5"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1C7F6188" w14:textId="77777777" w:rsidR="00572995" w:rsidRPr="00483EBE" w:rsidRDefault="00572995" w:rsidP="00E8324D">
            <w:pPr>
              <w:pStyle w:val="Tablas"/>
              <w:rPr>
                <w:sz w:val="12"/>
                <w:szCs w:val="12"/>
              </w:rPr>
            </w:pPr>
            <w:r w:rsidRPr="00483EBE">
              <w:rPr>
                <w:sz w:val="12"/>
                <w:szCs w:val="12"/>
              </w:rPr>
              <w:t>$75,091</w:t>
            </w:r>
          </w:p>
        </w:tc>
        <w:tc>
          <w:tcPr>
            <w:tcW w:w="0" w:type="auto"/>
            <w:tcBorders>
              <w:top w:val="nil"/>
              <w:left w:val="nil"/>
              <w:bottom w:val="single" w:sz="4" w:space="0" w:color="auto"/>
              <w:right w:val="single" w:sz="4" w:space="0" w:color="auto"/>
            </w:tcBorders>
            <w:shd w:val="clear" w:color="auto" w:fill="auto"/>
            <w:vAlign w:val="center"/>
            <w:hideMark/>
          </w:tcPr>
          <w:p w14:paraId="5DCD66B6" w14:textId="77777777" w:rsidR="00572995" w:rsidRPr="00483EBE" w:rsidRDefault="00572995" w:rsidP="00E8324D">
            <w:pPr>
              <w:pStyle w:val="Tablas"/>
              <w:rPr>
                <w:sz w:val="12"/>
                <w:szCs w:val="12"/>
              </w:rPr>
            </w:pPr>
            <w:r w:rsidRPr="00483EBE">
              <w:rPr>
                <w:sz w:val="12"/>
                <w:szCs w:val="12"/>
              </w:rPr>
              <w:t>$5,006</w:t>
            </w:r>
          </w:p>
        </w:tc>
        <w:tc>
          <w:tcPr>
            <w:tcW w:w="0" w:type="auto"/>
            <w:tcBorders>
              <w:top w:val="nil"/>
              <w:left w:val="nil"/>
              <w:bottom w:val="single" w:sz="4" w:space="0" w:color="auto"/>
              <w:right w:val="single" w:sz="4" w:space="0" w:color="auto"/>
            </w:tcBorders>
            <w:shd w:val="clear" w:color="auto" w:fill="auto"/>
            <w:vAlign w:val="center"/>
            <w:hideMark/>
          </w:tcPr>
          <w:p w14:paraId="2BEA38D3" w14:textId="77777777" w:rsidR="00572995" w:rsidRPr="00483EBE" w:rsidRDefault="00572995" w:rsidP="00E8324D">
            <w:pPr>
              <w:pStyle w:val="Tablas"/>
              <w:rPr>
                <w:sz w:val="12"/>
                <w:szCs w:val="12"/>
              </w:rPr>
            </w:pPr>
            <w:r w:rsidRPr="00483EBE">
              <w:rPr>
                <w:sz w:val="12"/>
                <w:szCs w:val="12"/>
              </w:rPr>
              <w:t>$417</w:t>
            </w:r>
          </w:p>
        </w:tc>
        <w:tc>
          <w:tcPr>
            <w:tcW w:w="0" w:type="auto"/>
            <w:tcBorders>
              <w:top w:val="nil"/>
              <w:left w:val="nil"/>
              <w:bottom w:val="single" w:sz="4" w:space="0" w:color="auto"/>
              <w:right w:val="single" w:sz="4" w:space="0" w:color="auto"/>
            </w:tcBorders>
            <w:shd w:val="clear" w:color="auto" w:fill="auto"/>
            <w:vAlign w:val="center"/>
            <w:hideMark/>
          </w:tcPr>
          <w:p w14:paraId="5392AEE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D4D7D6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0CFF6C9"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53B633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25A5241" w14:textId="77777777" w:rsidR="00572995" w:rsidRPr="00483EBE" w:rsidRDefault="00572995" w:rsidP="00E8324D">
            <w:pPr>
              <w:pStyle w:val="Tablas"/>
              <w:rPr>
                <w:sz w:val="12"/>
                <w:szCs w:val="12"/>
              </w:rPr>
            </w:pPr>
            <w:r w:rsidRPr="00483EBE">
              <w:rPr>
                <w:sz w:val="12"/>
                <w:szCs w:val="12"/>
              </w:rPr>
              <w:t>$878</w:t>
            </w:r>
          </w:p>
        </w:tc>
        <w:tc>
          <w:tcPr>
            <w:tcW w:w="0" w:type="auto"/>
            <w:tcBorders>
              <w:top w:val="nil"/>
              <w:left w:val="nil"/>
              <w:bottom w:val="single" w:sz="4" w:space="0" w:color="auto"/>
              <w:right w:val="single" w:sz="4" w:space="0" w:color="auto"/>
            </w:tcBorders>
            <w:shd w:val="clear" w:color="auto" w:fill="auto"/>
            <w:vAlign w:val="center"/>
            <w:hideMark/>
          </w:tcPr>
          <w:p w14:paraId="0E126B92" w14:textId="77777777" w:rsidR="00572995" w:rsidRPr="00483EBE" w:rsidRDefault="00572995" w:rsidP="00E8324D">
            <w:pPr>
              <w:pStyle w:val="Tablas"/>
              <w:rPr>
                <w:sz w:val="12"/>
                <w:szCs w:val="12"/>
              </w:rPr>
            </w:pPr>
            <w:r w:rsidRPr="00483EBE">
              <w:rPr>
                <w:sz w:val="12"/>
                <w:szCs w:val="12"/>
              </w:rPr>
              <w:t>$878</w:t>
            </w:r>
          </w:p>
        </w:tc>
        <w:tc>
          <w:tcPr>
            <w:tcW w:w="0" w:type="auto"/>
            <w:tcBorders>
              <w:top w:val="nil"/>
              <w:left w:val="nil"/>
              <w:bottom w:val="single" w:sz="4" w:space="0" w:color="auto"/>
              <w:right w:val="single" w:sz="4" w:space="0" w:color="auto"/>
            </w:tcBorders>
            <w:shd w:val="clear" w:color="auto" w:fill="auto"/>
            <w:vAlign w:val="center"/>
            <w:hideMark/>
          </w:tcPr>
          <w:p w14:paraId="73B57F80"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4E94BF0"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5512E22B" w14:textId="77777777" w:rsidR="00572995" w:rsidRPr="00483EBE" w:rsidRDefault="00572995" w:rsidP="00E8324D">
            <w:pPr>
              <w:pStyle w:val="Tablas"/>
              <w:rPr>
                <w:sz w:val="12"/>
                <w:szCs w:val="12"/>
              </w:rPr>
            </w:pPr>
            <w:r w:rsidRPr="00483EBE">
              <w:rPr>
                <w:sz w:val="12"/>
                <w:szCs w:val="12"/>
              </w:rPr>
              <w:t>SEBD</w:t>
            </w:r>
          </w:p>
        </w:tc>
      </w:tr>
      <w:tr w:rsidR="00572995" w:rsidRPr="00483EBE" w14:paraId="610E55A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852849"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0B6747A6"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14345797" w14:textId="77777777" w:rsidR="00572995" w:rsidRPr="00483EBE" w:rsidRDefault="00572995" w:rsidP="00E8324D">
            <w:pPr>
              <w:pStyle w:val="Tablas"/>
              <w:rPr>
                <w:sz w:val="12"/>
                <w:szCs w:val="12"/>
              </w:rPr>
            </w:pPr>
            <w:r w:rsidRPr="00483EBE">
              <w:rPr>
                <w:sz w:val="12"/>
                <w:szCs w:val="12"/>
              </w:rPr>
              <w:t>$81,863</w:t>
            </w:r>
          </w:p>
        </w:tc>
        <w:tc>
          <w:tcPr>
            <w:tcW w:w="0" w:type="auto"/>
            <w:tcBorders>
              <w:top w:val="nil"/>
              <w:left w:val="nil"/>
              <w:bottom w:val="single" w:sz="4" w:space="0" w:color="auto"/>
              <w:right w:val="single" w:sz="4" w:space="0" w:color="auto"/>
            </w:tcBorders>
            <w:shd w:val="clear" w:color="auto" w:fill="auto"/>
            <w:vAlign w:val="center"/>
            <w:hideMark/>
          </w:tcPr>
          <w:p w14:paraId="3710FCBF" w14:textId="77777777" w:rsidR="00572995" w:rsidRPr="00483EBE" w:rsidRDefault="00572995" w:rsidP="00E8324D">
            <w:pPr>
              <w:pStyle w:val="Tablas"/>
              <w:rPr>
                <w:sz w:val="12"/>
                <w:szCs w:val="12"/>
              </w:rPr>
            </w:pPr>
            <w:r w:rsidRPr="00483EBE">
              <w:rPr>
                <w:sz w:val="12"/>
                <w:szCs w:val="12"/>
              </w:rPr>
              <w:t>$6,297</w:t>
            </w:r>
          </w:p>
        </w:tc>
        <w:tc>
          <w:tcPr>
            <w:tcW w:w="0" w:type="auto"/>
            <w:tcBorders>
              <w:top w:val="nil"/>
              <w:left w:val="nil"/>
              <w:bottom w:val="single" w:sz="4" w:space="0" w:color="auto"/>
              <w:right w:val="single" w:sz="4" w:space="0" w:color="auto"/>
            </w:tcBorders>
            <w:shd w:val="clear" w:color="auto" w:fill="auto"/>
            <w:vAlign w:val="center"/>
            <w:hideMark/>
          </w:tcPr>
          <w:p w14:paraId="21BCEA67" w14:textId="77777777" w:rsidR="00572995" w:rsidRPr="00483EBE" w:rsidRDefault="00572995" w:rsidP="00E8324D">
            <w:pPr>
              <w:pStyle w:val="Tablas"/>
              <w:rPr>
                <w:sz w:val="12"/>
                <w:szCs w:val="12"/>
              </w:rPr>
            </w:pPr>
            <w:r w:rsidRPr="00483EBE">
              <w:rPr>
                <w:sz w:val="12"/>
                <w:szCs w:val="12"/>
              </w:rPr>
              <w:t>$525</w:t>
            </w:r>
          </w:p>
        </w:tc>
        <w:tc>
          <w:tcPr>
            <w:tcW w:w="0" w:type="auto"/>
            <w:tcBorders>
              <w:top w:val="nil"/>
              <w:left w:val="nil"/>
              <w:bottom w:val="single" w:sz="4" w:space="0" w:color="auto"/>
              <w:right w:val="single" w:sz="4" w:space="0" w:color="auto"/>
            </w:tcBorders>
            <w:shd w:val="clear" w:color="auto" w:fill="auto"/>
            <w:vAlign w:val="center"/>
            <w:hideMark/>
          </w:tcPr>
          <w:p w14:paraId="6779420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1E7648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097D25"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812BAF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19AD331" w14:textId="77777777" w:rsidR="00572995" w:rsidRPr="00483EBE" w:rsidRDefault="00572995" w:rsidP="00E8324D">
            <w:pPr>
              <w:pStyle w:val="Tablas"/>
              <w:rPr>
                <w:sz w:val="12"/>
                <w:szCs w:val="12"/>
              </w:rPr>
            </w:pPr>
            <w:r w:rsidRPr="00483EBE">
              <w:rPr>
                <w:sz w:val="12"/>
                <w:szCs w:val="12"/>
              </w:rPr>
              <w:t>$1,089</w:t>
            </w:r>
          </w:p>
        </w:tc>
        <w:tc>
          <w:tcPr>
            <w:tcW w:w="0" w:type="auto"/>
            <w:tcBorders>
              <w:top w:val="nil"/>
              <w:left w:val="nil"/>
              <w:bottom w:val="single" w:sz="4" w:space="0" w:color="auto"/>
              <w:right w:val="single" w:sz="4" w:space="0" w:color="auto"/>
            </w:tcBorders>
            <w:shd w:val="clear" w:color="auto" w:fill="auto"/>
            <w:vAlign w:val="center"/>
            <w:hideMark/>
          </w:tcPr>
          <w:p w14:paraId="5BA4F39D" w14:textId="77777777" w:rsidR="00572995" w:rsidRPr="00483EBE" w:rsidRDefault="00572995" w:rsidP="00E8324D">
            <w:pPr>
              <w:pStyle w:val="Tablas"/>
              <w:rPr>
                <w:sz w:val="12"/>
                <w:szCs w:val="12"/>
              </w:rPr>
            </w:pPr>
            <w:r w:rsidRPr="00483EBE">
              <w:rPr>
                <w:sz w:val="12"/>
                <w:szCs w:val="12"/>
              </w:rPr>
              <w:t>$1,089</w:t>
            </w:r>
          </w:p>
        </w:tc>
        <w:tc>
          <w:tcPr>
            <w:tcW w:w="0" w:type="auto"/>
            <w:tcBorders>
              <w:top w:val="nil"/>
              <w:left w:val="nil"/>
              <w:bottom w:val="single" w:sz="4" w:space="0" w:color="auto"/>
              <w:right w:val="single" w:sz="4" w:space="0" w:color="auto"/>
            </w:tcBorders>
            <w:shd w:val="clear" w:color="auto" w:fill="auto"/>
            <w:vAlign w:val="center"/>
            <w:hideMark/>
          </w:tcPr>
          <w:p w14:paraId="6222AEC4"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7978226"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3A68C9B1" w14:textId="77777777" w:rsidR="00572995" w:rsidRPr="00483EBE" w:rsidRDefault="00572995" w:rsidP="00E8324D">
            <w:pPr>
              <w:pStyle w:val="Tablas"/>
              <w:rPr>
                <w:sz w:val="12"/>
                <w:szCs w:val="12"/>
              </w:rPr>
            </w:pPr>
            <w:r w:rsidRPr="00483EBE">
              <w:rPr>
                <w:sz w:val="12"/>
                <w:szCs w:val="12"/>
              </w:rPr>
              <w:t>SEBD</w:t>
            </w:r>
          </w:p>
        </w:tc>
      </w:tr>
      <w:tr w:rsidR="00572995" w:rsidRPr="00483EBE" w14:paraId="395FCE9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F7E284" w14:textId="77777777" w:rsidR="00572995" w:rsidRPr="00483EBE" w:rsidRDefault="00572995" w:rsidP="00E8324D">
            <w:pPr>
              <w:pStyle w:val="Tablas"/>
              <w:rPr>
                <w:sz w:val="12"/>
                <w:szCs w:val="12"/>
              </w:rPr>
            </w:pPr>
            <w:r w:rsidRPr="00483EBE">
              <w:rPr>
                <w:sz w:val="12"/>
                <w:szCs w:val="12"/>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14:paraId="29B9EAC6"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5C707B7B" w14:textId="77777777" w:rsidR="00572995" w:rsidRPr="00483EBE" w:rsidRDefault="00572995" w:rsidP="00E8324D">
            <w:pPr>
              <w:pStyle w:val="Tablas"/>
              <w:rPr>
                <w:sz w:val="12"/>
                <w:szCs w:val="12"/>
              </w:rPr>
            </w:pPr>
            <w:r w:rsidRPr="00483EBE">
              <w:rPr>
                <w:sz w:val="12"/>
                <w:szCs w:val="12"/>
              </w:rPr>
              <w:t>$139,800</w:t>
            </w:r>
          </w:p>
        </w:tc>
        <w:tc>
          <w:tcPr>
            <w:tcW w:w="0" w:type="auto"/>
            <w:tcBorders>
              <w:top w:val="nil"/>
              <w:left w:val="nil"/>
              <w:bottom w:val="single" w:sz="4" w:space="0" w:color="auto"/>
              <w:right w:val="single" w:sz="4" w:space="0" w:color="auto"/>
            </w:tcBorders>
            <w:shd w:val="clear" w:color="auto" w:fill="auto"/>
            <w:vAlign w:val="center"/>
            <w:hideMark/>
          </w:tcPr>
          <w:p w14:paraId="623DF772" w14:textId="77777777" w:rsidR="00572995" w:rsidRPr="00483EBE" w:rsidRDefault="00572995" w:rsidP="00E8324D">
            <w:pPr>
              <w:pStyle w:val="Tablas"/>
              <w:rPr>
                <w:sz w:val="12"/>
                <w:szCs w:val="12"/>
              </w:rPr>
            </w:pPr>
            <w:r w:rsidRPr="00483EBE">
              <w:rPr>
                <w:sz w:val="12"/>
                <w:szCs w:val="12"/>
              </w:rPr>
              <w:t>$5,178</w:t>
            </w:r>
          </w:p>
        </w:tc>
        <w:tc>
          <w:tcPr>
            <w:tcW w:w="0" w:type="auto"/>
            <w:tcBorders>
              <w:top w:val="nil"/>
              <w:left w:val="nil"/>
              <w:bottom w:val="single" w:sz="4" w:space="0" w:color="auto"/>
              <w:right w:val="single" w:sz="4" w:space="0" w:color="auto"/>
            </w:tcBorders>
            <w:shd w:val="clear" w:color="auto" w:fill="auto"/>
            <w:vAlign w:val="center"/>
            <w:hideMark/>
          </w:tcPr>
          <w:p w14:paraId="7E4AC17A" w14:textId="77777777" w:rsidR="00572995" w:rsidRPr="00483EBE" w:rsidRDefault="00572995" w:rsidP="00E8324D">
            <w:pPr>
              <w:pStyle w:val="Tablas"/>
              <w:rPr>
                <w:sz w:val="12"/>
                <w:szCs w:val="12"/>
              </w:rPr>
            </w:pPr>
            <w:r w:rsidRPr="00483EBE">
              <w:rPr>
                <w:sz w:val="12"/>
                <w:szCs w:val="12"/>
              </w:rPr>
              <w:t>$431</w:t>
            </w:r>
          </w:p>
        </w:tc>
        <w:tc>
          <w:tcPr>
            <w:tcW w:w="0" w:type="auto"/>
            <w:tcBorders>
              <w:top w:val="nil"/>
              <w:left w:val="nil"/>
              <w:bottom w:val="single" w:sz="4" w:space="0" w:color="auto"/>
              <w:right w:val="single" w:sz="4" w:space="0" w:color="auto"/>
            </w:tcBorders>
            <w:shd w:val="clear" w:color="auto" w:fill="auto"/>
            <w:vAlign w:val="center"/>
            <w:hideMark/>
          </w:tcPr>
          <w:p w14:paraId="14ED693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2E9710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A175BB"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4D2E414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28C13EC" w14:textId="77777777" w:rsidR="00572995" w:rsidRPr="00483EBE" w:rsidRDefault="00572995" w:rsidP="00E8324D">
            <w:pPr>
              <w:pStyle w:val="Tablas"/>
              <w:rPr>
                <w:sz w:val="12"/>
                <w:szCs w:val="12"/>
              </w:rPr>
            </w:pPr>
            <w:r w:rsidRPr="00483EBE">
              <w:rPr>
                <w:sz w:val="12"/>
                <w:szCs w:val="12"/>
              </w:rPr>
              <w:t>$1,178</w:t>
            </w:r>
          </w:p>
        </w:tc>
        <w:tc>
          <w:tcPr>
            <w:tcW w:w="0" w:type="auto"/>
            <w:tcBorders>
              <w:top w:val="nil"/>
              <w:left w:val="nil"/>
              <w:bottom w:val="single" w:sz="4" w:space="0" w:color="auto"/>
              <w:right w:val="single" w:sz="4" w:space="0" w:color="auto"/>
            </w:tcBorders>
            <w:shd w:val="clear" w:color="auto" w:fill="auto"/>
            <w:vAlign w:val="center"/>
            <w:hideMark/>
          </w:tcPr>
          <w:p w14:paraId="52E507B8" w14:textId="77777777" w:rsidR="00572995" w:rsidRPr="00483EBE" w:rsidRDefault="00572995" w:rsidP="00E8324D">
            <w:pPr>
              <w:pStyle w:val="Tablas"/>
              <w:rPr>
                <w:sz w:val="12"/>
                <w:szCs w:val="12"/>
              </w:rPr>
            </w:pPr>
            <w:r w:rsidRPr="00483EBE">
              <w:rPr>
                <w:sz w:val="12"/>
                <w:szCs w:val="12"/>
              </w:rPr>
              <w:t>$1,178</w:t>
            </w:r>
          </w:p>
        </w:tc>
        <w:tc>
          <w:tcPr>
            <w:tcW w:w="0" w:type="auto"/>
            <w:tcBorders>
              <w:top w:val="nil"/>
              <w:left w:val="nil"/>
              <w:bottom w:val="single" w:sz="4" w:space="0" w:color="auto"/>
              <w:right w:val="single" w:sz="4" w:space="0" w:color="auto"/>
            </w:tcBorders>
            <w:shd w:val="clear" w:color="auto" w:fill="auto"/>
            <w:vAlign w:val="center"/>
            <w:hideMark/>
          </w:tcPr>
          <w:p w14:paraId="37660686"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601503A4" w14:textId="77777777" w:rsidR="00572995" w:rsidRPr="00483EBE" w:rsidRDefault="00572995" w:rsidP="00E8324D">
            <w:pPr>
              <w:pStyle w:val="Tablas"/>
              <w:rPr>
                <w:sz w:val="12"/>
                <w:szCs w:val="12"/>
              </w:rPr>
            </w:pPr>
            <w:r w:rsidRPr="00483EBE">
              <w:rPr>
                <w:sz w:val="12"/>
                <w:szCs w:val="12"/>
              </w:rPr>
              <w:t>PROPORCIONAL TRAB. ESTACIONALES</w:t>
            </w:r>
          </w:p>
        </w:tc>
        <w:tc>
          <w:tcPr>
            <w:tcW w:w="582" w:type="dxa"/>
            <w:tcBorders>
              <w:top w:val="nil"/>
              <w:left w:val="nil"/>
              <w:bottom w:val="single" w:sz="4" w:space="0" w:color="auto"/>
              <w:right w:val="single" w:sz="8" w:space="0" w:color="auto"/>
            </w:tcBorders>
            <w:shd w:val="clear" w:color="auto" w:fill="auto"/>
            <w:vAlign w:val="center"/>
            <w:hideMark/>
          </w:tcPr>
          <w:p w14:paraId="213996ED" w14:textId="77777777" w:rsidR="00572995" w:rsidRPr="00483EBE" w:rsidRDefault="00572995" w:rsidP="00E8324D">
            <w:pPr>
              <w:pStyle w:val="Tablas"/>
              <w:rPr>
                <w:sz w:val="12"/>
                <w:szCs w:val="12"/>
              </w:rPr>
            </w:pPr>
            <w:r w:rsidRPr="00483EBE">
              <w:rPr>
                <w:sz w:val="12"/>
                <w:szCs w:val="12"/>
              </w:rPr>
              <w:t>SEBD</w:t>
            </w:r>
          </w:p>
        </w:tc>
      </w:tr>
      <w:tr w:rsidR="00572995" w:rsidRPr="00483EBE" w14:paraId="7B8F2F2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85AEE2"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4292CBC6"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14A04333" w14:textId="77777777" w:rsidR="00572995" w:rsidRPr="00483EBE" w:rsidRDefault="00572995" w:rsidP="00E8324D">
            <w:pPr>
              <w:pStyle w:val="Tablas"/>
              <w:rPr>
                <w:sz w:val="12"/>
                <w:szCs w:val="12"/>
              </w:rPr>
            </w:pPr>
            <w:r w:rsidRPr="00483EBE">
              <w:rPr>
                <w:sz w:val="12"/>
                <w:szCs w:val="12"/>
              </w:rPr>
              <w:t>$72,271</w:t>
            </w:r>
          </w:p>
        </w:tc>
        <w:tc>
          <w:tcPr>
            <w:tcW w:w="0" w:type="auto"/>
            <w:tcBorders>
              <w:top w:val="nil"/>
              <w:left w:val="nil"/>
              <w:bottom w:val="single" w:sz="4" w:space="0" w:color="auto"/>
              <w:right w:val="single" w:sz="4" w:space="0" w:color="auto"/>
            </w:tcBorders>
            <w:shd w:val="clear" w:color="auto" w:fill="auto"/>
            <w:vAlign w:val="center"/>
            <w:hideMark/>
          </w:tcPr>
          <w:p w14:paraId="633EADF4" w14:textId="77777777" w:rsidR="00572995" w:rsidRPr="00483EBE" w:rsidRDefault="00572995" w:rsidP="00E8324D">
            <w:pPr>
              <w:pStyle w:val="Tablas"/>
              <w:rPr>
                <w:sz w:val="12"/>
                <w:szCs w:val="12"/>
              </w:rPr>
            </w:pPr>
            <w:r w:rsidRPr="00483EBE">
              <w:rPr>
                <w:sz w:val="12"/>
                <w:szCs w:val="12"/>
              </w:rPr>
              <w:t>$3,614</w:t>
            </w:r>
          </w:p>
        </w:tc>
        <w:tc>
          <w:tcPr>
            <w:tcW w:w="0" w:type="auto"/>
            <w:tcBorders>
              <w:top w:val="nil"/>
              <w:left w:val="nil"/>
              <w:bottom w:val="single" w:sz="4" w:space="0" w:color="auto"/>
              <w:right w:val="single" w:sz="4" w:space="0" w:color="auto"/>
            </w:tcBorders>
            <w:shd w:val="clear" w:color="auto" w:fill="auto"/>
            <w:vAlign w:val="center"/>
            <w:hideMark/>
          </w:tcPr>
          <w:p w14:paraId="76A44CD8" w14:textId="77777777" w:rsidR="00572995" w:rsidRPr="00483EBE" w:rsidRDefault="00572995" w:rsidP="00E8324D">
            <w:pPr>
              <w:pStyle w:val="Tablas"/>
              <w:rPr>
                <w:sz w:val="12"/>
                <w:szCs w:val="12"/>
              </w:rPr>
            </w:pPr>
            <w:r w:rsidRPr="00483EBE">
              <w:rPr>
                <w:sz w:val="12"/>
                <w:szCs w:val="12"/>
              </w:rPr>
              <w:t>$301</w:t>
            </w:r>
          </w:p>
        </w:tc>
        <w:tc>
          <w:tcPr>
            <w:tcW w:w="0" w:type="auto"/>
            <w:tcBorders>
              <w:top w:val="nil"/>
              <w:left w:val="nil"/>
              <w:bottom w:val="single" w:sz="4" w:space="0" w:color="auto"/>
              <w:right w:val="single" w:sz="4" w:space="0" w:color="auto"/>
            </w:tcBorders>
            <w:shd w:val="clear" w:color="auto" w:fill="auto"/>
            <w:vAlign w:val="center"/>
            <w:hideMark/>
          </w:tcPr>
          <w:p w14:paraId="1824E73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AC60BD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AC1AE37"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73457621"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4AD1BD75" w14:textId="77777777" w:rsidR="00572995" w:rsidRPr="00483EBE" w:rsidRDefault="00572995" w:rsidP="00E8324D">
            <w:pPr>
              <w:pStyle w:val="Tablas"/>
              <w:rPr>
                <w:sz w:val="12"/>
                <w:szCs w:val="12"/>
              </w:rPr>
            </w:pPr>
            <w:r w:rsidRPr="00483EBE">
              <w:rPr>
                <w:sz w:val="12"/>
                <w:szCs w:val="12"/>
              </w:rPr>
              <w:t>$115,844</w:t>
            </w:r>
          </w:p>
        </w:tc>
        <w:tc>
          <w:tcPr>
            <w:tcW w:w="0" w:type="auto"/>
            <w:tcBorders>
              <w:top w:val="nil"/>
              <w:left w:val="nil"/>
              <w:bottom w:val="single" w:sz="4" w:space="0" w:color="auto"/>
              <w:right w:val="single" w:sz="4" w:space="0" w:color="auto"/>
            </w:tcBorders>
            <w:shd w:val="clear" w:color="auto" w:fill="auto"/>
            <w:vAlign w:val="center"/>
            <w:hideMark/>
          </w:tcPr>
          <w:p w14:paraId="6B5E19E0" w14:textId="77777777" w:rsidR="00572995" w:rsidRPr="00483EBE" w:rsidRDefault="00572995" w:rsidP="00E8324D">
            <w:pPr>
              <w:pStyle w:val="Tablas"/>
              <w:rPr>
                <w:sz w:val="12"/>
                <w:szCs w:val="12"/>
              </w:rPr>
            </w:pPr>
            <w:r w:rsidRPr="00483EBE">
              <w:rPr>
                <w:sz w:val="12"/>
                <w:szCs w:val="12"/>
              </w:rPr>
              <w:t>$5,516</w:t>
            </w:r>
          </w:p>
        </w:tc>
        <w:tc>
          <w:tcPr>
            <w:tcW w:w="0" w:type="auto"/>
            <w:tcBorders>
              <w:top w:val="nil"/>
              <w:left w:val="nil"/>
              <w:bottom w:val="single" w:sz="4" w:space="0" w:color="auto"/>
              <w:right w:val="single" w:sz="4" w:space="0" w:color="auto"/>
            </w:tcBorders>
            <w:shd w:val="clear" w:color="auto" w:fill="auto"/>
            <w:vAlign w:val="center"/>
            <w:hideMark/>
          </w:tcPr>
          <w:p w14:paraId="1413A78E" w14:textId="77777777" w:rsidR="00572995" w:rsidRPr="00483EBE" w:rsidRDefault="00572995" w:rsidP="00E8324D">
            <w:pPr>
              <w:pStyle w:val="Tablas"/>
              <w:rPr>
                <w:sz w:val="12"/>
                <w:szCs w:val="12"/>
              </w:rPr>
            </w:pPr>
            <w:r w:rsidRPr="00483EBE">
              <w:rPr>
                <w:sz w:val="12"/>
                <w:szCs w:val="12"/>
              </w:rPr>
              <w:t>$460</w:t>
            </w:r>
          </w:p>
        </w:tc>
        <w:tc>
          <w:tcPr>
            <w:tcW w:w="0" w:type="auto"/>
            <w:tcBorders>
              <w:top w:val="nil"/>
              <w:left w:val="nil"/>
              <w:bottom w:val="single" w:sz="4" w:space="0" w:color="auto"/>
              <w:right w:val="single" w:sz="4" w:space="0" w:color="auto"/>
            </w:tcBorders>
            <w:shd w:val="clear" w:color="auto" w:fill="auto"/>
            <w:vAlign w:val="center"/>
            <w:hideMark/>
          </w:tcPr>
          <w:p w14:paraId="510FABC1"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613CFBA7" w14:textId="77777777" w:rsidR="00572995" w:rsidRPr="00483EBE" w:rsidRDefault="00572995" w:rsidP="00E8324D">
            <w:pPr>
              <w:pStyle w:val="Tablas"/>
              <w:rPr>
                <w:sz w:val="12"/>
                <w:szCs w:val="12"/>
              </w:rPr>
            </w:pPr>
            <w:r w:rsidRPr="00483EBE">
              <w:rPr>
                <w:sz w:val="12"/>
                <w:szCs w:val="12"/>
              </w:rPr>
              <w:t>SEBD</w:t>
            </w:r>
          </w:p>
        </w:tc>
      </w:tr>
      <w:tr w:rsidR="00572995" w:rsidRPr="00483EBE" w14:paraId="193D355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0FC953"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5BAB41CD"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54084EB5" w14:textId="77777777" w:rsidR="00572995" w:rsidRPr="00483EBE" w:rsidRDefault="00572995" w:rsidP="00E8324D">
            <w:pPr>
              <w:pStyle w:val="Tablas"/>
              <w:rPr>
                <w:sz w:val="12"/>
                <w:szCs w:val="12"/>
              </w:rPr>
            </w:pPr>
            <w:r w:rsidRPr="00483EBE">
              <w:rPr>
                <w:sz w:val="12"/>
                <w:szCs w:val="12"/>
              </w:rPr>
              <w:t>$113,325</w:t>
            </w:r>
          </w:p>
        </w:tc>
        <w:tc>
          <w:tcPr>
            <w:tcW w:w="0" w:type="auto"/>
            <w:tcBorders>
              <w:top w:val="nil"/>
              <w:left w:val="nil"/>
              <w:bottom w:val="single" w:sz="4" w:space="0" w:color="auto"/>
              <w:right w:val="single" w:sz="4" w:space="0" w:color="auto"/>
            </w:tcBorders>
            <w:shd w:val="clear" w:color="auto" w:fill="auto"/>
            <w:vAlign w:val="center"/>
            <w:hideMark/>
          </w:tcPr>
          <w:p w14:paraId="5DC04B8C" w14:textId="77777777" w:rsidR="00572995" w:rsidRPr="00483EBE" w:rsidRDefault="00572995" w:rsidP="00E8324D">
            <w:pPr>
              <w:pStyle w:val="Tablas"/>
              <w:rPr>
                <w:sz w:val="12"/>
                <w:szCs w:val="12"/>
              </w:rPr>
            </w:pPr>
            <w:r w:rsidRPr="00483EBE">
              <w:rPr>
                <w:sz w:val="12"/>
                <w:szCs w:val="12"/>
              </w:rPr>
              <w:t>$3,778</w:t>
            </w:r>
          </w:p>
        </w:tc>
        <w:tc>
          <w:tcPr>
            <w:tcW w:w="0" w:type="auto"/>
            <w:tcBorders>
              <w:top w:val="nil"/>
              <w:left w:val="nil"/>
              <w:bottom w:val="single" w:sz="4" w:space="0" w:color="auto"/>
              <w:right w:val="single" w:sz="4" w:space="0" w:color="auto"/>
            </w:tcBorders>
            <w:shd w:val="clear" w:color="auto" w:fill="auto"/>
            <w:vAlign w:val="center"/>
            <w:hideMark/>
          </w:tcPr>
          <w:p w14:paraId="351F12E0" w14:textId="77777777" w:rsidR="00572995" w:rsidRPr="00483EBE" w:rsidRDefault="00572995" w:rsidP="00E8324D">
            <w:pPr>
              <w:pStyle w:val="Tablas"/>
              <w:rPr>
                <w:sz w:val="12"/>
                <w:szCs w:val="12"/>
              </w:rPr>
            </w:pPr>
            <w:r w:rsidRPr="00483EBE">
              <w:rPr>
                <w:sz w:val="12"/>
                <w:szCs w:val="12"/>
              </w:rPr>
              <w:t>$315</w:t>
            </w:r>
          </w:p>
        </w:tc>
        <w:tc>
          <w:tcPr>
            <w:tcW w:w="0" w:type="auto"/>
            <w:tcBorders>
              <w:top w:val="nil"/>
              <w:left w:val="nil"/>
              <w:bottom w:val="single" w:sz="4" w:space="0" w:color="auto"/>
              <w:right w:val="single" w:sz="4" w:space="0" w:color="auto"/>
            </w:tcBorders>
            <w:shd w:val="clear" w:color="auto" w:fill="auto"/>
            <w:vAlign w:val="center"/>
            <w:hideMark/>
          </w:tcPr>
          <w:p w14:paraId="0423ED20"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14C9E9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6E03DE"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4E9727DA" w14:textId="77777777" w:rsidR="00572995" w:rsidRPr="00483EBE" w:rsidRDefault="00572995" w:rsidP="00E8324D">
            <w:pPr>
              <w:pStyle w:val="Tablas"/>
              <w:rPr>
                <w:sz w:val="12"/>
                <w:szCs w:val="12"/>
              </w:rPr>
            </w:pPr>
            <w:r w:rsidRPr="00483EBE">
              <w:rPr>
                <w:sz w:val="12"/>
                <w:szCs w:val="12"/>
              </w:rPr>
              <w:t xml:space="preserve">79 </w:t>
            </w:r>
          </w:p>
        </w:tc>
        <w:tc>
          <w:tcPr>
            <w:tcW w:w="0" w:type="auto"/>
            <w:tcBorders>
              <w:top w:val="nil"/>
              <w:left w:val="nil"/>
              <w:bottom w:val="single" w:sz="4" w:space="0" w:color="auto"/>
              <w:right w:val="single" w:sz="4" w:space="0" w:color="auto"/>
            </w:tcBorders>
            <w:shd w:val="clear" w:color="auto" w:fill="auto"/>
            <w:vAlign w:val="center"/>
            <w:hideMark/>
          </w:tcPr>
          <w:p w14:paraId="17E0A59F" w14:textId="77777777" w:rsidR="00572995" w:rsidRPr="00483EBE" w:rsidRDefault="00572995" w:rsidP="00E8324D">
            <w:pPr>
              <w:pStyle w:val="Tablas"/>
              <w:rPr>
                <w:sz w:val="12"/>
                <w:szCs w:val="12"/>
              </w:rPr>
            </w:pPr>
            <w:r w:rsidRPr="00483EBE">
              <w:rPr>
                <w:sz w:val="12"/>
                <w:szCs w:val="12"/>
              </w:rPr>
              <w:t>$409,553</w:t>
            </w:r>
          </w:p>
        </w:tc>
        <w:tc>
          <w:tcPr>
            <w:tcW w:w="0" w:type="auto"/>
            <w:tcBorders>
              <w:top w:val="nil"/>
              <w:left w:val="nil"/>
              <w:bottom w:val="single" w:sz="4" w:space="0" w:color="auto"/>
              <w:right w:val="single" w:sz="4" w:space="0" w:color="auto"/>
            </w:tcBorders>
            <w:shd w:val="clear" w:color="auto" w:fill="auto"/>
            <w:vAlign w:val="center"/>
            <w:hideMark/>
          </w:tcPr>
          <w:p w14:paraId="203E8CEC" w14:textId="77777777" w:rsidR="00572995" w:rsidRPr="00483EBE" w:rsidRDefault="00572995" w:rsidP="00E8324D">
            <w:pPr>
              <w:pStyle w:val="Tablas"/>
              <w:rPr>
                <w:sz w:val="12"/>
                <w:szCs w:val="12"/>
              </w:rPr>
            </w:pPr>
            <w:r w:rsidRPr="00483EBE">
              <w:rPr>
                <w:sz w:val="12"/>
                <w:szCs w:val="12"/>
              </w:rPr>
              <w:t>$5,184</w:t>
            </w:r>
          </w:p>
        </w:tc>
        <w:tc>
          <w:tcPr>
            <w:tcW w:w="0" w:type="auto"/>
            <w:tcBorders>
              <w:top w:val="nil"/>
              <w:left w:val="nil"/>
              <w:bottom w:val="single" w:sz="4" w:space="0" w:color="auto"/>
              <w:right w:val="single" w:sz="4" w:space="0" w:color="auto"/>
            </w:tcBorders>
            <w:shd w:val="clear" w:color="auto" w:fill="auto"/>
            <w:vAlign w:val="center"/>
            <w:hideMark/>
          </w:tcPr>
          <w:p w14:paraId="1AB0EA24" w14:textId="77777777" w:rsidR="00572995" w:rsidRPr="00483EBE" w:rsidRDefault="00572995" w:rsidP="00E8324D">
            <w:pPr>
              <w:pStyle w:val="Tablas"/>
              <w:rPr>
                <w:sz w:val="12"/>
                <w:szCs w:val="12"/>
              </w:rPr>
            </w:pPr>
            <w:r w:rsidRPr="00483EBE">
              <w:rPr>
                <w:sz w:val="12"/>
                <w:szCs w:val="12"/>
              </w:rPr>
              <w:t>$432</w:t>
            </w:r>
          </w:p>
        </w:tc>
        <w:tc>
          <w:tcPr>
            <w:tcW w:w="0" w:type="auto"/>
            <w:tcBorders>
              <w:top w:val="nil"/>
              <w:left w:val="nil"/>
              <w:bottom w:val="single" w:sz="4" w:space="0" w:color="auto"/>
              <w:right w:val="single" w:sz="4" w:space="0" w:color="auto"/>
            </w:tcBorders>
            <w:shd w:val="clear" w:color="auto" w:fill="auto"/>
            <w:vAlign w:val="center"/>
            <w:hideMark/>
          </w:tcPr>
          <w:p w14:paraId="10132798"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49E2B4C1" w14:textId="77777777" w:rsidR="00572995" w:rsidRPr="00483EBE" w:rsidRDefault="00572995" w:rsidP="00E8324D">
            <w:pPr>
              <w:pStyle w:val="Tablas"/>
              <w:rPr>
                <w:sz w:val="12"/>
                <w:szCs w:val="12"/>
              </w:rPr>
            </w:pPr>
            <w:r w:rsidRPr="00483EBE">
              <w:rPr>
                <w:sz w:val="12"/>
                <w:szCs w:val="12"/>
              </w:rPr>
              <w:t>SEBD</w:t>
            </w:r>
          </w:p>
        </w:tc>
      </w:tr>
      <w:tr w:rsidR="00572995" w:rsidRPr="00483EBE" w14:paraId="3720C4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3433A7"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59AE80D5"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16914C30" w14:textId="77777777" w:rsidR="00572995" w:rsidRPr="00483EBE" w:rsidRDefault="00572995" w:rsidP="00E8324D">
            <w:pPr>
              <w:pStyle w:val="Tablas"/>
              <w:rPr>
                <w:sz w:val="12"/>
                <w:szCs w:val="12"/>
              </w:rPr>
            </w:pPr>
            <w:r w:rsidRPr="00483EBE">
              <w:rPr>
                <w:sz w:val="12"/>
                <w:szCs w:val="12"/>
              </w:rPr>
              <w:t>$129,543</w:t>
            </w:r>
          </w:p>
        </w:tc>
        <w:tc>
          <w:tcPr>
            <w:tcW w:w="0" w:type="auto"/>
            <w:tcBorders>
              <w:top w:val="nil"/>
              <w:left w:val="nil"/>
              <w:bottom w:val="single" w:sz="4" w:space="0" w:color="auto"/>
              <w:right w:val="single" w:sz="4" w:space="0" w:color="auto"/>
            </w:tcBorders>
            <w:shd w:val="clear" w:color="auto" w:fill="auto"/>
            <w:vAlign w:val="center"/>
            <w:hideMark/>
          </w:tcPr>
          <w:p w14:paraId="5F249AFD" w14:textId="77777777" w:rsidR="00572995" w:rsidRPr="00483EBE" w:rsidRDefault="00572995" w:rsidP="00E8324D">
            <w:pPr>
              <w:pStyle w:val="Tablas"/>
              <w:rPr>
                <w:sz w:val="12"/>
                <w:szCs w:val="12"/>
              </w:rPr>
            </w:pPr>
            <w:r w:rsidRPr="00483EBE">
              <w:rPr>
                <w:sz w:val="12"/>
                <w:szCs w:val="12"/>
              </w:rPr>
              <w:t>$4,048</w:t>
            </w:r>
          </w:p>
        </w:tc>
        <w:tc>
          <w:tcPr>
            <w:tcW w:w="0" w:type="auto"/>
            <w:tcBorders>
              <w:top w:val="nil"/>
              <w:left w:val="nil"/>
              <w:bottom w:val="single" w:sz="4" w:space="0" w:color="auto"/>
              <w:right w:val="single" w:sz="4" w:space="0" w:color="auto"/>
            </w:tcBorders>
            <w:shd w:val="clear" w:color="auto" w:fill="auto"/>
            <w:vAlign w:val="center"/>
            <w:hideMark/>
          </w:tcPr>
          <w:p w14:paraId="1A5AB5AD" w14:textId="77777777" w:rsidR="00572995" w:rsidRPr="00483EBE" w:rsidRDefault="00572995" w:rsidP="00E8324D">
            <w:pPr>
              <w:pStyle w:val="Tablas"/>
              <w:rPr>
                <w:sz w:val="12"/>
                <w:szCs w:val="12"/>
              </w:rPr>
            </w:pPr>
            <w:r w:rsidRPr="00483EBE">
              <w:rPr>
                <w:sz w:val="12"/>
                <w:szCs w:val="12"/>
              </w:rPr>
              <w:t>$337</w:t>
            </w:r>
          </w:p>
        </w:tc>
        <w:tc>
          <w:tcPr>
            <w:tcW w:w="0" w:type="auto"/>
            <w:tcBorders>
              <w:top w:val="nil"/>
              <w:left w:val="nil"/>
              <w:bottom w:val="single" w:sz="4" w:space="0" w:color="auto"/>
              <w:right w:val="single" w:sz="4" w:space="0" w:color="auto"/>
            </w:tcBorders>
            <w:shd w:val="clear" w:color="auto" w:fill="auto"/>
            <w:vAlign w:val="center"/>
            <w:hideMark/>
          </w:tcPr>
          <w:p w14:paraId="24F8788E"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B3596B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E47827"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34E21928" w14:textId="77777777" w:rsidR="00572995" w:rsidRPr="00483EBE" w:rsidRDefault="00572995" w:rsidP="00E8324D">
            <w:pPr>
              <w:pStyle w:val="Tablas"/>
              <w:rPr>
                <w:sz w:val="12"/>
                <w:szCs w:val="12"/>
              </w:rPr>
            </w:pPr>
            <w:r w:rsidRPr="00483EBE">
              <w:rPr>
                <w:sz w:val="12"/>
                <w:szCs w:val="12"/>
              </w:rPr>
              <w:t xml:space="preserve">67 </w:t>
            </w:r>
          </w:p>
        </w:tc>
        <w:tc>
          <w:tcPr>
            <w:tcW w:w="0" w:type="auto"/>
            <w:tcBorders>
              <w:top w:val="nil"/>
              <w:left w:val="nil"/>
              <w:bottom w:val="single" w:sz="4" w:space="0" w:color="auto"/>
              <w:right w:val="single" w:sz="4" w:space="0" w:color="auto"/>
            </w:tcBorders>
            <w:shd w:val="clear" w:color="auto" w:fill="auto"/>
            <w:vAlign w:val="center"/>
            <w:hideMark/>
          </w:tcPr>
          <w:p w14:paraId="60EBD4B8" w14:textId="77777777" w:rsidR="00572995" w:rsidRPr="00483EBE" w:rsidRDefault="00572995" w:rsidP="00E8324D">
            <w:pPr>
              <w:pStyle w:val="Tablas"/>
              <w:rPr>
                <w:sz w:val="12"/>
                <w:szCs w:val="12"/>
              </w:rPr>
            </w:pPr>
            <w:r w:rsidRPr="00483EBE">
              <w:rPr>
                <w:sz w:val="12"/>
                <w:szCs w:val="12"/>
              </w:rPr>
              <w:t>$365,111</w:t>
            </w:r>
          </w:p>
        </w:tc>
        <w:tc>
          <w:tcPr>
            <w:tcW w:w="0" w:type="auto"/>
            <w:tcBorders>
              <w:top w:val="nil"/>
              <w:left w:val="nil"/>
              <w:bottom w:val="single" w:sz="4" w:space="0" w:color="auto"/>
              <w:right w:val="single" w:sz="4" w:space="0" w:color="auto"/>
            </w:tcBorders>
            <w:shd w:val="clear" w:color="auto" w:fill="auto"/>
            <w:vAlign w:val="center"/>
            <w:hideMark/>
          </w:tcPr>
          <w:p w14:paraId="524C88BC" w14:textId="77777777" w:rsidR="00572995" w:rsidRPr="00483EBE" w:rsidRDefault="00572995" w:rsidP="00E8324D">
            <w:pPr>
              <w:pStyle w:val="Tablas"/>
              <w:rPr>
                <w:sz w:val="12"/>
                <w:szCs w:val="12"/>
              </w:rPr>
            </w:pPr>
            <w:r w:rsidRPr="00483EBE">
              <w:rPr>
                <w:sz w:val="12"/>
                <w:szCs w:val="12"/>
              </w:rPr>
              <w:t>$5,449</w:t>
            </w:r>
          </w:p>
        </w:tc>
        <w:tc>
          <w:tcPr>
            <w:tcW w:w="0" w:type="auto"/>
            <w:tcBorders>
              <w:top w:val="nil"/>
              <w:left w:val="nil"/>
              <w:bottom w:val="single" w:sz="4" w:space="0" w:color="auto"/>
              <w:right w:val="single" w:sz="4" w:space="0" w:color="auto"/>
            </w:tcBorders>
            <w:shd w:val="clear" w:color="auto" w:fill="auto"/>
            <w:vAlign w:val="center"/>
            <w:hideMark/>
          </w:tcPr>
          <w:p w14:paraId="5D2671BB" w14:textId="77777777" w:rsidR="00572995" w:rsidRPr="00483EBE" w:rsidRDefault="00572995" w:rsidP="00E8324D">
            <w:pPr>
              <w:pStyle w:val="Tablas"/>
              <w:rPr>
                <w:sz w:val="12"/>
                <w:szCs w:val="12"/>
              </w:rPr>
            </w:pPr>
            <w:r w:rsidRPr="00483EBE">
              <w:rPr>
                <w:sz w:val="12"/>
                <w:szCs w:val="12"/>
              </w:rPr>
              <w:t>$454</w:t>
            </w:r>
          </w:p>
        </w:tc>
        <w:tc>
          <w:tcPr>
            <w:tcW w:w="0" w:type="auto"/>
            <w:tcBorders>
              <w:top w:val="nil"/>
              <w:left w:val="nil"/>
              <w:bottom w:val="single" w:sz="4" w:space="0" w:color="auto"/>
              <w:right w:val="single" w:sz="4" w:space="0" w:color="auto"/>
            </w:tcBorders>
            <w:shd w:val="clear" w:color="auto" w:fill="auto"/>
            <w:vAlign w:val="center"/>
            <w:hideMark/>
          </w:tcPr>
          <w:p w14:paraId="26E6002E"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60A1B81B" w14:textId="77777777" w:rsidR="00572995" w:rsidRPr="00483EBE" w:rsidRDefault="00572995" w:rsidP="00E8324D">
            <w:pPr>
              <w:pStyle w:val="Tablas"/>
              <w:rPr>
                <w:sz w:val="12"/>
                <w:szCs w:val="12"/>
              </w:rPr>
            </w:pPr>
            <w:r w:rsidRPr="00483EBE">
              <w:rPr>
                <w:sz w:val="12"/>
                <w:szCs w:val="12"/>
              </w:rPr>
              <w:t>SEBD</w:t>
            </w:r>
          </w:p>
        </w:tc>
      </w:tr>
      <w:tr w:rsidR="00572995" w:rsidRPr="00483EBE" w14:paraId="51E7D5A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0CAFFB"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24C82AEB" w14:textId="77777777" w:rsidR="00572995" w:rsidRPr="00483EBE" w:rsidRDefault="00572995" w:rsidP="00E8324D">
            <w:pPr>
              <w:pStyle w:val="Tablas"/>
              <w:rPr>
                <w:sz w:val="12"/>
                <w:szCs w:val="12"/>
              </w:rPr>
            </w:pPr>
            <w:r w:rsidRPr="00483EBE">
              <w:rPr>
                <w:sz w:val="12"/>
                <w:szCs w:val="12"/>
              </w:rPr>
              <w:t xml:space="preserve">43 </w:t>
            </w:r>
          </w:p>
        </w:tc>
        <w:tc>
          <w:tcPr>
            <w:tcW w:w="0" w:type="auto"/>
            <w:tcBorders>
              <w:top w:val="nil"/>
              <w:left w:val="nil"/>
              <w:bottom w:val="single" w:sz="4" w:space="0" w:color="auto"/>
              <w:right w:val="single" w:sz="4" w:space="0" w:color="auto"/>
            </w:tcBorders>
            <w:shd w:val="clear" w:color="auto" w:fill="auto"/>
            <w:vAlign w:val="center"/>
            <w:hideMark/>
          </w:tcPr>
          <w:p w14:paraId="2E23413B" w14:textId="77777777" w:rsidR="00572995" w:rsidRPr="00483EBE" w:rsidRDefault="00572995" w:rsidP="00E8324D">
            <w:pPr>
              <w:pStyle w:val="Tablas"/>
              <w:rPr>
                <w:sz w:val="12"/>
                <w:szCs w:val="12"/>
              </w:rPr>
            </w:pPr>
            <w:r w:rsidRPr="00483EBE">
              <w:rPr>
                <w:sz w:val="12"/>
                <w:szCs w:val="12"/>
              </w:rPr>
              <w:t>$183,811</w:t>
            </w:r>
          </w:p>
        </w:tc>
        <w:tc>
          <w:tcPr>
            <w:tcW w:w="0" w:type="auto"/>
            <w:tcBorders>
              <w:top w:val="nil"/>
              <w:left w:val="nil"/>
              <w:bottom w:val="single" w:sz="4" w:space="0" w:color="auto"/>
              <w:right w:val="single" w:sz="4" w:space="0" w:color="auto"/>
            </w:tcBorders>
            <w:shd w:val="clear" w:color="auto" w:fill="auto"/>
            <w:vAlign w:val="center"/>
            <w:hideMark/>
          </w:tcPr>
          <w:p w14:paraId="198A2F54" w14:textId="77777777" w:rsidR="00572995" w:rsidRPr="00483EBE" w:rsidRDefault="00572995" w:rsidP="00E8324D">
            <w:pPr>
              <w:pStyle w:val="Tablas"/>
              <w:rPr>
                <w:sz w:val="12"/>
                <w:szCs w:val="12"/>
              </w:rPr>
            </w:pPr>
            <w:r w:rsidRPr="00483EBE">
              <w:rPr>
                <w:sz w:val="12"/>
                <w:szCs w:val="12"/>
              </w:rPr>
              <w:t>$4,275</w:t>
            </w:r>
          </w:p>
        </w:tc>
        <w:tc>
          <w:tcPr>
            <w:tcW w:w="0" w:type="auto"/>
            <w:tcBorders>
              <w:top w:val="nil"/>
              <w:left w:val="nil"/>
              <w:bottom w:val="single" w:sz="4" w:space="0" w:color="auto"/>
              <w:right w:val="single" w:sz="4" w:space="0" w:color="auto"/>
            </w:tcBorders>
            <w:shd w:val="clear" w:color="auto" w:fill="auto"/>
            <w:vAlign w:val="center"/>
            <w:hideMark/>
          </w:tcPr>
          <w:p w14:paraId="65467A83" w14:textId="77777777" w:rsidR="00572995" w:rsidRPr="00483EBE" w:rsidRDefault="00572995" w:rsidP="00E8324D">
            <w:pPr>
              <w:pStyle w:val="Tablas"/>
              <w:rPr>
                <w:sz w:val="12"/>
                <w:szCs w:val="12"/>
              </w:rPr>
            </w:pPr>
            <w:r w:rsidRPr="00483EBE">
              <w:rPr>
                <w:sz w:val="12"/>
                <w:szCs w:val="12"/>
              </w:rPr>
              <w:t>$356</w:t>
            </w:r>
          </w:p>
        </w:tc>
        <w:tc>
          <w:tcPr>
            <w:tcW w:w="0" w:type="auto"/>
            <w:tcBorders>
              <w:top w:val="nil"/>
              <w:left w:val="nil"/>
              <w:bottom w:val="single" w:sz="4" w:space="0" w:color="auto"/>
              <w:right w:val="single" w:sz="4" w:space="0" w:color="auto"/>
            </w:tcBorders>
            <w:shd w:val="clear" w:color="auto" w:fill="auto"/>
            <w:vAlign w:val="center"/>
            <w:hideMark/>
          </w:tcPr>
          <w:p w14:paraId="5BD6DAF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C9C0F3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A00EC73"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407BE373" w14:textId="77777777" w:rsidR="00572995" w:rsidRPr="00483EBE" w:rsidRDefault="00572995" w:rsidP="00E8324D">
            <w:pPr>
              <w:pStyle w:val="Tablas"/>
              <w:rPr>
                <w:sz w:val="12"/>
                <w:szCs w:val="12"/>
              </w:rPr>
            </w:pPr>
            <w:r w:rsidRPr="00483EBE">
              <w:rPr>
                <w:sz w:val="12"/>
                <w:szCs w:val="12"/>
              </w:rPr>
              <w:t xml:space="preserve">52 </w:t>
            </w:r>
          </w:p>
        </w:tc>
        <w:tc>
          <w:tcPr>
            <w:tcW w:w="0" w:type="auto"/>
            <w:tcBorders>
              <w:top w:val="nil"/>
              <w:left w:val="nil"/>
              <w:bottom w:val="single" w:sz="4" w:space="0" w:color="auto"/>
              <w:right w:val="single" w:sz="4" w:space="0" w:color="auto"/>
            </w:tcBorders>
            <w:shd w:val="clear" w:color="auto" w:fill="auto"/>
            <w:vAlign w:val="center"/>
            <w:hideMark/>
          </w:tcPr>
          <w:p w14:paraId="6BD18D4A" w14:textId="77777777" w:rsidR="00572995" w:rsidRPr="00483EBE" w:rsidRDefault="00572995" w:rsidP="00E8324D">
            <w:pPr>
              <w:pStyle w:val="Tablas"/>
              <w:rPr>
                <w:sz w:val="12"/>
                <w:szCs w:val="12"/>
              </w:rPr>
            </w:pPr>
            <w:r w:rsidRPr="00483EBE">
              <w:rPr>
                <w:sz w:val="12"/>
                <w:szCs w:val="12"/>
              </w:rPr>
              <w:t>$282,386</w:t>
            </w:r>
          </w:p>
        </w:tc>
        <w:tc>
          <w:tcPr>
            <w:tcW w:w="0" w:type="auto"/>
            <w:tcBorders>
              <w:top w:val="nil"/>
              <w:left w:val="nil"/>
              <w:bottom w:val="single" w:sz="4" w:space="0" w:color="auto"/>
              <w:right w:val="single" w:sz="4" w:space="0" w:color="auto"/>
            </w:tcBorders>
            <w:shd w:val="clear" w:color="auto" w:fill="auto"/>
            <w:vAlign w:val="center"/>
            <w:hideMark/>
          </w:tcPr>
          <w:p w14:paraId="612639E8" w14:textId="77777777" w:rsidR="00572995" w:rsidRPr="00483EBE" w:rsidRDefault="00572995" w:rsidP="00E8324D">
            <w:pPr>
              <w:pStyle w:val="Tablas"/>
              <w:rPr>
                <w:sz w:val="12"/>
                <w:szCs w:val="12"/>
              </w:rPr>
            </w:pPr>
            <w:r w:rsidRPr="00483EBE">
              <w:rPr>
                <w:sz w:val="12"/>
                <w:szCs w:val="12"/>
              </w:rPr>
              <w:t>$5,430</w:t>
            </w:r>
          </w:p>
        </w:tc>
        <w:tc>
          <w:tcPr>
            <w:tcW w:w="0" w:type="auto"/>
            <w:tcBorders>
              <w:top w:val="nil"/>
              <w:left w:val="nil"/>
              <w:bottom w:val="single" w:sz="4" w:space="0" w:color="auto"/>
              <w:right w:val="single" w:sz="4" w:space="0" w:color="auto"/>
            </w:tcBorders>
            <w:shd w:val="clear" w:color="auto" w:fill="auto"/>
            <w:vAlign w:val="center"/>
            <w:hideMark/>
          </w:tcPr>
          <w:p w14:paraId="12885406" w14:textId="77777777" w:rsidR="00572995" w:rsidRPr="00483EBE" w:rsidRDefault="00572995" w:rsidP="00E8324D">
            <w:pPr>
              <w:pStyle w:val="Tablas"/>
              <w:rPr>
                <w:sz w:val="12"/>
                <w:szCs w:val="12"/>
              </w:rPr>
            </w:pPr>
            <w:r w:rsidRPr="00483EBE">
              <w:rPr>
                <w:sz w:val="12"/>
                <w:szCs w:val="12"/>
              </w:rPr>
              <w:t>$453</w:t>
            </w:r>
          </w:p>
        </w:tc>
        <w:tc>
          <w:tcPr>
            <w:tcW w:w="0" w:type="auto"/>
            <w:tcBorders>
              <w:top w:val="nil"/>
              <w:left w:val="nil"/>
              <w:bottom w:val="single" w:sz="4" w:space="0" w:color="auto"/>
              <w:right w:val="single" w:sz="4" w:space="0" w:color="auto"/>
            </w:tcBorders>
            <w:shd w:val="clear" w:color="auto" w:fill="auto"/>
            <w:vAlign w:val="center"/>
            <w:hideMark/>
          </w:tcPr>
          <w:p w14:paraId="130C1C62"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52A9A9E7" w14:textId="77777777" w:rsidR="00572995" w:rsidRPr="00483EBE" w:rsidRDefault="00572995" w:rsidP="00E8324D">
            <w:pPr>
              <w:pStyle w:val="Tablas"/>
              <w:rPr>
                <w:sz w:val="12"/>
                <w:szCs w:val="12"/>
              </w:rPr>
            </w:pPr>
            <w:r w:rsidRPr="00483EBE">
              <w:rPr>
                <w:sz w:val="12"/>
                <w:szCs w:val="12"/>
              </w:rPr>
              <w:t>SEBD</w:t>
            </w:r>
          </w:p>
        </w:tc>
      </w:tr>
      <w:tr w:rsidR="00572995" w:rsidRPr="00483EBE" w14:paraId="23D0857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FBBC6F"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6578CF94"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66C05820" w14:textId="77777777" w:rsidR="00572995" w:rsidRPr="00483EBE" w:rsidRDefault="00572995" w:rsidP="00E8324D">
            <w:pPr>
              <w:pStyle w:val="Tablas"/>
              <w:rPr>
                <w:sz w:val="12"/>
                <w:szCs w:val="12"/>
              </w:rPr>
            </w:pPr>
            <w:r w:rsidRPr="00483EBE">
              <w:rPr>
                <w:sz w:val="12"/>
                <w:szCs w:val="12"/>
              </w:rPr>
              <w:t>$193,078</w:t>
            </w:r>
          </w:p>
        </w:tc>
        <w:tc>
          <w:tcPr>
            <w:tcW w:w="0" w:type="auto"/>
            <w:tcBorders>
              <w:top w:val="nil"/>
              <w:left w:val="nil"/>
              <w:bottom w:val="single" w:sz="4" w:space="0" w:color="auto"/>
              <w:right w:val="single" w:sz="4" w:space="0" w:color="auto"/>
            </w:tcBorders>
            <w:shd w:val="clear" w:color="auto" w:fill="auto"/>
            <w:vAlign w:val="center"/>
            <w:hideMark/>
          </w:tcPr>
          <w:p w14:paraId="7C01AB06" w14:textId="77777777" w:rsidR="00572995" w:rsidRPr="00483EBE" w:rsidRDefault="00572995" w:rsidP="00E8324D">
            <w:pPr>
              <w:pStyle w:val="Tablas"/>
              <w:rPr>
                <w:sz w:val="12"/>
                <w:szCs w:val="12"/>
              </w:rPr>
            </w:pPr>
            <w:r w:rsidRPr="00483EBE">
              <w:rPr>
                <w:sz w:val="12"/>
                <w:szCs w:val="12"/>
              </w:rPr>
              <w:t>$4,709</w:t>
            </w:r>
          </w:p>
        </w:tc>
        <w:tc>
          <w:tcPr>
            <w:tcW w:w="0" w:type="auto"/>
            <w:tcBorders>
              <w:top w:val="nil"/>
              <w:left w:val="nil"/>
              <w:bottom w:val="single" w:sz="4" w:space="0" w:color="auto"/>
              <w:right w:val="single" w:sz="4" w:space="0" w:color="auto"/>
            </w:tcBorders>
            <w:shd w:val="clear" w:color="auto" w:fill="auto"/>
            <w:vAlign w:val="center"/>
            <w:hideMark/>
          </w:tcPr>
          <w:p w14:paraId="670AF87E" w14:textId="77777777" w:rsidR="00572995" w:rsidRPr="00483EBE" w:rsidRDefault="00572995" w:rsidP="00E8324D">
            <w:pPr>
              <w:pStyle w:val="Tablas"/>
              <w:rPr>
                <w:sz w:val="12"/>
                <w:szCs w:val="12"/>
              </w:rPr>
            </w:pPr>
            <w:r w:rsidRPr="00483EBE">
              <w:rPr>
                <w:sz w:val="12"/>
                <w:szCs w:val="12"/>
              </w:rPr>
              <w:t>$392</w:t>
            </w:r>
          </w:p>
        </w:tc>
        <w:tc>
          <w:tcPr>
            <w:tcW w:w="0" w:type="auto"/>
            <w:tcBorders>
              <w:top w:val="nil"/>
              <w:left w:val="nil"/>
              <w:bottom w:val="single" w:sz="4" w:space="0" w:color="auto"/>
              <w:right w:val="single" w:sz="4" w:space="0" w:color="auto"/>
            </w:tcBorders>
            <w:shd w:val="clear" w:color="auto" w:fill="auto"/>
            <w:vAlign w:val="center"/>
            <w:hideMark/>
          </w:tcPr>
          <w:p w14:paraId="2AEBE89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746DB7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45F6D88"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BF9BE71" w14:textId="77777777" w:rsidR="00572995" w:rsidRPr="00483EBE" w:rsidRDefault="00572995" w:rsidP="00E8324D">
            <w:pPr>
              <w:pStyle w:val="Tablas"/>
              <w:rPr>
                <w:sz w:val="12"/>
                <w:szCs w:val="12"/>
              </w:rPr>
            </w:pPr>
            <w:r w:rsidRPr="00483EBE">
              <w:rPr>
                <w:sz w:val="12"/>
                <w:szCs w:val="12"/>
              </w:rPr>
              <w:t xml:space="preserve">59 </w:t>
            </w:r>
          </w:p>
        </w:tc>
        <w:tc>
          <w:tcPr>
            <w:tcW w:w="0" w:type="auto"/>
            <w:tcBorders>
              <w:top w:val="nil"/>
              <w:left w:val="nil"/>
              <w:bottom w:val="single" w:sz="4" w:space="0" w:color="auto"/>
              <w:right w:val="single" w:sz="4" w:space="0" w:color="auto"/>
            </w:tcBorders>
            <w:shd w:val="clear" w:color="auto" w:fill="auto"/>
            <w:vAlign w:val="center"/>
            <w:hideMark/>
          </w:tcPr>
          <w:p w14:paraId="470BCC31" w14:textId="77777777" w:rsidR="00572995" w:rsidRPr="00483EBE" w:rsidRDefault="00572995" w:rsidP="00E8324D">
            <w:pPr>
              <w:pStyle w:val="Tablas"/>
              <w:rPr>
                <w:sz w:val="12"/>
                <w:szCs w:val="12"/>
              </w:rPr>
            </w:pPr>
            <w:r w:rsidRPr="00483EBE">
              <w:rPr>
                <w:sz w:val="12"/>
                <w:szCs w:val="12"/>
              </w:rPr>
              <w:t>$337,165</w:t>
            </w:r>
          </w:p>
        </w:tc>
        <w:tc>
          <w:tcPr>
            <w:tcW w:w="0" w:type="auto"/>
            <w:tcBorders>
              <w:top w:val="nil"/>
              <w:left w:val="nil"/>
              <w:bottom w:val="single" w:sz="4" w:space="0" w:color="auto"/>
              <w:right w:val="single" w:sz="4" w:space="0" w:color="auto"/>
            </w:tcBorders>
            <w:shd w:val="clear" w:color="auto" w:fill="auto"/>
            <w:vAlign w:val="center"/>
            <w:hideMark/>
          </w:tcPr>
          <w:p w14:paraId="2AA55728" w14:textId="77777777" w:rsidR="00572995" w:rsidRPr="00483EBE" w:rsidRDefault="00572995" w:rsidP="00E8324D">
            <w:pPr>
              <w:pStyle w:val="Tablas"/>
              <w:rPr>
                <w:sz w:val="12"/>
                <w:szCs w:val="12"/>
              </w:rPr>
            </w:pPr>
            <w:r w:rsidRPr="00483EBE">
              <w:rPr>
                <w:sz w:val="12"/>
                <w:szCs w:val="12"/>
              </w:rPr>
              <w:t>$5,715</w:t>
            </w:r>
          </w:p>
        </w:tc>
        <w:tc>
          <w:tcPr>
            <w:tcW w:w="0" w:type="auto"/>
            <w:tcBorders>
              <w:top w:val="nil"/>
              <w:left w:val="nil"/>
              <w:bottom w:val="single" w:sz="4" w:space="0" w:color="auto"/>
              <w:right w:val="single" w:sz="4" w:space="0" w:color="auto"/>
            </w:tcBorders>
            <w:shd w:val="clear" w:color="auto" w:fill="auto"/>
            <w:vAlign w:val="center"/>
            <w:hideMark/>
          </w:tcPr>
          <w:p w14:paraId="240D6DD4" w14:textId="77777777" w:rsidR="00572995" w:rsidRPr="00483EBE" w:rsidRDefault="00572995" w:rsidP="00E8324D">
            <w:pPr>
              <w:pStyle w:val="Tablas"/>
              <w:rPr>
                <w:sz w:val="12"/>
                <w:szCs w:val="12"/>
              </w:rPr>
            </w:pPr>
            <w:r w:rsidRPr="00483EBE">
              <w:rPr>
                <w:sz w:val="12"/>
                <w:szCs w:val="12"/>
              </w:rPr>
              <w:t>$476</w:t>
            </w:r>
          </w:p>
        </w:tc>
        <w:tc>
          <w:tcPr>
            <w:tcW w:w="0" w:type="auto"/>
            <w:tcBorders>
              <w:top w:val="nil"/>
              <w:left w:val="nil"/>
              <w:bottom w:val="single" w:sz="4" w:space="0" w:color="auto"/>
              <w:right w:val="single" w:sz="4" w:space="0" w:color="auto"/>
            </w:tcBorders>
            <w:shd w:val="clear" w:color="auto" w:fill="auto"/>
            <w:vAlign w:val="center"/>
            <w:hideMark/>
          </w:tcPr>
          <w:p w14:paraId="323B1EC1"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2117A98F" w14:textId="77777777" w:rsidR="00572995" w:rsidRPr="00483EBE" w:rsidRDefault="00572995" w:rsidP="00E8324D">
            <w:pPr>
              <w:pStyle w:val="Tablas"/>
              <w:rPr>
                <w:sz w:val="12"/>
                <w:szCs w:val="12"/>
              </w:rPr>
            </w:pPr>
            <w:r w:rsidRPr="00483EBE">
              <w:rPr>
                <w:sz w:val="12"/>
                <w:szCs w:val="12"/>
              </w:rPr>
              <w:t>SEBD</w:t>
            </w:r>
          </w:p>
        </w:tc>
      </w:tr>
      <w:tr w:rsidR="00572995" w:rsidRPr="00483EBE" w14:paraId="32BA6B1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9C76F4"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3A8C30E1" w14:textId="77777777" w:rsidR="00572995" w:rsidRPr="00483EBE" w:rsidRDefault="00572995" w:rsidP="00E8324D">
            <w:pPr>
              <w:pStyle w:val="Tablas"/>
              <w:rPr>
                <w:sz w:val="12"/>
                <w:szCs w:val="12"/>
              </w:rPr>
            </w:pPr>
            <w:r w:rsidRPr="00483EBE">
              <w:rPr>
                <w:sz w:val="12"/>
                <w:szCs w:val="12"/>
              </w:rPr>
              <w:t xml:space="preserve">50 </w:t>
            </w:r>
          </w:p>
        </w:tc>
        <w:tc>
          <w:tcPr>
            <w:tcW w:w="0" w:type="auto"/>
            <w:tcBorders>
              <w:top w:val="nil"/>
              <w:left w:val="nil"/>
              <w:bottom w:val="single" w:sz="4" w:space="0" w:color="auto"/>
              <w:right w:val="single" w:sz="4" w:space="0" w:color="auto"/>
            </w:tcBorders>
            <w:shd w:val="clear" w:color="auto" w:fill="auto"/>
            <w:vAlign w:val="center"/>
            <w:hideMark/>
          </w:tcPr>
          <w:p w14:paraId="2F3BF118" w14:textId="77777777" w:rsidR="00572995" w:rsidRPr="00483EBE" w:rsidRDefault="00572995" w:rsidP="00E8324D">
            <w:pPr>
              <w:pStyle w:val="Tablas"/>
              <w:rPr>
                <w:sz w:val="12"/>
                <w:szCs w:val="12"/>
              </w:rPr>
            </w:pPr>
            <w:r w:rsidRPr="00483EBE">
              <w:rPr>
                <w:sz w:val="12"/>
                <w:szCs w:val="12"/>
              </w:rPr>
              <w:t>$247,154</w:t>
            </w:r>
          </w:p>
        </w:tc>
        <w:tc>
          <w:tcPr>
            <w:tcW w:w="0" w:type="auto"/>
            <w:tcBorders>
              <w:top w:val="nil"/>
              <w:left w:val="nil"/>
              <w:bottom w:val="single" w:sz="4" w:space="0" w:color="auto"/>
              <w:right w:val="single" w:sz="4" w:space="0" w:color="auto"/>
            </w:tcBorders>
            <w:shd w:val="clear" w:color="auto" w:fill="auto"/>
            <w:vAlign w:val="center"/>
            <w:hideMark/>
          </w:tcPr>
          <w:p w14:paraId="299CF8E4" w14:textId="77777777" w:rsidR="00572995" w:rsidRPr="00483EBE" w:rsidRDefault="00572995" w:rsidP="00E8324D">
            <w:pPr>
              <w:pStyle w:val="Tablas"/>
              <w:rPr>
                <w:sz w:val="12"/>
                <w:szCs w:val="12"/>
              </w:rPr>
            </w:pPr>
            <w:r w:rsidRPr="00483EBE">
              <w:rPr>
                <w:sz w:val="12"/>
                <w:szCs w:val="12"/>
              </w:rPr>
              <w:t>$4,943</w:t>
            </w:r>
          </w:p>
        </w:tc>
        <w:tc>
          <w:tcPr>
            <w:tcW w:w="0" w:type="auto"/>
            <w:tcBorders>
              <w:top w:val="nil"/>
              <w:left w:val="nil"/>
              <w:bottom w:val="single" w:sz="4" w:space="0" w:color="auto"/>
              <w:right w:val="single" w:sz="4" w:space="0" w:color="auto"/>
            </w:tcBorders>
            <w:shd w:val="clear" w:color="auto" w:fill="auto"/>
            <w:vAlign w:val="center"/>
            <w:hideMark/>
          </w:tcPr>
          <w:p w14:paraId="06050E23" w14:textId="77777777" w:rsidR="00572995" w:rsidRPr="00483EBE" w:rsidRDefault="00572995" w:rsidP="00E8324D">
            <w:pPr>
              <w:pStyle w:val="Tablas"/>
              <w:rPr>
                <w:sz w:val="12"/>
                <w:szCs w:val="12"/>
              </w:rPr>
            </w:pPr>
            <w:r w:rsidRPr="00483EBE">
              <w:rPr>
                <w:sz w:val="12"/>
                <w:szCs w:val="12"/>
              </w:rPr>
              <w:t>$412</w:t>
            </w:r>
          </w:p>
        </w:tc>
        <w:tc>
          <w:tcPr>
            <w:tcW w:w="0" w:type="auto"/>
            <w:tcBorders>
              <w:top w:val="nil"/>
              <w:left w:val="nil"/>
              <w:bottom w:val="single" w:sz="4" w:space="0" w:color="auto"/>
              <w:right w:val="single" w:sz="4" w:space="0" w:color="auto"/>
            </w:tcBorders>
            <w:shd w:val="clear" w:color="auto" w:fill="auto"/>
            <w:vAlign w:val="center"/>
            <w:hideMark/>
          </w:tcPr>
          <w:p w14:paraId="0AFBF6E3"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F3B0F5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C89B9B"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06064DDF" w14:textId="77777777" w:rsidR="00572995" w:rsidRPr="00483EBE" w:rsidRDefault="00572995" w:rsidP="00E8324D">
            <w:pPr>
              <w:pStyle w:val="Tablas"/>
              <w:rPr>
                <w:sz w:val="12"/>
                <w:szCs w:val="12"/>
              </w:rPr>
            </w:pPr>
            <w:r w:rsidRPr="00483EBE">
              <w:rPr>
                <w:sz w:val="12"/>
                <w:szCs w:val="12"/>
              </w:rPr>
              <w:t xml:space="preserve">64 </w:t>
            </w:r>
          </w:p>
        </w:tc>
        <w:tc>
          <w:tcPr>
            <w:tcW w:w="0" w:type="auto"/>
            <w:tcBorders>
              <w:top w:val="nil"/>
              <w:left w:val="nil"/>
              <w:bottom w:val="single" w:sz="4" w:space="0" w:color="auto"/>
              <w:right w:val="single" w:sz="4" w:space="0" w:color="auto"/>
            </w:tcBorders>
            <w:shd w:val="clear" w:color="auto" w:fill="auto"/>
            <w:vAlign w:val="center"/>
            <w:hideMark/>
          </w:tcPr>
          <w:p w14:paraId="3AE61F35" w14:textId="77777777" w:rsidR="00572995" w:rsidRPr="00483EBE" w:rsidRDefault="00572995" w:rsidP="00E8324D">
            <w:pPr>
              <w:pStyle w:val="Tablas"/>
              <w:rPr>
                <w:sz w:val="12"/>
                <w:szCs w:val="12"/>
              </w:rPr>
            </w:pPr>
            <w:r w:rsidRPr="00483EBE">
              <w:rPr>
                <w:sz w:val="12"/>
                <w:szCs w:val="12"/>
              </w:rPr>
              <w:t>$332,314</w:t>
            </w:r>
          </w:p>
        </w:tc>
        <w:tc>
          <w:tcPr>
            <w:tcW w:w="0" w:type="auto"/>
            <w:tcBorders>
              <w:top w:val="nil"/>
              <w:left w:val="nil"/>
              <w:bottom w:val="single" w:sz="4" w:space="0" w:color="auto"/>
              <w:right w:val="single" w:sz="4" w:space="0" w:color="auto"/>
            </w:tcBorders>
            <w:shd w:val="clear" w:color="auto" w:fill="auto"/>
            <w:vAlign w:val="center"/>
            <w:hideMark/>
          </w:tcPr>
          <w:p w14:paraId="2947FAC3" w14:textId="77777777" w:rsidR="00572995" w:rsidRPr="00483EBE" w:rsidRDefault="00572995" w:rsidP="00E8324D">
            <w:pPr>
              <w:pStyle w:val="Tablas"/>
              <w:rPr>
                <w:sz w:val="12"/>
                <w:szCs w:val="12"/>
              </w:rPr>
            </w:pPr>
            <w:r w:rsidRPr="00483EBE">
              <w:rPr>
                <w:sz w:val="12"/>
                <w:szCs w:val="12"/>
              </w:rPr>
              <w:t>$5,192</w:t>
            </w:r>
          </w:p>
        </w:tc>
        <w:tc>
          <w:tcPr>
            <w:tcW w:w="0" w:type="auto"/>
            <w:tcBorders>
              <w:top w:val="nil"/>
              <w:left w:val="nil"/>
              <w:bottom w:val="single" w:sz="4" w:space="0" w:color="auto"/>
              <w:right w:val="single" w:sz="4" w:space="0" w:color="auto"/>
            </w:tcBorders>
            <w:shd w:val="clear" w:color="auto" w:fill="auto"/>
            <w:vAlign w:val="center"/>
            <w:hideMark/>
          </w:tcPr>
          <w:p w14:paraId="496BE1C2" w14:textId="77777777" w:rsidR="00572995" w:rsidRPr="00483EBE" w:rsidRDefault="00572995" w:rsidP="00E8324D">
            <w:pPr>
              <w:pStyle w:val="Tablas"/>
              <w:rPr>
                <w:sz w:val="12"/>
                <w:szCs w:val="12"/>
              </w:rPr>
            </w:pPr>
            <w:r w:rsidRPr="00483EBE">
              <w:rPr>
                <w:sz w:val="12"/>
                <w:szCs w:val="12"/>
              </w:rPr>
              <w:t>$433</w:t>
            </w:r>
          </w:p>
        </w:tc>
        <w:tc>
          <w:tcPr>
            <w:tcW w:w="0" w:type="auto"/>
            <w:tcBorders>
              <w:top w:val="nil"/>
              <w:left w:val="nil"/>
              <w:bottom w:val="single" w:sz="4" w:space="0" w:color="auto"/>
              <w:right w:val="single" w:sz="4" w:space="0" w:color="auto"/>
            </w:tcBorders>
            <w:shd w:val="clear" w:color="auto" w:fill="auto"/>
            <w:vAlign w:val="center"/>
            <w:hideMark/>
          </w:tcPr>
          <w:p w14:paraId="4AC09DED"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5A776DC1" w14:textId="77777777" w:rsidR="00572995" w:rsidRPr="00483EBE" w:rsidRDefault="00572995" w:rsidP="00E8324D">
            <w:pPr>
              <w:pStyle w:val="Tablas"/>
              <w:rPr>
                <w:sz w:val="12"/>
                <w:szCs w:val="12"/>
              </w:rPr>
            </w:pPr>
            <w:r w:rsidRPr="00483EBE">
              <w:rPr>
                <w:sz w:val="12"/>
                <w:szCs w:val="12"/>
              </w:rPr>
              <w:t>SEBD</w:t>
            </w:r>
          </w:p>
        </w:tc>
      </w:tr>
      <w:tr w:rsidR="00572995" w:rsidRPr="00483EBE" w14:paraId="6BB35D6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AB335D"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26DE40BE" w14:textId="77777777" w:rsidR="00572995" w:rsidRPr="00483EBE" w:rsidRDefault="00572995" w:rsidP="00E8324D">
            <w:pPr>
              <w:pStyle w:val="Tablas"/>
              <w:rPr>
                <w:sz w:val="12"/>
                <w:szCs w:val="12"/>
              </w:rPr>
            </w:pPr>
            <w:r w:rsidRPr="00483EBE">
              <w:rPr>
                <w:sz w:val="12"/>
                <w:szCs w:val="12"/>
              </w:rPr>
              <w:t xml:space="preserve">62 </w:t>
            </w:r>
          </w:p>
        </w:tc>
        <w:tc>
          <w:tcPr>
            <w:tcW w:w="0" w:type="auto"/>
            <w:tcBorders>
              <w:top w:val="nil"/>
              <w:left w:val="nil"/>
              <w:bottom w:val="single" w:sz="4" w:space="0" w:color="auto"/>
              <w:right w:val="single" w:sz="4" w:space="0" w:color="auto"/>
            </w:tcBorders>
            <w:shd w:val="clear" w:color="auto" w:fill="auto"/>
            <w:vAlign w:val="center"/>
            <w:hideMark/>
          </w:tcPr>
          <w:p w14:paraId="37667737" w14:textId="77777777" w:rsidR="00572995" w:rsidRPr="00483EBE" w:rsidRDefault="00572995" w:rsidP="00E8324D">
            <w:pPr>
              <w:pStyle w:val="Tablas"/>
              <w:rPr>
                <w:sz w:val="12"/>
                <w:szCs w:val="12"/>
              </w:rPr>
            </w:pPr>
            <w:r w:rsidRPr="00483EBE">
              <w:rPr>
                <w:sz w:val="12"/>
                <w:szCs w:val="12"/>
              </w:rPr>
              <w:t>$282,900</w:t>
            </w:r>
          </w:p>
        </w:tc>
        <w:tc>
          <w:tcPr>
            <w:tcW w:w="0" w:type="auto"/>
            <w:tcBorders>
              <w:top w:val="nil"/>
              <w:left w:val="nil"/>
              <w:bottom w:val="single" w:sz="4" w:space="0" w:color="auto"/>
              <w:right w:val="single" w:sz="4" w:space="0" w:color="auto"/>
            </w:tcBorders>
            <w:shd w:val="clear" w:color="auto" w:fill="auto"/>
            <w:vAlign w:val="center"/>
            <w:hideMark/>
          </w:tcPr>
          <w:p w14:paraId="70F849AD" w14:textId="77777777" w:rsidR="00572995" w:rsidRPr="00483EBE" w:rsidRDefault="00572995" w:rsidP="00E8324D">
            <w:pPr>
              <w:pStyle w:val="Tablas"/>
              <w:rPr>
                <w:sz w:val="12"/>
                <w:szCs w:val="12"/>
              </w:rPr>
            </w:pPr>
            <w:r w:rsidRPr="00483EBE">
              <w:rPr>
                <w:sz w:val="12"/>
                <w:szCs w:val="12"/>
              </w:rPr>
              <w:t>$4,563</w:t>
            </w:r>
          </w:p>
        </w:tc>
        <w:tc>
          <w:tcPr>
            <w:tcW w:w="0" w:type="auto"/>
            <w:tcBorders>
              <w:top w:val="nil"/>
              <w:left w:val="nil"/>
              <w:bottom w:val="single" w:sz="4" w:space="0" w:color="auto"/>
              <w:right w:val="single" w:sz="4" w:space="0" w:color="auto"/>
            </w:tcBorders>
            <w:shd w:val="clear" w:color="auto" w:fill="auto"/>
            <w:vAlign w:val="center"/>
            <w:hideMark/>
          </w:tcPr>
          <w:p w14:paraId="002F63BE" w14:textId="77777777" w:rsidR="00572995" w:rsidRPr="00483EBE" w:rsidRDefault="00572995" w:rsidP="00E8324D">
            <w:pPr>
              <w:pStyle w:val="Tablas"/>
              <w:rPr>
                <w:sz w:val="12"/>
                <w:szCs w:val="12"/>
              </w:rPr>
            </w:pPr>
            <w:r w:rsidRPr="00483EBE">
              <w:rPr>
                <w:sz w:val="12"/>
                <w:szCs w:val="12"/>
              </w:rPr>
              <w:t>$380</w:t>
            </w:r>
          </w:p>
        </w:tc>
        <w:tc>
          <w:tcPr>
            <w:tcW w:w="0" w:type="auto"/>
            <w:tcBorders>
              <w:top w:val="nil"/>
              <w:left w:val="nil"/>
              <w:bottom w:val="single" w:sz="4" w:space="0" w:color="auto"/>
              <w:right w:val="single" w:sz="4" w:space="0" w:color="auto"/>
            </w:tcBorders>
            <w:shd w:val="clear" w:color="auto" w:fill="auto"/>
            <w:vAlign w:val="center"/>
            <w:hideMark/>
          </w:tcPr>
          <w:p w14:paraId="3512271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472B0F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EFBD584"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6E3ADE00"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636396EA" w14:textId="77777777" w:rsidR="00572995" w:rsidRPr="00483EBE" w:rsidRDefault="00572995" w:rsidP="00E8324D">
            <w:pPr>
              <w:pStyle w:val="Tablas"/>
              <w:rPr>
                <w:sz w:val="12"/>
                <w:szCs w:val="12"/>
              </w:rPr>
            </w:pPr>
            <w:r w:rsidRPr="00483EBE">
              <w:rPr>
                <w:sz w:val="12"/>
                <w:szCs w:val="12"/>
              </w:rPr>
              <w:t>$204,445</w:t>
            </w:r>
          </w:p>
        </w:tc>
        <w:tc>
          <w:tcPr>
            <w:tcW w:w="0" w:type="auto"/>
            <w:tcBorders>
              <w:top w:val="nil"/>
              <w:left w:val="nil"/>
              <w:bottom w:val="single" w:sz="4" w:space="0" w:color="auto"/>
              <w:right w:val="single" w:sz="4" w:space="0" w:color="auto"/>
            </w:tcBorders>
            <w:shd w:val="clear" w:color="auto" w:fill="auto"/>
            <w:vAlign w:val="center"/>
            <w:hideMark/>
          </w:tcPr>
          <w:p w14:paraId="7EA18504" w14:textId="77777777" w:rsidR="00572995" w:rsidRPr="00483EBE" w:rsidRDefault="00572995" w:rsidP="00E8324D">
            <w:pPr>
              <w:pStyle w:val="Tablas"/>
              <w:rPr>
                <w:sz w:val="12"/>
                <w:szCs w:val="12"/>
              </w:rPr>
            </w:pPr>
            <w:r w:rsidRPr="00483EBE">
              <w:rPr>
                <w:sz w:val="12"/>
                <w:szCs w:val="12"/>
              </w:rPr>
              <w:t>$4,986</w:t>
            </w:r>
          </w:p>
        </w:tc>
        <w:tc>
          <w:tcPr>
            <w:tcW w:w="0" w:type="auto"/>
            <w:tcBorders>
              <w:top w:val="nil"/>
              <w:left w:val="nil"/>
              <w:bottom w:val="single" w:sz="4" w:space="0" w:color="auto"/>
              <w:right w:val="single" w:sz="4" w:space="0" w:color="auto"/>
            </w:tcBorders>
            <w:shd w:val="clear" w:color="auto" w:fill="auto"/>
            <w:vAlign w:val="center"/>
            <w:hideMark/>
          </w:tcPr>
          <w:p w14:paraId="1578EDE1" w14:textId="77777777" w:rsidR="00572995" w:rsidRPr="00483EBE" w:rsidRDefault="00572995" w:rsidP="00E8324D">
            <w:pPr>
              <w:pStyle w:val="Tablas"/>
              <w:rPr>
                <w:sz w:val="12"/>
                <w:szCs w:val="12"/>
              </w:rPr>
            </w:pPr>
            <w:r w:rsidRPr="00483EBE">
              <w:rPr>
                <w:sz w:val="12"/>
                <w:szCs w:val="12"/>
              </w:rPr>
              <w:t>$416</w:t>
            </w:r>
          </w:p>
        </w:tc>
        <w:tc>
          <w:tcPr>
            <w:tcW w:w="0" w:type="auto"/>
            <w:tcBorders>
              <w:top w:val="nil"/>
              <w:left w:val="nil"/>
              <w:bottom w:val="single" w:sz="4" w:space="0" w:color="auto"/>
              <w:right w:val="single" w:sz="4" w:space="0" w:color="auto"/>
            </w:tcBorders>
            <w:shd w:val="clear" w:color="auto" w:fill="auto"/>
            <w:vAlign w:val="center"/>
            <w:hideMark/>
          </w:tcPr>
          <w:p w14:paraId="5B4A9B4A"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58345BD2" w14:textId="77777777" w:rsidR="00572995" w:rsidRPr="00483EBE" w:rsidRDefault="00572995" w:rsidP="00E8324D">
            <w:pPr>
              <w:pStyle w:val="Tablas"/>
              <w:rPr>
                <w:sz w:val="12"/>
                <w:szCs w:val="12"/>
              </w:rPr>
            </w:pPr>
            <w:r w:rsidRPr="00483EBE">
              <w:rPr>
                <w:sz w:val="12"/>
                <w:szCs w:val="12"/>
              </w:rPr>
              <w:t>SEBD</w:t>
            </w:r>
          </w:p>
        </w:tc>
      </w:tr>
      <w:tr w:rsidR="00572995" w:rsidRPr="00483EBE" w14:paraId="3D587B8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B124720"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673F7E40" w14:textId="77777777" w:rsidR="00572995" w:rsidRPr="00483EBE" w:rsidRDefault="00572995" w:rsidP="00E8324D">
            <w:pPr>
              <w:pStyle w:val="Tablas"/>
              <w:rPr>
                <w:sz w:val="12"/>
                <w:szCs w:val="12"/>
              </w:rPr>
            </w:pPr>
            <w:r w:rsidRPr="00483EBE">
              <w:rPr>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14:paraId="09DB3F1C" w14:textId="77777777" w:rsidR="00572995" w:rsidRPr="00483EBE" w:rsidRDefault="00572995" w:rsidP="00E8324D">
            <w:pPr>
              <w:pStyle w:val="Tablas"/>
              <w:rPr>
                <w:sz w:val="12"/>
                <w:szCs w:val="12"/>
              </w:rPr>
            </w:pPr>
            <w:r w:rsidRPr="00483EBE">
              <w:rPr>
                <w:sz w:val="12"/>
                <w:szCs w:val="12"/>
              </w:rPr>
              <w:t>$260,274</w:t>
            </w:r>
          </w:p>
        </w:tc>
        <w:tc>
          <w:tcPr>
            <w:tcW w:w="0" w:type="auto"/>
            <w:tcBorders>
              <w:top w:val="nil"/>
              <w:left w:val="nil"/>
              <w:bottom w:val="single" w:sz="4" w:space="0" w:color="auto"/>
              <w:right w:val="single" w:sz="4" w:space="0" w:color="auto"/>
            </w:tcBorders>
            <w:shd w:val="clear" w:color="auto" w:fill="auto"/>
            <w:vAlign w:val="center"/>
            <w:hideMark/>
          </w:tcPr>
          <w:p w14:paraId="3B10D131" w14:textId="77777777" w:rsidR="00572995" w:rsidRPr="00483EBE" w:rsidRDefault="00572995" w:rsidP="00E8324D">
            <w:pPr>
              <w:pStyle w:val="Tablas"/>
              <w:rPr>
                <w:sz w:val="12"/>
                <w:szCs w:val="12"/>
              </w:rPr>
            </w:pPr>
            <w:r w:rsidRPr="00483EBE">
              <w:rPr>
                <w:sz w:val="12"/>
                <w:szCs w:val="12"/>
              </w:rPr>
              <w:t>$4,338</w:t>
            </w:r>
          </w:p>
        </w:tc>
        <w:tc>
          <w:tcPr>
            <w:tcW w:w="0" w:type="auto"/>
            <w:tcBorders>
              <w:top w:val="nil"/>
              <w:left w:val="nil"/>
              <w:bottom w:val="single" w:sz="4" w:space="0" w:color="auto"/>
              <w:right w:val="single" w:sz="4" w:space="0" w:color="auto"/>
            </w:tcBorders>
            <w:shd w:val="clear" w:color="auto" w:fill="auto"/>
            <w:vAlign w:val="center"/>
            <w:hideMark/>
          </w:tcPr>
          <w:p w14:paraId="0F360B3D" w14:textId="77777777" w:rsidR="00572995" w:rsidRPr="00483EBE" w:rsidRDefault="00572995" w:rsidP="00E8324D">
            <w:pPr>
              <w:pStyle w:val="Tablas"/>
              <w:rPr>
                <w:sz w:val="12"/>
                <w:szCs w:val="12"/>
              </w:rPr>
            </w:pPr>
            <w:r w:rsidRPr="00483EBE">
              <w:rPr>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2759CCB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B108DF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22D04A"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39D6A05"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68F91210" w14:textId="77777777" w:rsidR="00572995" w:rsidRPr="00483EBE" w:rsidRDefault="00572995" w:rsidP="00E8324D">
            <w:pPr>
              <w:pStyle w:val="Tablas"/>
              <w:rPr>
                <w:sz w:val="12"/>
                <w:szCs w:val="12"/>
              </w:rPr>
            </w:pPr>
            <w:r w:rsidRPr="00483EBE">
              <w:rPr>
                <w:sz w:val="12"/>
                <w:szCs w:val="12"/>
              </w:rPr>
              <w:t>$59,436</w:t>
            </w:r>
          </w:p>
        </w:tc>
        <w:tc>
          <w:tcPr>
            <w:tcW w:w="0" w:type="auto"/>
            <w:tcBorders>
              <w:top w:val="nil"/>
              <w:left w:val="nil"/>
              <w:bottom w:val="single" w:sz="4" w:space="0" w:color="auto"/>
              <w:right w:val="single" w:sz="4" w:space="0" w:color="auto"/>
            </w:tcBorders>
            <w:shd w:val="clear" w:color="auto" w:fill="auto"/>
            <w:vAlign w:val="center"/>
            <w:hideMark/>
          </w:tcPr>
          <w:p w14:paraId="3636DE42" w14:textId="77777777" w:rsidR="00572995" w:rsidRPr="00483EBE" w:rsidRDefault="00572995" w:rsidP="00E8324D">
            <w:pPr>
              <w:pStyle w:val="Tablas"/>
              <w:rPr>
                <w:sz w:val="12"/>
                <w:szCs w:val="12"/>
              </w:rPr>
            </w:pPr>
            <w:r w:rsidRPr="00483EBE">
              <w:rPr>
                <w:sz w:val="12"/>
                <w:szCs w:val="12"/>
              </w:rPr>
              <w:t>$5,944</w:t>
            </w:r>
          </w:p>
        </w:tc>
        <w:tc>
          <w:tcPr>
            <w:tcW w:w="0" w:type="auto"/>
            <w:tcBorders>
              <w:top w:val="nil"/>
              <w:left w:val="nil"/>
              <w:bottom w:val="single" w:sz="4" w:space="0" w:color="auto"/>
              <w:right w:val="single" w:sz="4" w:space="0" w:color="auto"/>
            </w:tcBorders>
            <w:shd w:val="clear" w:color="auto" w:fill="auto"/>
            <w:vAlign w:val="center"/>
            <w:hideMark/>
          </w:tcPr>
          <w:p w14:paraId="71F959C6" w14:textId="77777777" w:rsidR="00572995" w:rsidRPr="00483EBE" w:rsidRDefault="00572995" w:rsidP="00E8324D">
            <w:pPr>
              <w:pStyle w:val="Tablas"/>
              <w:rPr>
                <w:sz w:val="12"/>
                <w:szCs w:val="12"/>
              </w:rPr>
            </w:pPr>
            <w:r w:rsidRPr="00483EBE">
              <w:rPr>
                <w:sz w:val="12"/>
                <w:szCs w:val="12"/>
              </w:rPr>
              <w:t>$495</w:t>
            </w:r>
          </w:p>
        </w:tc>
        <w:tc>
          <w:tcPr>
            <w:tcW w:w="0" w:type="auto"/>
            <w:tcBorders>
              <w:top w:val="nil"/>
              <w:left w:val="nil"/>
              <w:bottom w:val="single" w:sz="4" w:space="0" w:color="auto"/>
              <w:right w:val="single" w:sz="4" w:space="0" w:color="auto"/>
            </w:tcBorders>
            <w:shd w:val="clear" w:color="auto" w:fill="auto"/>
            <w:vAlign w:val="center"/>
            <w:hideMark/>
          </w:tcPr>
          <w:p w14:paraId="05F5EBEE"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4668CB9F" w14:textId="77777777" w:rsidR="00572995" w:rsidRPr="00483EBE" w:rsidRDefault="00572995" w:rsidP="00E8324D">
            <w:pPr>
              <w:pStyle w:val="Tablas"/>
              <w:rPr>
                <w:sz w:val="12"/>
                <w:szCs w:val="12"/>
              </w:rPr>
            </w:pPr>
            <w:r w:rsidRPr="00483EBE">
              <w:rPr>
                <w:sz w:val="12"/>
                <w:szCs w:val="12"/>
              </w:rPr>
              <w:t>SEBD</w:t>
            </w:r>
          </w:p>
        </w:tc>
      </w:tr>
      <w:tr w:rsidR="00572995" w:rsidRPr="00483EBE" w14:paraId="01D3764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68727E3"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0A11D409" w14:textId="77777777" w:rsidR="00572995" w:rsidRPr="00483EBE" w:rsidRDefault="00572995" w:rsidP="00E8324D">
            <w:pPr>
              <w:pStyle w:val="Tablas"/>
              <w:rPr>
                <w:sz w:val="12"/>
                <w:szCs w:val="12"/>
              </w:rPr>
            </w:pPr>
            <w:r w:rsidRPr="00483EBE">
              <w:rPr>
                <w:sz w:val="12"/>
                <w:szCs w:val="12"/>
              </w:rPr>
              <w:t xml:space="preserve">63 </w:t>
            </w:r>
          </w:p>
        </w:tc>
        <w:tc>
          <w:tcPr>
            <w:tcW w:w="0" w:type="auto"/>
            <w:tcBorders>
              <w:top w:val="nil"/>
              <w:left w:val="nil"/>
              <w:bottom w:val="single" w:sz="4" w:space="0" w:color="auto"/>
              <w:right w:val="single" w:sz="4" w:space="0" w:color="auto"/>
            </w:tcBorders>
            <w:shd w:val="clear" w:color="auto" w:fill="auto"/>
            <w:vAlign w:val="center"/>
            <w:hideMark/>
          </w:tcPr>
          <w:p w14:paraId="690002F5" w14:textId="77777777" w:rsidR="00572995" w:rsidRPr="00483EBE" w:rsidRDefault="00572995" w:rsidP="00E8324D">
            <w:pPr>
              <w:pStyle w:val="Tablas"/>
              <w:rPr>
                <w:sz w:val="12"/>
                <w:szCs w:val="12"/>
              </w:rPr>
            </w:pPr>
            <w:r w:rsidRPr="00483EBE">
              <w:rPr>
                <w:sz w:val="12"/>
                <w:szCs w:val="12"/>
              </w:rPr>
              <w:t>$261,643</w:t>
            </w:r>
          </w:p>
        </w:tc>
        <w:tc>
          <w:tcPr>
            <w:tcW w:w="0" w:type="auto"/>
            <w:tcBorders>
              <w:top w:val="nil"/>
              <w:left w:val="nil"/>
              <w:bottom w:val="single" w:sz="4" w:space="0" w:color="auto"/>
              <w:right w:val="single" w:sz="4" w:space="0" w:color="auto"/>
            </w:tcBorders>
            <w:shd w:val="clear" w:color="auto" w:fill="auto"/>
            <w:vAlign w:val="center"/>
            <w:hideMark/>
          </w:tcPr>
          <w:p w14:paraId="407E58DB" w14:textId="77777777" w:rsidR="00572995" w:rsidRPr="00483EBE" w:rsidRDefault="00572995" w:rsidP="00E8324D">
            <w:pPr>
              <w:pStyle w:val="Tablas"/>
              <w:rPr>
                <w:sz w:val="12"/>
                <w:szCs w:val="12"/>
              </w:rPr>
            </w:pPr>
            <w:r w:rsidRPr="00483EBE">
              <w:rPr>
                <w:sz w:val="12"/>
                <w:szCs w:val="12"/>
              </w:rPr>
              <w:t>$4,153</w:t>
            </w:r>
          </w:p>
        </w:tc>
        <w:tc>
          <w:tcPr>
            <w:tcW w:w="0" w:type="auto"/>
            <w:tcBorders>
              <w:top w:val="nil"/>
              <w:left w:val="nil"/>
              <w:bottom w:val="single" w:sz="4" w:space="0" w:color="auto"/>
              <w:right w:val="single" w:sz="4" w:space="0" w:color="auto"/>
            </w:tcBorders>
            <w:shd w:val="clear" w:color="auto" w:fill="auto"/>
            <w:vAlign w:val="center"/>
            <w:hideMark/>
          </w:tcPr>
          <w:p w14:paraId="4A2399F5" w14:textId="77777777" w:rsidR="00572995" w:rsidRPr="00483EBE" w:rsidRDefault="00572995" w:rsidP="00E8324D">
            <w:pPr>
              <w:pStyle w:val="Tablas"/>
              <w:rPr>
                <w:sz w:val="12"/>
                <w:szCs w:val="12"/>
              </w:rPr>
            </w:pPr>
            <w:r w:rsidRPr="00483EBE">
              <w:rPr>
                <w:sz w:val="12"/>
                <w:szCs w:val="12"/>
              </w:rPr>
              <w:t>$346</w:t>
            </w:r>
          </w:p>
        </w:tc>
        <w:tc>
          <w:tcPr>
            <w:tcW w:w="0" w:type="auto"/>
            <w:tcBorders>
              <w:top w:val="nil"/>
              <w:left w:val="nil"/>
              <w:bottom w:val="single" w:sz="4" w:space="0" w:color="auto"/>
              <w:right w:val="single" w:sz="4" w:space="0" w:color="auto"/>
            </w:tcBorders>
            <w:shd w:val="clear" w:color="auto" w:fill="auto"/>
            <w:vAlign w:val="center"/>
            <w:hideMark/>
          </w:tcPr>
          <w:p w14:paraId="52D62205"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BE407B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609A30A"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AC0BEA0"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7F5DF409" w14:textId="77777777" w:rsidR="00572995" w:rsidRPr="00483EBE" w:rsidRDefault="00572995" w:rsidP="00E8324D">
            <w:pPr>
              <w:pStyle w:val="Tablas"/>
              <w:rPr>
                <w:sz w:val="12"/>
                <w:szCs w:val="12"/>
              </w:rPr>
            </w:pPr>
            <w:r w:rsidRPr="00483EBE">
              <w:rPr>
                <w:sz w:val="12"/>
                <w:szCs w:val="12"/>
              </w:rPr>
              <w:t>$63,809</w:t>
            </w:r>
          </w:p>
        </w:tc>
        <w:tc>
          <w:tcPr>
            <w:tcW w:w="0" w:type="auto"/>
            <w:tcBorders>
              <w:top w:val="nil"/>
              <w:left w:val="nil"/>
              <w:bottom w:val="single" w:sz="4" w:space="0" w:color="auto"/>
              <w:right w:val="single" w:sz="4" w:space="0" w:color="auto"/>
            </w:tcBorders>
            <w:shd w:val="clear" w:color="auto" w:fill="auto"/>
            <w:vAlign w:val="center"/>
            <w:hideMark/>
          </w:tcPr>
          <w:p w14:paraId="5267FD65" w14:textId="77777777" w:rsidR="00572995" w:rsidRPr="00483EBE" w:rsidRDefault="00572995" w:rsidP="00E8324D">
            <w:pPr>
              <w:pStyle w:val="Tablas"/>
              <w:rPr>
                <w:sz w:val="12"/>
                <w:szCs w:val="12"/>
              </w:rPr>
            </w:pPr>
            <w:r w:rsidRPr="00483EBE">
              <w:rPr>
                <w:sz w:val="12"/>
                <w:szCs w:val="12"/>
              </w:rPr>
              <w:t>$5,801</w:t>
            </w:r>
          </w:p>
        </w:tc>
        <w:tc>
          <w:tcPr>
            <w:tcW w:w="0" w:type="auto"/>
            <w:tcBorders>
              <w:top w:val="nil"/>
              <w:left w:val="nil"/>
              <w:bottom w:val="single" w:sz="4" w:space="0" w:color="auto"/>
              <w:right w:val="single" w:sz="4" w:space="0" w:color="auto"/>
            </w:tcBorders>
            <w:shd w:val="clear" w:color="auto" w:fill="auto"/>
            <w:vAlign w:val="center"/>
            <w:hideMark/>
          </w:tcPr>
          <w:p w14:paraId="7A70FCE8" w14:textId="77777777" w:rsidR="00572995" w:rsidRPr="00483EBE" w:rsidRDefault="00572995" w:rsidP="00E8324D">
            <w:pPr>
              <w:pStyle w:val="Tablas"/>
              <w:rPr>
                <w:sz w:val="12"/>
                <w:szCs w:val="12"/>
              </w:rPr>
            </w:pPr>
            <w:r w:rsidRPr="00483EBE">
              <w:rPr>
                <w:sz w:val="12"/>
                <w:szCs w:val="12"/>
              </w:rPr>
              <w:t>$483</w:t>
            </w:r>
          </w:p>
        </w:tc>
        <w:tc>
          <w:tcPr>
            <w:tcW w:w="0" w:type="auto"/>
            <w:tcBorders>
              <w:top w:val="nil"/>
              <w:left w:val="nil"/>
              <w:bottom w:val="single" w:sz="4" w:space="0" w:color="auto"/>
              <w:right w:val="single" w:sz="4" w:space="0" w:color="auto"/>
            </w:tcBorders>
            <w:shd w:val="clear" w:color="auto" w:fill="auto"/>
            <w:vAlign w:val="center"/>
            <w:hideMark/>
          </w:tcPr>
          <w:p w14:paraId="5BA33BBA"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20373AB2" w14:textId="77777777" w:rsidR="00572995" w:rsidRPr="00483EBE" w:rsidRDefault="00572995" w:rsidP="00E8324D">
            <w:pPr>
              <w:pStyle w:val="Tablas"/>
              <w:rPr>
                <w:sz w:val="12"/>
                <w:szCs w:val="12"/>
              </w:rPr>
            </w:pPr>
            <w:r w:rsidRPr="00483EBE">
              <w:rPr>
                <w:sz w:val="12"/>
                <w:szCs w:val="12"/>
              </w:rPr>
              <w:t>SEBD</w:t>
            </w:r>
          </w:p>
        </w:tc>
      </w:tr>
      <w:tr w:rsidR="00572995" w:rsidRPr="00483EBE" w14:paraId="1291A72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6CB9A4"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6E1A7F20" w14:textId="77777777" w:rsidR="00572995" w:rsidRPr="00483EBE" w:rsidRDefault="00572995" w:rsidP="00E8324D">
            <w:pPr>
              <w:pStyle w:val="Tablas"/>
              <w:rPr>
                <w:sz w:val="12"/>
                <w:szCs w:val="12"/>
              </w:rPr>
            </w:pPr>
            <w:r w:rsidRPr="00483EBE">
              <w:rPr>
                <w:sz w:val="12"/>
                <w:szCs w:val="12"/>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98BE876" w14:textId="77777777" w:rsidR="00572995" w:rsidRPr="00483EBE" w:rsidRDefault="00572995" w:rsidP="00E8324D">
            <w:pPr>
              <w:pStyle w:val="Tablas"/>
              <w:rPr>
                <w:sz w:val="12"/>
                <w:szCs w:val="12"/>
              </w:rPr>
            </w:pPr>
            <w:r w:rsidRPr="00483EBE">
              <w:rPr>
                <w:sz w:val="12"/>
                <w:szCs w:val="12"/>
              </w:rPr>
              <w:t>$496,898</w:t>
            </w:r>
          </w:p>
        </w:tc>
        <w:tc>
          <w:tcPr>
            <w:tcW w:w="0" w:type="auto"/>
            <w:tcBorders>
              <w:top w:val="nil"/>
              <w:left w:val="nil"/>
              <w:bottom w:val="single" w:sz="4" w:space="0" w:color="auto"/>
              <w:right w:val="single" w:sz="4" w:space="0" w:color="auto"/>
            </w:tcBorders>
            <w:shd w:val="clear" w:color="auto" w:fill="auto"/>
            <w:vAlign w:val="center"/>
            <w:hideMark/>
          </w:tcPr>
          <w:p w14:paraId="5761B7D4" w14:textId="77777777" w:rsidR="00572995" w:rsidRPr="00483EBE" w:rsidRDefault="00572995" w:rsidP="00E8324D">
            <w:pPr>
              <w:pStyle w:val="Tablas"/>
              <w:rPr>
                <w:sz w:val="12"/>
                <w:szCs w:val="12"/>
              </w:rPr>
            </w:pPr>
            <w:r w:rsidRPr="00483EBE">
              <w:rPr>
                <w:sz w:val="12"/>
                <w:szCs w:val="12"/>
              </w:rPr>
              <w:t>$4,969</w:t>
            </w:r>
          </w:p>
        </w:tc>
        <w:tc>
          <w:tcPr>
            <w:tcW w:w="0" w:type="auto"/>
            <w:tcBorders>
              <w:top w:val="nil"/>
              <w:left w:val="nil"/>
              <w:bottom w:val="single" w:sz="4" w:space="0" w:color="auto"/>
              <w:right w:val="single" w:sz="4" w:space="0" w:color="auto"/>
            </w:tcBorders>
            <w:shd w:val="clear" w:color="auto" w:fill="auto"/>
            <w:vAlign w:val="center"/>
            <w:hideMark/>
          </w:tcPr>
          <w:p w14:paraId="5AD62C5C" w14:textId="77777777" w:rsidR="00572995" w:rsidRPr="00483EBE" w:rsidRDefault="00572995" w:rsidP="00E8324D">
            <w:pPr>
              <w:pStyle w:val="Tablas"/>
              <w:rPr>
                <w:sz w:val="12"/>
                <w:szCs w:val="12"/>
              </w:rPr>
            </w:pPr>
            <w:r w:rsidRPr="00483EBE">
              <w:rPr>
                <w:sz w:val="12"/>
                <w:szCs w:val="12"/>
              </w:rPr>
              <w:t>$414</w:t>
            </w:r>
          </w:p>
        </w:tc>
        <w:tc>
          <w:tcPr>
            <w:tcW w:w="0" w:type="auto"/>
            <w:tcBorders>
              <w:top w:val="nil"/>
              <w:left w:val="nil"/>
              <w:bottom w:val="single" w:sz="4" w:space="0" w:color="auto"/>
              <w:right w:val="single" w:sz="4" w:space="0" w:color="auto"/>
            </w:tcBorders>
            <w:shd w:val="clear" w:color="auto" w:fill="auto"/>
            <w:vAlign w:val="center"/>
            <w:hideMark/>
          </w:tcPr>
          <w:p w14:paraId="6570B84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05AB3D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B136F7"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039653A3"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91346A4" w14:textId="77777777" w:rsidR="00572995" w:rsidRPr="00483EBE" w:rsidRDefault="00572995" w:rsidP="00E8324D">
            <w:pPr>
              <w:pStyle w:val="Tablas"/>
              <w:rPr>
                <w:sz w:val="12"/>
                <w:szCs w:val="12"/>
              </w:rPr>
            </w:pPr>
            <w:r w:rsidRPr="00483EBE">
              <w:rPr>
                <w:sz w:val="12"/>
                <w:szCs w:val="12"/>
              </w:rPr>
              <w:t>$9,280</w:t>
            </w:r>
          </w:p>
        </w:tc>
        <w:tc>
          <w:tcPr>
            <w:tcW w:w="0" w:type="auto"/>
            <w:tcBorders>
              <w:top w:val="nil"/>
              <w:left w:val="nil"/>
              <w:bottom w:val="single" w:sz="4" w:space="0" w:color="auto"/>
              <w:right w:val="single" w:sz="4" w:space="0" w:color="auto"/>
            </w:tcBorders>
            <w:shd w:val="clear" w:color="auto" w:fill="auto"/>
            <w:vAlign w:val="center"/>
            <w:hideMark/>
          </w:tcPr>
          <w:p w14:paraId="3389E4C9" w14:textId="77777777" w:rsidR="00572995" w:rsidRPr="00483EBE" w:rsidRDefault="00572995" w:rsidP="00E8324D">
            <w:pPr>
              <w:pStyle w:val="Tablas"/>
              <w:rPr>
                <w:sz w:val="12"/>
                <w:szCs w:val="12"/>
              </w:rPr>
            </w:pPr>
            <w:r w:rsidRPr="00483EBE">
              <w:rPr>
                <w:sz w:val="12"/>
                <w:szCs w:val="12"/>
              </w:rPr>
              <w:t>$4,640</w:t>
            </w:r>
          </w:p>
        </w:tc>
        <w:tc>
          <w:tcPr>
            <w:tcW w:w="0" w:type="auto"/>
            <w:tcBorders>
              <w:top w:val="nil"/>
              <w:left w:val="nil"/>
              <w:bottom w:val="single" w:sz="4" w:space="0" w:color="auto"/>
              <w:right w:val="single" w:sz="4" w:space="0" w:color="auto"/>
            </w:tcBorders>
            <w:shd w:val="clear" w:color="auto" w:fill="auto"/>
            <w:vAlign w:val="center"/>
            <w:hideMark/>
          </w:tcPr>
          <w:p w14:paraId="4C1AB960" w14:textId="77777777" w:rsidR="00572995" w:rsidRPr="00483EBE" w:rsidRDefault="00572995" w:rsidP="00E8324D">
            <w:pPr>
              <w:pStyle w:val="Tablas"/>
              <w:rPr>
                <w:sz w:val="12"/>
                <w:szCs w:val="12"/>
              </w:rPr>
            </w:pPr>
            <w:r w:rsidRPr="00483EBE">
              <w:rPr>
                <w:sz w:val="12"/>
                <w:szCs w:val="12"/>
              </w:rPr>
              <w:t>$387</w:t>
            </w:r>
          </w:p>
        </w:tc>
        <w:tc>
          <w:tcPr>
            <w:tcW w:w="0" w:type="auto"/>
            <w:tcBorders>
              <w:top w:val="nil"/>
              <w:left w:val="nil"/>
              <w:bottom w:val="single" w:sz="4" w:space="0" w:color="auto"/>
              <w:right w:val="single" w:sz="4" w:space="0" w:color="auto"/>
            </w:tcBorders>
            <w:shd w:val="clear" w:color="auto" w:fill="auto"/>
            <w:vAlign w:val="center"/>
            <w:hideMark/>
          </w:tcPr>
          <w:p w14:paraId="38468738"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04BE460A" w14:textId="77777777" w:rsidR="00572995" w:rsidRPr="00483EBE" w:rsidRDefault="00572995" w:rsidP="00E8324D">
            <w:pPr>
              <w:pStyle w:val="Tablas"/>
              <w:rPr>
                <w:sz w:val="12"/>
                <w:szCs w:val="12"/>
              </w:rPr>
            </w:pPr>
            <w:r w:rsidRPr="00483EBE">
              <w:rPr>
                <w:sz w:val="12"/>
                <w:szCs w:val="12"/>
              </w:rPr>
              <w:t>SEBD</w:t>
            </w:r>
          </w:p>
        </w:tc>
      </w:tr>
      <w:tr w:rsidR="00572995" w:rsidRPr="00483EBE" w14:paraId="0CB5BF0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8C7565D"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12493901" w14:textId="77777777" w:rsidR="00572995" w:rsidRPr="00483EBE" w:rsidRDefault="00572995" w:rsidP="00E8324D">
            <w:pPr>
              <w:pStyle w:val="Tablas"/>
              <w:rPr>
                <w:sz w:val="12"/>
                <w:szCs w:val="12"/>
              </w:rPr>
            </w:pPr>
            <w:r w:rsidRPr="00483EBE">
              <w:rPr>
                <w:sz w:val="12"/>
                <w:szCs w:val="12"/>
              </w:rPr>
              <w:t xml:space="preserve">86 </w:t>
            </w:r>
          </w:p>
        </w:tc>
        <w:tc>
          <w:tcPr>
            <w:tcW w:w="0" w:type="auto"/>
            <w:tcBorders>
              <w:top w:val="nil"/>
              <w:left w:val="nil"/>
              <w:bottom w:val="single" w:sz="4" w:space="0" w:color="auto"/>
              <w:right w:val="single" w:sz="4" w:space="0" w:color="auto"/>
            </w:tcBorders>
            <w:shd w:val="clear" w:color="auto" w:fill="auto"/>
            <w:vAlign w:val="center"/>
            <w:hideMark/>
          </w:tcPr>
          <w:p w14:paraId="1E1CA1B9" w14:textId="77777777" w:rsidR="00572995" w:rsidRPr="00483EBE" w:rsidRDefault="00572995" w:rsidP="00E8324D">
            <w:pPr>
              <w:pStyle w:val="Tablas"/>
              <w:rPr>
                <w:sz w:val="12"/>
                <w:szCs w:val="12"/>
              </w:rPr>
            </w:pPr>
            <w:r w:rsidRPr="00483EBE">
              <w:rPr>
                <w:sz w:val="12"/>
                <w:szCs w:val="12"/>
              </w:rPr>
              <w:t>$334,221</w:t>
            </w:r>
          </w:p>
        </w:tc>
        <w:tc>
          <w:tcPr>
            <w:tcW w:w="0" w:type="auto"/>
            <w:tcBorders>
              <w:top w:val="nil"/>
              <w:left w:val="nil"/>
              <w:bottom w:val="single" w:sz="4" w:space="0" w:color="auto"/>
              <w:right w:val="single" w:sz="4" w:space="0" w:color="auto"/>
            </w:tcBorders>
            <w:shd w:val="clear" w:color="auto" w:fill="auto"/>
            <w:vAlign w:val="center"/>
            <w:hideMark/>
          </w:tcPr>
          <w:p w14:paraId="4B74FF30" w14:textId="77777777" w:rsidR="00572995" w:rsidRPr="00483EBE" w:rsidRDefault="00572995" w:rsidP="00E8324D">
            <w:pPr>
              <w:pStyle w:val="Tablas"/>
              <w:rPr>
                <w:sz w:val="12"/>
                <w:szCs w:val="12"/>
              </w:rPr>
            </w:pPr>
            <w:r w:rsidRPr="00483EBE">
              <w:rPr>
                <w:sz w:val="12"/>
                <w:szCs w:val="12"/>
              </w:rPr>
              <w:t>$3,886</w:t>
            </w:r>
          </w:p>
        </w:tc>
        <w:tc>
          <w:tcPr>
            <w:tcW w:w="0" w:type="auto"/>
            <w:tcBorders>
              <w:top w:val="nil"/>
              <w:left w:val="nil"/>
              <w:bottom w:val="single" w:sz="4" w:space="0" w:color="auto"/>
              <w:right w:val="single" w:sz="4" w:space="0" w:color="auto"/>
            </w:tcBorders>
            <w:shd w:val="clear" w:color="auto" w:fill="auto"/>
            <w:vAlign w:val="center"/>
            <w:hideMark/>
          </w:tcPr>
          <w:p w14:paraId="626EAB21" w14:textId="77777777" w:rsidR="00572995" w:rsidRPr="00483EBE" w:rsidRDefault="00572995" w:rsidP="00E8324D">
            <w:pPr>
              <w:pStyle w:val="Tablas"/>
              <w:rPr>
                <w:sz w:val="12"/>
                <w:szCs w:val="12"/>
              </w:rPr>
            </w:pPr>
            <w:r w:rsidRPr="00483EBE">
              <w:rPr>
                <w:sz w:val="12"/>
                <w:szCs w:val="12"/>
              </w:rPr>
              <w:t>$324</w:t>
            </w:r>
          </w:p>
        </w:tc>
        <w:tc>
          <w:tcPr>
            <w:tcW w:w="0" w:type="auto"/>
            <w:tcBorders>
              <w:top w:val="nil"/>
              <w:left w:val="nil"/>
              <w:bottom w:val="single" w:sz="4" w:space="0" w:color="auto"/>
              <w:right w:val="single" w:sz="4" w:space="0" w:color="auto"/>
            </w:tcBorders>
            <w:shd w:val="clear" w:color="auto" w:fill="auto"/>
            <w:vAlign w:val="center"/>
            <w:hideMark/>
          </w:tcPr>
          <w:p w14:paraId="4AA7F0E5"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7D16E3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7DF279"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02CBD22B"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04A76AA" w14:textId="77777777" w:rsidR="00572995" w:rsidRPr="00483EBE" w:rsidRDefault="00572995" w:rsidP="00E8324D">
            <w:pPr>
              <w:pStyle w:val="Tablas"/>
              <w:rPr>
                <w:sz w:val="12"/>
                <w:szCs w:val="12"/>
              </w:rPr>
            </w:pPr>
            <w:r w:rsidRPr="00483EBE">
              <w:rPr>
                <w:sz w:val="12"/>
                <w:szCs w:val="12"/>
              </w:rPr>
              <w:t>$13,943</w:t>
            </w:r>
          </w:p>
        </w:tc>
        <w:tc>
          <w:tcPr>
            <w:tcW w:w="0" w:type="auto"/>
            <w:tcBorders>
              <w:top w:val="nil"/>
              <w:left w:val="nil"/>
              <w:bottom w:val="single" w:sz="4" w:space="0" w:color="auto"/>
              <w:right w:val="single" w:sz="4" w:space="0" w:color="auto"/>
            </w:tcBorders>
            <w:shd w:val="clear" w:color="auto" w:fill="auto"/>
            <w:vAlign w:val="center"/>
            <w:hideMark/>
          </w:tcPr>
          <w:p w14:paraId="23B736B2" w14:textId="77777777" w:rsidR="00572995" w:rsidRPr="00483EBE" w:rsidRDefault="00572995" w:rsidP="00E8324D">
            <w:pPr>
              <w:pStyle w:val="Tablas"/>
              <w:rPr>
                <w:sz w:val="12"/>
                <w:szCs w:val="12"/>
              </w:rPr>
            </w:pPr>
            <w:r w:rsidRPr="00483EBE">
              <w:rPr>
                <w:sz w:val="12"/>
                <w:szCs w:val="12"/>
              </w:rPr>
              <w:t>$4,648</w:t>
            </w:r>
          </w:p>
        </w:tc>
        <w:tc>
          <w:tcPr>
            <w:tcW w:w="0" w:type="auto"/>
            <w:tcBorders>
              <w:top w:val="nil"/>
              <w:left w:val="nil"/>
              <w:bottom w:val="single" w:sz="4" w:space="0" w:color="auto"/>
              <w:right w:val="single" w:sz="4" w:space="0" w:color="auto"/>
            </w:tcBorders>
            <w:shd w:val="clear" w:color="auto" w:fill="auto"/>
            <w:vAlign w:val="center"/>
            <w:hideMark/>
          </w:tcPr>
          <w:p w14:paraId="46BA1A76" w14:textId="77777777" w:rsidR="00572995" w:rsidRPr="00483EBE" w:rsidRDefault="00572995" w:rsidP="00E8324D">
            <w:pPr>
              <w:pStyle w:val="Tablas"/>
              <w:rPr>
                <w:sz w:val="12"/>
                <w:szCs w:val="12"/>
              </w:rPr>
            </w:pPr>
            <w:r w:rsidRPr="00483EBE">
              <w:rPr>
                <w:sz w:val="12"/>
                <w:szCs w:val="12"/>
              </w:rPr>
              <w:t>$387</w:t>
            </w:r>
          </w:p>
        </w:tc>
        <w:tc>
          <w:tcPr>
            <w:tcW w:w="0" w:type="auto"/>
            <w:tcBorders>
              <w:top w:val="nil"/>
              <w:left w:val="nil"/>
              <w:bottom w:val="single" w:sz="4" w:space="0" w:color="auto"/>
              <w:right w:val="single" w:sz="4" w:space="0" w:color="auto"/>
            </w:tcBorders>
            <w:shd w:val="clear" w:color="auto" w:fill="auto"/>
            <w:vAlign w:val="center"/>
            <w:hideMark/>
          </w:tcPr>
          <w:p w14:paraId="6C960BDD"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535205CF" w14:textId="77777777" w:rsidR="00572995" w:rsidRPr="00483EBE" w:rsidRDefault="00572995" w:rsidP="00E8324D">
            <w:pPr>
              <w:pStyle w:val="Tablas"/>
              <w:rPr>
                <w:sz w:val="12"/>
                <w:szCs w:val="12"/>
              </w:rPr>
            </w:pPr>
            <w:r w:rsidRPr="00483EBE">
              <w:rPr>
                <w:sz w:val="12"/>
                <w:szCs w:val="12"/>
              </w:rPr>
              <w:t>SEBD</w:t>
            </w:r>
          </w:p>
        </w:tc>
      </w:tr>
      <w:tr w:rsidR="00572995" w:rsidRPr="00483EBE" w14:paraId="6BB369D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6E2771"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23EBE0DC" w14:textId="77777777" w:rsidR="00572995" w:rsidRPr="00483EBE" w:rsidRDefault="00572995" w:rsidP="00E8324D">
            <w:pPr>
              <w:pStyle w:val="Tablas"/>
              <w:rPr>
                <w:sz w:val="12"/>
                <w:szCs w:val="12"/>
              </w:rPr>
            </w:pPr>
            <w:r w:rsidRPr="00483EBE">
              <w:rPr>
                <w:sz w:val="12"/>
                <w:szCs w:val="12"/>
              </w:rPr>
              <w:t xml:space="preserve">85 </w:t>
            </w:r>
          </w:p>
        </w:tc>
        <w:tc>
          <w:tcPr>
            <w:tcW w:w="0" w:type="auto"/>
            <w:tcBorders>
              <w:top w:val="nil"/>
              <w:left w:val="nil"/>
              <w:bottom w:val="single" w:sz="4" w:space="0" w:color="auto"/>
              <w:right w:val="single" w:sz="4" w:space="0" w:color="auto"/>
            </w:tcBorders>
            <w:shd w:val="clear" w:color="auto" w:fill="auto"/>
            <w:vAlign w:val="center"/>
            <w:hideMark/>
          </w:tcPr>
          <w:p w14:paraId="2B1E245A" w14:textId="77777777" w:rsidR="00572995" w:rsidRPr="00483EBE" w:rsidRDefault="00572995" w:rsidP="00E8324D">
            <w:pPr>
              <w:pStyle w:val="Tablas"/>
              <w:rPr>
                <w:sz w:val="12"/>
                <w:szCs w:val="12"/>
              </w:rPr>
            </w:pPr>
            <w:r w:rsidRPr="00483EBE">
              <w:rPr>
                <w:sz w:val="12"/>
                <w:szCs w:val="12"/>
              </w:rPr>
              <w:t>$371,211</w:t>
            </w:r>
          </w:p>
        </w:tc>
        <w:tc>
          <w:tcPr>
            <w:tcW w:w="0" w:type="auto"/>
            <w:tcBorders>
              <w:top w:val="nil"/>
              <w:left w:val="nil"/>
              <w:bottom w:val="single" w:sz="4" w:space="0" w:color="auto"/>
              <w:right w:val="single" w:sz="4" w:space="0" w:color="auto"/>
            </w:tcBorders>
            <w:shd w:val="clear" w:color="auto" w:fill="auto"/>
            <w:vAlign w:val="center"/>
            <w:hideMark/>
          </w:tcPr>
          <w:p w14:paraId="3E654EA9" w14:textId="77777777" w:rsidR="00572995" w:rsidRPr="00483EBE" w:rsidRDefault="00572995" w:rsidP="00E8324D">
            <w:pPr>
              <w:pStyle w:val="Tablas"/>
              <w:rPr>
                <w:sz w:val="12"/>
                <w:szCs w:val="12"/>
              </w:rPr>
            </w:pPr>
            <w:r w:rsidRPr="00483EBE">
              <w:rPr>
                <w:sz w:val="12"/>
                <w:szCs w:val="12"/>
              </w:rPr>
              <w:t>$4,367</w:t>
            </w:r>
          </w:p>
        </w:tc>
        <w:tc>
          <w:tcPr>
            <w:tcW w:w="0" w:type="auto"/>
            <w:tcBorders>
              <w:top w:val="nil"/>
              <w:left w:val="nil"/>
              <w:bottom w:val="single" w:sz="4" w:space="0" w:color="auto"/>
              <w:right w:val="single" w:sz="4" w:space="0" w:color="auto"/>
            </w:tcBorders>
            <w:shd w:val="clear" w:color="auto" w:fill="auto"/>
            <w:vAlign w:val="center"/>
            <w:hideMark/>
          </w:tcPr>
          <w:p w14:paraId="4F878B8D"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1E01781E"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969CCD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E47248"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1900F8A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54F862A" w14:textId="77777777" w:rsidR="00572995" w:rsidRPr="00483EBE" w:rsidRDefault="00572995" w:rsidP="00E8324D">
            <w:pPr>
              <w:pStyle w:val="Tablas"/>
              <w:rPr>
                <w:sz w:val="12"/>
                <w:szCs w:val="12"/>
              </w:rPr>
            </w:pPr>
            <w:r w:rsidRPr="00483EBE">
              <w:rPr>
                <w:sz w:val="12"/>
                <w:szCs w:val="12"/>
              </w:rPr>
              <w:t>$4,156</w:t>
            </w:r>
          </w:p>
        </w:tc>
        <w:tc>
          <w:tcPr>
            <w:tcW w:w="0" w:type="auto"/>
            <w:tcBorders>
              <w:top w:val="nil"/>
              <w:left w:val="nil"/>
              <w:bottom w:val="single" w:sz="4" w:space="0" w:color="auto"/>
              <w:right w:val="single" w:sz="4" w:space="0" w:color="auto"/>
            </w:tcBorders>
            <w:shd w:val="clear" w:color="auto" w:fill="auto"/>
            <w:vAlign w:val="center"/>
            <w:hideMark/>
          </w:tcPr>
          <w:p w14:paraId="66DAEA3F" w14:textId="77777777" w:rsidR="00572995" w:rsidRPr="00483EBE" w:rsidRDefault="00572995" w:rsidP="00E8324D">
            <w:pPr>
              <w:pStyle w:val="Tablas"/>
              <w:rPr>
                <w:sz w:val="12"/>
                <w:szCs w:val="12"/>
              </w:rPr>
            </w:pPr>
            <w:r w:rsidRPr="00483EBE">
              <w:rPr>
                <w:sz w:val="12"/>
                <w:szCs w:val="12"/>
              </w:rPr>
              <w:t>$4,156</w:t>
            </w:r>
          </w:p>
        </w:tc>
        <w:tc>
          <w:tcPr>
            <w:tcW w:w="0" w:type="auto"/>
            <w:tcBorders>
              <w:top w:val="nil"/>
              <w:left w:val="nil"/>
              <w:bottom w:val="single" w:sz="4" w:space="0" w:color="auto"/>
              <w:right w:val="single" w:sz="4" w:space="0" w:color="auto"/>
            </w:tcBorders>
            <w:shd w:val="clear" w:color="auto" w:fill="auto"/>
            <w:vAlign w:val="center"/>
            <w:hideMark/>
          </w:tcPr>
          <w:p w14:paraId="77596FCA" w14:textId="77777777" w:rsidR="00572995" w:rsidRPr="00483EBE" w:rsidRDefault="00572995" w:rsidP="00E8324D">
            <w:pPr>
              <w:pStyle w:val="Tablas"/>
              <w:rPr>
                <w:sz w:val="12"/>
                <w:szCs w:val="12"/>
              </w:rPr>
            </w:pPr>
            <w:r w:rsidRPr="00483EBE">
              <w:rPr>
                <w:sz w:val="12"/>
                <w:szCs w:val="12"/>
              </w:rPr>
              <w:t>$346</w:t>
            </w:r>
          </w:p>
        </w:tc>
        <w:tc>
          <w:tcPr>
            <w:tcW w:w="0" w:type="auto"/>
            <w:tcBorders>
              <w:top w:val="nil"/>
              <w:left w:val="nil"/>
              <w:bottom w:val="single" w:sz="4" w:space="0" w:color="auto"/>
              <w:right w:val="single" w:sz="4" w:space="0" w:color="auto"/>
            </w:tcBorders>
            <w:shd w:val="clear" w:color="auto" w:fill="auto"/>
            <w:vAlign w:val="center"/>
            <w:hideMark/>
          </w:tcPr>
          <w:p w14:paraId="3D2290B8" w14:textId="77777777" w:rsidR="00572995" w:rsidRPr="00483EBE" w:rsidRDefault="00572995" w:rsidP="00E8324D">
            <w:pPr>
              <w:pStyle w:val="Tablas"/>
              <w:rPr>
                <w:sz w:val="12"/>
                <w:szCs w:val="12"/>
              </w:rPr>
            </w:pPr>
            <w:r w:rsidRPr="00483EBE">
              <w:rPr>
                <w:sz w:val="12"/>
                <w:szCs w:val="12"/>
              </w:rPr>
              <w:t>VEJEZ TRABAJADORES BANANERAS</w:t>
            </w:r>
          </w:p>
        </w:tc>
        <w:tc>
          <w:tcPr>
            <w:tcW w:w="582" w:type="dxa"/>
            <w:tcBorders>
              <w:top w:val="nil"/>
              <w:left w:val="nil"/>
              <w:bottom w:val="single" w:sz="4" w:space="0" w:color="auto"/>
              <w:right w:val="single" w:sz="8" w:space="0" w:color="auto"/>
            </w:tcBorders>
            <w:shd w:val="clear" w:color="auto" w:fill="auto"/>
            <w:vAlign w:val="center"/>
            <w:hideMark/>
          </w:tcPr>
          <w:p w14:paraId="7216B1E4" w14:textId="77777777" w:rsidR="00572995" w:rsidRPr="00483EBE" w:rsidRDefault="00572995" w:rsidP="00E8324D">
            <w:pPr>
              <w:pStyle w:val="Tablas"/>
              <w:rPr>
                <w:sz w:val="12"/>
                <w:szCs w:val="12"/>
              </w:rPr>
            </w:pPr>
            <w:r w:rsidRPr="00483EBE">
              <w:rPr>
                <w:sz w:val="12"/>
                <w:szCs w:val="12"/>
              </w:rPr>
              <w:t>SEBD</w:t>
            </w:r>
          </w:p>
        </w:tc>
      </w:tr>
      <w:tr w:rsidR="00572995" w:rsidRPr="00483EBE" w14:paraId="44993DD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F1552B"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315D45A3" w14:textId="77777777" w:rsidR="00572995" w:rsidRPr="00483EBE" w:rsidRDefault="00572995" w:rsidP="00E8324D">
            <w:pPr>
              <w:pStyle w:val="Tablas"/>
              <w:rPr>
                <w:sz w:val="12"/>
                <w:szCs w:val="12"/>
              </w:rPr>
            </w:pPr>
            <w:r w:rsidRPr="00483EBE">
              <w:rPr>
                <w:sz w:val="12"/>
                <w:szCs w:val="12"/>
              </w:rPr>
              <w:t xml:space="preserve">96 </w:t>
            </w:r>
          </w:p>
        </w:tc>
        <w:tc>
          <w:tcPr>
            <w:tcW w:w="0" w:type="auto"/>
            <w:tcBorders>
              <w:top w:val="nil"/>
              <w:left w:val="nil"/>
              <w:bottom w:val="single" w:sz="4" w:space="0" w:color="auto"/>
              <w:right w:val="single" w:sz="4" w:space="0" w:color="auto"/>
            </w:tcBorders>
            <w:shd w:val="clear" w:color="auto" w:fill="auto"/>
            <w:vAlign w:val="center"/>
            <w:hideMark/>
          </w:tcPr>
          <w:p w14:paraId="62455115" w14:textId="77777777" w:rsidR="00572995" w:rsidRPr="00483EBE" w:rsidRDefault="00572995" w:rsidP="00E8324D">
            <w:pPr>
              <w:pStyle w:val="Tablas"/>
              <w:rPr>
                <w:sz w:val="12"/>
                <w:szCs w:val="12"/>
              </w:rPr>
            </w:pPr>
            <w:r w:rsidRPr="00483EBE">
              <w:rPr>
                <w:sz w:val="12"/>
                <w:szCs w:val="12"/>
              </w:rPr>
              <w:t>$395,477</w:t>
            </w:r>
          </w:p>
        </w:tc>
        <w:tc>
          <w:tcPr>
            <w:tcW w:w="0" w:type="auto"/>
            <w:tcBorders>
              <w:top w:val="nil"/>
              <w:left w:val="nil"/>
              <w:bottom w:val="single" w:sz="4" w:space="0" w:color="auto"/>
              <w:right w:val="single" w:sz="4" w:space="0" w:color="auto"/>
            </w:tcBorders>
            <w:shd w:val="clear" w:color="auto" w:fill="auto"/>
            <w:vAlign w:val="center"/>
            <w:hideMark/>
          </w:tcPr>
          <w:p w14:paraId="18448ECA" w14:textId="77777777" w:rsidR="00572995" w:rsidRPr="00483EBE" w:rsidRDefault="00572995" w:rsidP="00E8324D">
            <w:pPr>
              <w:pStyle w:val="Tablas"/>
              <w:rPr>
                <w:sz w:val="12"/>
                <w:szCs w:val="12"/>
              </w:rPr>
            </w:pPr>
            <w:r w:rsidRPr="00483EBE">
              <w:rPr>
                <w:sz w:val="12"/>
                <w:szCs w:val="12"/>
              </w:rPr>
              <w:t>$4,120</w:t>
            </w:r>
          </w:p>
        </w:tc>
        <w:tc>
          <w:tcPr>
            <w:tcW w:w="0" w:type="auto"/>
            <w:tcBorders>
              <w:top w:val="nil"/>
              <w:left w:val="nil"/>
              <w:bottom w:val="single" w:sz="4" w:space="0" w:color="auto"/>
              <w:right w:val="single" w:sz="4" w:space="0" w:color="auto"/>
            </w:tcBorders>
            <w:shd w:val="clear" w:color="auto" w:fill="auto"/>
            <w:vAlign w:val="center"/>
            <w:hideMark/>
          </w:tcPr>
          <w:p w14:paraId="19268E09" w14:textId="77777777" w:rsidR="00572995" w:rsidRPr="00483EBE" w:rsidRDefault="00572995" w:rsidP="00E8324D">
            <w:pPr>
              <w:pStyle w:val="Tablas"/>
              <w:rPr>
                <w:sz w:val="12"/>
                <w:szCs w:val="12"/>
              </w:rPr>
            </w:pPr>
            <w:r w:rsidRPr="00483EBE">
              <w:rPr>
                <w:sz w:val="12"/>
                <w:szCs w:val="12"/>
              </w:rPr>
              <w:t>$343</w:t>
            </w:r>
          </w:p>
        </w:tc>
        <w:tc>
          <w:tcPr>
            <w:tcW w:w="0" w:type="auto"/>
            <w:tcBorders>
              <w:top w:val="nil"/>
              <w:left w:val="nil"/>
              <w:bottom w:val="single" w:sz="4" w:space="0" w:color="auto"/>
              <w:right w:val="single" w:sz="4" w:space="0" w:color="auto"/>
            </w:tcBorders>
            <w:shd w:val="clear" w:color="auto" w:fill="auto"/>
            <w:vAlign w:val="center"/>
            <w:hideMark/>
          </w:tcPr>
          <w:p w14:paraId="7723C103"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1B096D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9673D1"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4CE5F2F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CA7BA7D" w14:textId="77777777" w:rsidR="00572995" w:rsidRPr="00483EBE" w:rsidRDefault="00572995" w:rsidP="00E8324D">
            <w:pPr>
              <w:pStyle w:val="Tablas"/>
              <w:rPr>
                <w:sz w:val="12"/>
                <w:szCs w:val="12"/>
              </w:rPr>
            </w:pPr>
            <w:r w:rsidRPr="00483EBE">
              <w:rPr>
                <w:sz w:val="12"/>
                <w:szCs w:val="12"/>
              </w:rPr>
              <w:t>$3,231</w:t>
            </w:r>
          </w:p>
        </w:tc>
        <w:tc>
          <w:tcPr>
            <w:tcW w:w="0" w:type="auto"/>
            <w:tcBorders>
              <w:top w:val="nil"/>
              <w:left w:val="nil"/>
              <w:bottom w:val="single" w:sz="4" w:space="0" w:color="auto"/>
              <w:right w:val="single" w:sz="4" w:space="0" w:color="auto"/>
            </w:tcBorders>
            <w:shd w:val="clear" w:color="auto" w:fill="auto"/>
            <w:vAlign w:val="center"/>
            <w:hideMark/>
          </w:tcPr>
          <w:p w14:paraId="39AA1A70" w14:textId="77777777" w:rsidR="00572995" w:rsidRPr="00483EBE" w:rsidRDefault="00572995" w:rsidP="00E8324D">
            <w:pPr>
              <w:pStyle w:val="Tablas"/>
              <w:rPr>
                <w:sz w:val="12"/>
                <w:szCs w:val="12"/>
              </w:rPr>
            </w:pPr>
            <w:r w:rsidRPr="00483EBE">
              <w:rPr>
                <w:sz w:val="12"/>
                <w:szCs w:val="12"/>
              </w:rPr>
              <w:t>$3,231</w:t>
            </w:r>
          </w:p>
        </w:tc>
        <w:tc>
          <w:tcPr>
            <w:tcW w:w="0" w:type="auto"/>
            <w:tcBorders>
              <w:top w:val="nil"/>
              <w:left w:val="nil"/>
              <w:bottom w:val="single" w:sz="4" w:space="0" w:color="auto"/>
              <w:right w:val="single" w:sz="4" w:space="0" w:color="auto"/>
            </w:tcBorders>
            <w:shd w:val="clear" w:color="auto" w:fill="auto"/>
            <w:vAlign w:val="center"/>
            <w:hideMark/>
          </w:tcPr>
          <w:p w14:paraId="4DC50A09" w14:textId="77777777" w:rsidR="00572995" w:rsidRPr="00483EBE" w:rsidRDefault="00572995" w:rsidP="00E8324D">
            <w:pPr>
              <w:pStyle w:val="Tablas"/>
              <w:rPr>
                <w:sz w:val="12"/>
                <w:szCs w:val="12"/>
              </w:rPr>
            </w:pPr>
            <w:r w:rsidRPr="00483EBE">
              <w:rPr>
                <w:sz w:val="12"/>
                <w:szCs w:val="12"/>
              </w:rPr>
              <w:t>$269</w:t>
            </w:r>
          </w:p>
        </w:tc>
        <w:tc>
          <w:tcPr>
            <w:tcW w:w="0" w:type="auto"/>
            <w:tcBorders>
              <w:top w:val="nil"/>
              <w:left w:val="nil"/>
              <w:bottom w:val="single" w:sz="4" w:space="0" w:color="auto"/>
              <w:right w:val="single" w:sz="4" w:space="0" w:color="auto"/>
            </w:tcBorders>
            <w:shd w:val="clear" w:color="auto" w:fill="auto"/>
            <w:vAlign w:val="center"/>
            <w:hideMark/>
          </w:tcPr>
          <w:p w14:paraId="1B1EE2D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AF06D2E" w14:textId="77777777" w:rsidR="00572995" w:rsidRPr="00483EBE" w:rsidRDefault="00572995" w:rsidP="00E8324D">
            <w:pPr>
              <w:pStyle w:val="Tablas"/>
              <w:rPr>
                <w:sz w:val="12"/>
                <w:szCs w:val="12"/>
              </w:rPr>
            </w:pPr>
            <w:r w:rsidRPr="00483EBE">
              <w:rPr>
                <w:sz w:val="12"/>
                <w:szCs w:val="12"/>
              </w:rPr>
              <w:t>SEBD</w:t>
            </w:r>
          </w:p>
        </w:tc>
      </w:tr>
      <w:tr w:rsidR="00572995" w:rsidRPr="00483EBE" w14:paraId="1334CD7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E69A41"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3AB88316" w14:textId="77777777" w:rsidR="00572995" w:rsidRPr="00483EBE" w:rsidRDefault="00572995" w:rsidP="00E8324D">
            <w:pPr>
              <w:pStyle w:val="Tablas"/>
              <w:rPr>
                <w:sz w:val="12"/>
                <w:szCs w:val="12"/>
              </w:rPr>
            </w:pPr>
            <w:r w:rsidRPr="00483EBE">
              <w:rPr>
                <w:sz w:val="12"/>
                <w:szCs w:val="12"/>
              </w:rPr>
              <w:t xml:space="preserve">124 </w:t>
            </w:r>
          </w:p>
        </w:tc>
        <w:tc>
          <w:tcPr>
            <w:tcW w:w="0" w:type="auto"/>
            <w:tcBorders>
              <w:top w:val="nil"/>
              <w:left w:val="nil"/>
              <w:bottom w:val="single" w:sz="4" w:space="0" w:color="auto"/>
              <w:right w:val="single" w:sz="4" w:space="0" w:color="auto"/>
            </w:tcBorders>
            <w:shd w:val="clear" w:color="auto" w:fill="auto"/>
            <w:vAlign w:val="center"/>
            <w:hideMark/>
          </w:tcPr>
          <w:p w14:paraId="5389A3CE" w14:textId="77777777" w:rsidR="00572995" w:rsidRPr="00483EBE" w:rsidRDefault="00572995" w:rsidP="00E8324D">
            <w:pPr>
              <w:pStyle w:val="Tablas"/>
              <w:rPr>
                <w:sz w:val="12"/>
                <w:szCs w:val="12"/>
              </w:rPr>
            </w:pPr>
            <w:r w:rsidRPr="00483EBE">
              <w:rPr>
                <w:sz w:val="12"/>
                <w:szCs w:val="12"/>
              </w:rPr>
              <w:t>$534,567</w:t>
            </w:r>
          </w:p>
        </w:tc>
        <w:tc>
          <w:tcPr>
            <w:tcW w:w="0" w:type="auto"/>
            <w:tcBorders>
              <w:top w:val="nil"/>
              <w:left w:val="nil"/>
              <w:bottom w:val="single" w:sz="4" w:space="0" w:color="auto"/>
              <w:right w:val="single" w:sz="4" w:space="0" w:color="auto"/>
            </w:tcBorders>
            <w:shd w:val="clear" w:color="auto" w:fill="auto"/>
            <w:vAlign w:val="center"/>
            <w:hideMark/>
          </w:tcPr>
          <w:p w14:paraId="625DF43E" w14:textId="77777777" w:rsidR="00572995" w:rsidRPr="00483EBE" w:rsidRDefault="00572995" w:rsidP="00E8324D">
            <w:pPr>
              <w:pStyle w:val="Tablas"/>
              <w:rPr>
                <w:sz w:val="12"/>
                <w:szCs w:val="12"/>
              </w:rPr>
            </w:pPr>
            <w:r w:rsidRPr="00483EBE">
              <w:rPr>
                <w:sz w:val="12"/>
                <w:szCs w:val="12"/>
              </w:rPr>
              <w:t>$4,311</w:t>
            </w:r>
          </w:p>
        </w:tc>
        <w:tc>
          <w:tcPr>
            <w:tcW w:w="0" w:type="auto"/>
            <w:tcBorders>
              <w:top w:val="nil"/>
              <w:left w:val="nil"/>
              <w:bottom w:val="single" w:sz="4" w:space="0" w:color="auto"/>
              <w:right w:val="single" w:sz="4" w:space="0" w:color="auto"/>
            </w:tcBorders>
            <w:shd w:val="clear" w:color="auto" w:fill="auto"/>
            <w:vAlign w:val="center"/>
            <w:hideMark/>
          </w:tcPr>
          <w:p w14:paraId="496FE9A1" w14:textId="77777777" w:rsidR="00572995" w:rsidRPr="00483EBE" w:rsidRDefault="00572995" w:rsidP="00E8324D">
            <w:pPr>
              <w:pStyle w:val="Tablas"/>
              <w:rPr>
                <w:sz w:val="12"/>
                <w:szCs w:val="12"/>
              </w:rPr>
            </w:pPr>
            <w:r w:rsidRPr="00483EBE">
              <w:rPr>
                <w:sz w:val="12"/>
                <w:szCs w:val="12"/>
              </w:rPr>
              <w:t>$359</w:t>
            </w:r>
          </w:p>
        </w:tc>
        <w:tc>
          <w:tcPr>
            <w:tcW w:w="0" w:type="auto"/>
            <w:tcBorders>
              <w:top w:val="nil"/>
              <w:left w:val="nil"/>
              <w:bottom w:val="single" w:sz="4" w:space="0" w:color="auto"/>
              <w:right w:val="single" w:sz="4" w:space="0" w:color="auto"/>
            </w:tcBorders>
            <w:shd w:val="clear" w:color="auto" w:fill="auto"/>
            <w:vAlign w:val="center"/>
            <w:hideMark/>
          </w:tcPr>
          <w:p w14:paraId="6562B00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6082E5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E6E772"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7F49D574"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E8EC990" w14:textId="77777777" w:rsidR="00572995" w:rsidRPr="00483EBE" w:rsidRDefault="00572995" w:rsidP="00E8324D">
            <w:pPr>
              <w:pStyle w:val="Tablas"/>
              <w:rPr>
                <w:sz w:val="12"/>
                <w:szCs w:val="12"/>
              </w:rPr>
            </w:pPr>
            <w:r w:rsidRPr="00483EBE">
              <w:rPr>
                <w:sz w:val="12"/>
                <w:szCs w:val="12"/>
              </w:rPr>
              <w:t>$10,826</w:t>
            </w:r>
          </w:p>
        </w:tc>
        <w:tc>
          <w:tcPr>
            <w:tcW w:w="0" w:type="auto"/>
            <w:tcBorders>
              <w:top w:val="nil"/>
              <w:left w:val="nil"/>
              <w:bottom w:val="single" w:sz="4" w:space="0" w:color="auto"/>
              <w:right w:val="single" w:sz="4" w:space="0" w:color="auto"/>
            </w:tcBorders>
            <w:shd w:val="clear" w:color="auto" w:fill="auto"/>
            <w:vAlign w:val="center"/>
            <w:hideMark/>
          </w:tcPr>
          <w:p w14:paraId="56D76E0E" w14:textId="77777777" w:rsidR="00572995" w:rsidRPr="00483EBE" w:rsidRDefault="00572995" w:rsidP="00E8324D">
            <w:pPr>
              <w:pStyle w:val="Tablas"/>
              <w:rPr>
                <w:sz w:val="12"/>
                <w:szCs w:val="12"/>
              </w:rPr>
            </w:pPr>
            <w:r w:rsidRPr="00483EBE">
              <w:rPr>
                <w:sz w:val="12"/>
                <w:szCs w:val="12"/>
              </w:rPr>
              <w:t>$3,609</w:t>
            </w:r>
          </w:p>
        </w:tc>
        <w:tc>
          <w:tcPr>
            <w:tcW w:w="0" w:type="auto"/>
            <w:tcBorders>
              <w:top w:val="nil"/>
              <w:left w:val="nil"/>
              <w:bottom w:val="single" w:sz="4" w:space="0" w:color="auto"/>
              <w:right w:val="single" w:sz="4" w:space="0" w:color="auto"/>
            </w:tcBorders>
            <w:shd w:val="clear" w:color="auto" w:fill="auto"/>
            <w:vAlign w:val="center"/>
            <w:hideMark/>
          </w:tcPr>
          <w:p w14:paraId="21A5F9A3" w14:textId="77777777" w:rsidR="00572995" w:rsidRPr="00483EBE" w:rsidRDefault="00572995" w:rsidP="00E8324D">
            <w:pPr>
              <w:pStyle w:val="Tablas"/>
              <w:rPr>
                <w:sz w:val="12"/>
                <w:szCs w:val="12"/>
              </w:rPr>
            </w:pPr>
            <w:r w:rsidRPr="00483EBE">
              <w:rPr>
                <w:sz w:val="12"/>
                <w:szCs w:val="12"/>
              </w:rPr>
              <w:t>$301</w:t>
            </w:r>
          </w:p>
        </w:tc>
        <w:tc>
          <w:tcPr>
            <w:tcW w:w="0" w:type="auto"/>
            <w:tcBorders>
              <w:top w:val="nil"/>
              <w:left w:val="nil"/>
              <w:bottom w:val="single" w:sz="4" w:space="0" w:color="auto"/>
              <w:right w:val="single" w:sz="4" w:space="0" w:color="auto"/>
            </w:tcBorders>
            <w:shd w:val="clear" w:color="auto" w:fill="auto"/>
            <w:vAlign w:val="center"/>
            <w:hideMark/>
          </w:tcPr>
          <w:p w14:paraId="7766A0E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738A593" w14:textId="77777777" w:rsidR="00572995" w:rsidRPr="00483EBE" w:rsidRDefault="00572995" w:rsidP="00E8324D">
            <w:pPr>
              <w:pStyle w:val="Tablas"/>
              <w:rPr>
                <w:sz w:val="12"/>
                <w:szCs w:val="12"/>
              </w:rPr>
            </w:pPr>
            <w:r w:rsidRPr="00483EBE">
              <w:rPr>
                <w:sz w:val="12"/>
                <w:szCs w:val="12"/>
              </w:rPr>
              <w:t>SEBD</w:t>
            </w:r>
          </w:p>
        </w:tc>
      </w:tr>
      <w:tr w:rsidR="00572995" w:rsidRPr="00483EBE" w14:paraId="4E3AC39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BBA6E78"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6A2CEC8D" w14:textId="77777777" w:rsidR="00572995" w:rsidRPr="00483EBE" w:rsidRDefault="00572995" w:rsidP="00E8324D">
            <w:pPr>
              <w:pStyle w:val="Tablas"/>
              <w:rPr>
                <w:sz w:val="12"/>
                <w:szCs w:val="12"/>
              </w:rPr>
            </w:pPr>
            <w:r w:rsidRPr="00483EBE">
              <w:rPr>
                <w:sz w:val="12"/>
                <w:szCs w:val="12"/>
              </w:rPr>
              <w:t xml:space="preserve">113 </w:t>
            </w:r>
          </w:p>
        </w:tc>
        <w:tc>
          <w:tcPr>
            <w:tcW w:w="0" w:type="auto"/>
            <w:tcBorders>
              <w:top w:val="nil"/>
              <w:left w:val="nil"/>
              <w:bottom w:val="single" w:sz="4" w:space="0" w:color="auto"/>
              <w:right w:val="single" w:sz="4" w:space="0" w:color="auto"/>
            </w:tcBorders>
            <w:shd w:val="clear" w:color="auto" w:fill="auto"/>
            <w:vAlign w:val="center"/>
            <w:hideMark/>
          </w:tcPr>
          <w:p w14:paraId="587BB9E8" w14:textId="77777777" w:rsidR="00572995" w:rsidRPr="00483EBE" w:rsidRDefault="00572995" w:rsidP="00E8324D">
            <w:pPr>
              <w:pStyle w:val="Tablas"/>
              <w:rPr>
                <w:sz w:val="12"/>
                <w:szCs w:val="12"/>
              </w:rPr>
            </w:pPr>
            <w:r w:rsidRPr="00483EBE">
              <w:rPr>
                <w:sz w:val="12"/>
                <w:szCs w:val="12"/>
              </w:rPr>
              <w:t>$478,938</w:t>
            </w:r>
          </w:p>
        </w:tc>
        <w:tc>
          <w:tcPr>
            <w:tcW w:w="0" w:type="auto"/>
            <w:tcBorders>
              <w:top w:val="nil"/>
              <w:left w:val="nil"/>
              <w:bottom w:val="single" w:sz="4" w:space="0" w:color="auto"/>
              <w:right w:val="single" w:sz="4" w:space="0" w:color="auto"/>
            </w:tcBorders>
            <w:shd w:val="clear" w:color="auto" w:fill="auto"/>
            <w:vAlign w:val="center"/>
            <w:hideMark/>
          </w:tcPr>
          <w:p w14:paraId="1D97ED93" w14:textId="77777777" w:rsidR="00572995" w:rsidRPr="00483EBE" w:rsidRDefault="00572995" w:rsidP="00E8324D">
            <w:pPr>
              <w:pStyle w:val="Tablas"/>
              <w:rPr>
                <w:sz w:val="12"/>
                <w:szCs w:val="12"/>
              </w:rPr>
            </w:pPr>
            <w:r w:rsidRPr="00483EBE">
              <w:rPr>
                <w:sz w:val="12"/>
                <w:szCs w:val="12"/>
              </w:rPr>
              <w:t>$4,238</w:t>
            </w:r>
          </w:p>
        </w:tc>
        <w:tc>
          <w:tcPr>
            <w:tcW w:w="0" w:type="auto"/>
            <w:tcBorders>
              <w:top w:val="nil"/>
              <w:left w:val="nil"/>
              <w:bottom w:val="single" w:sz="4" w:space="0" w:color="auto"/>
              <w:right w:val="single" w:sz="4" w:space="0" w:color="auto"/>
            </w:tcBorders>
            <w:shd w:val="clear" w:color="auto" w:fill="auto"/>
            <w:vAlign w:val="center"/>
            <w:hideMark/>
          </w:tcPr>
          <w:p w14:paraId="6881D048" w14:textId="77777777" w:rsidR="00572995" w:rsidRPr="00483EBE" w:rsidRDefault="00572995" w:rsidP="00E8324D">
            <w:pPr>
              <w:pStyle w:val="Tablas"/>
              <w:rPr>
                <w:sz w:val="12"/>
                <w:szCs w:val="12"/>
              </w:rPr>
            </w:pPr>
            <w:r w:rsidRPr="00483EBE">
              <w:rPr>
                <w:sz w:val="12"/>
                <w:szCs w:val="12"/>
              </w:rPr>
              <w:t>$353</w:t>
            </w:r>
          </w:p>
        </w:tc>
        <w:tc>
          <w:tcPr>
            <w:tcW w:w="0" w:type="auto"/>
            <w:tcBorders>
              <w:top w:val="nil"/>
              <w:left w:val="nil"/>
              <w:bottom w:val="single" w:sz="4" w:space="0" w:color="auto"/>
              <w:right w:val="single" w:sz="4" w:space="0" w:color="auto"/>
            </w:tcBorders>
            <w:shd w:val="clear" w:color="auto" w:fill="auto"/>
            <w:vAlign w:val="center"/>
            <w:hideMark/>
          </w:tcPr>
          <w:p w14:paraId="5720369E"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9DC2AC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621D43"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75096EAD"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5E7CCCD" w14:textId="77777777" w:rsidR="00572995" w:rsidRPr="00483EBE" w:rsidRDefault="00572995" w:rsidP="00E8324D">
            <w:pPr>
              <w:pStyle w:val="Tablas"/>
              <w:rPr>
                <w:sz w:val="12"/>
                <w:szCs w:val="12"/>
              </w:rPr>
            </w:pPr>
            <w:r w:rsidRPr="00483EBE">
              <w:rPr>
                <w:sz w:val="12"/>
                <w:szCs w:val="12"/>
              </w:rPr>
              <w:t>$18,006</w:t>
            </w:r>
          </w:p>
        </w:tc>
        <w:tc>
          <w:tcPr>
            <w:tcW w:w="0" w:type="auto"/>
            <w:tcBorders>
              <w:top w:val="nil"/>
              <w:left w:val="nil"/>
              <w:bottom w:val="single" w:sz="4" w:space="0" w:color="auto"/>
              <w:right w:val="single" w:sz="4" w:space="0" w:color="auto"/>
            </w:tcBorders>
            <w:shd w:val="clear" w:color="auto" w:fill="auto"/>
            <w:vAlign w:val="center"/>
            <w:hideMark/>
          </w:tcPr>
          <w:p w14:paraId="28A881F5" w14:textId="77777777" w:rsidR="00572995" w:rsidRPr="00483EBE" w:rsidRDefault="00572995" w:rsidP="00E8324D">
            <w:pPr>
              <w:pStyle w:val="Tablas"/>
              <w:rPr>
                <w:sz w:val="12"/>
                <w:szCs w:val="12"/>
              </w:rPr>
            </w:pPr>
            <w:r w:rsidRPr="00483EBE">
              <w:rPr>
                <w:sz w:val="12"/>
                <w:szCs w:val="12"/>
              </w:rPr>
              <w:t>$3,601</w:t>
            </w:r>
          </w:p>
        </w:tc>
        <w:tc>
          <w:tcPr>
            <w:tcW w:w="0" w:type="auto"/>
            <w:tcBorders>
              <w:top w:val="nil"/>
              <w:left w:val="nil"/>
              <w:bottom w:val="single" w:sz="4" w:space="0" w:color="auto"/>
              <w:right w:val="single" w:sz="4" w:space="0" w:color="auto"/>
            </w:tcBorders>
            <w:shd w:val="clear" w:color="auto" w:fill="auto"/>
            <w:vAlign w:val="center"/>
            <w:hideMark/>
          </w:tcPr>
          <w:p w14:paraId="638E514B" w14:textId="77777777" w:rsidR="00572995" w:rsidRPr="00483EBE" w:rsidRDefault="00572995" w:rsidP="00E8324D">
            <w:pPr>
              <w:pStyle w:val="Tablas"/>
              <w:rPr>
                <w:sz w:val="12"/>
                <w:szCs w:val="12"/>
              </w:rPr>
            </w:pPr>
            <w:r w:rsidRPr="00483EBE">
              <w:rPr>
                <w:sz w:val="12"/>
                <w:szCs w:val="12"/>
              </w:rPr>
              <w:t>$300</w:t>
            </w:r>
          </w:p>
        </w:tc>
        <w:tc>
          <w:tcPr>
            <w:tcW w:w="0" w:type="auto"/>
            <w:tcBorders>
              <w:top w:val="nil"/>
              <w:left w:val="nil"/>
              <w:bottom w:val="single" w:sz="4" w:space="0" w:color="auto"/>
              <w:right w:val="single" w:sz="4" w:space="0" w:color="auto"/>
            </w:tcBorders>
            <w:shd w:val="clear" w:color="auto" w:fill="auto"/>
            <w:vAlign w:val="center"/>
            <w:hideMark/>
          </w:tcPr>
          <w:p w14:paraId="65D19A6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51DAB20" w14:textId="77777777" w:rsidR="00572995" w:rsidRPr="00483EBE" w:rsidRDefault="00572995" w:rsidP="00E8324D">
            <w:pPr>
              <w:pStyle w:val="Tablas"/>
              <w:rPr>
                <w:sz w:val="12"/>
                <w:szCs w:val="12"/>
              </w:rPr>
            </w:pPr>
            <w:r w:rsidRPr="00483EBE">
              <w:rPr>
                <w:sz w:val="12"/>
                <w:szCs w:val="12"/>
              </w:rPr>
              <w:t>SEBD</w:t>
            </w:r>
          </w:p>
        </w:tc>
      </w:tr>
      <w:tr w:rsidR="00572995" w:rsidRPr="00483EBE" w14:paraId="0786EBE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6D5C74"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6180B29E" w14:textId="77777777" w:rsidR="00572995" w:rsidRPr="00483EBE" w:rsidRDefault="00572995" w:rsidP="00E8324D">
            <w:pPr>
              <w:pStyle w:val="Tablas"/>
              <w:rPr>
                <w:sz w:val="12"/>
                <w:szCs w:val="12"/>
              </w:rPr>
            </w:pPr>
            <w:r w:rsidRPr="00483EBE">
              <w:rPr>
                <w:sz w:val="12"/>
                <w:szCs w:val="12"/>
              </w:rPr>
              <w:t xml:space="preserve">129 </w:t>
            </w:r>
          </w:p>
        </w:tc>
        <w:tc>
          <w:tcPr>
            <w:tcW w:w="0" w:type="auto"/>
            <w:tcBorders>
              <w:top w:val="nil"/>
              <w:left w:val="nil"/>
              <w:bottom w:val="single" w:sz="4" w:space="0" w:color="auto"/>
              <w:right w:val="single" w:sz="4" w:space="0" w:color="auto"/>
            </w:tcBorders>
            <w:shd w:val="clear" w:color="auto" w:fill="auto"/>
            <w:vAlign w:val="center"/>
            <w:hideMark/>
          </w:tcPr>
          <w:p w14:paraId="2151477E" w14:textId="77777777" w:rsidR="00572995" w:rsidRPr="00483EBE" w:rsidRDefault="00572995" w:rsidP="00E8324D">
            <w:pPr>
              <w:pStyle w:val="Tablas"/>
              <w:rPr>
                <w:sz w:val="12"/>
                <w:szCs w:val="12"/>
              </w:rPr>
            </w:pPr>
            <w:r w:rsidRPr="00483EBE">
              <w:rPr>
                <w:sz w:val="12"/>
                <w:szCs w:val="12"/>
              </w:rPr>
              <w:t>$517,726</w:t>
            </w:r>
          </w:p>
        </w:tc>
        <w:tc>
          <w:tcPr>
            <w:tcW w:w="0" w:type="auto"/>
            <w:tcBorders>
              <w:top w:val="nil"/>
              <w:left w:val="nil"/>
              <w:bottom w:val="single" w:sz="4" w:space="0" w:color="auto"/>
              <w:right w:val="single" w:sz="4" w:space="0" w:color="auto"/>
            </w:tcBorders>
            <w:shd w:val="clear" w:color="auto" w:fill="auto"/>
            <w:vAlign w:val="center"/>
            <w:hideMark/>
          </w:tcPr>
          <w:p w14:paraId="46307C6C" w14:textId="77777777" w:rsidR="00572995" w:rsidRPr="00483EBE" w:rsidRDefault="00572995" w:rsidP="00E8324D">
            <w:pPr>
              <w:pStyle w:val="Tablas"/>
              <w:rPr>
                <w:sz w:val="12"/>
                <w:szCs w:val="12"/>
              </w:rPr>
            </w:pPr>
            <w:r w:rsidRPr="00483EBE">
              <w:rPr>
                <w:sz w:val="12"/>
                <w:szCs w:val="12"/>
              </w:rPr>
              <w:t>$4,013</w:t>
            </w:r>
          </w:p>
        </w:tc>
        <w:tc>
          <w:tcPr>
            <w:tcW w:w="0" w:type="auto"/>
            <w:tcBorders>
              <w:top w:val="nil"/>
              <w:left w:val="nil"/>
              <w:bottom w:val="single" w:sz="4" w:space="0" w:color="auto"/>
              <w:right w:val="single" w:sz="4" w:space="0" w:color="auto"/>
            </w:tcBorders>
            <w:shd w:val="clear" w:color="auto" w:fill="auto"/>
            <w:vAlign w:val="center"/>
            <w:hideMark/>
          </w:tcPr>
          <w:p w14:paraId="4D22184B" w14:textId="77777777" w:rsidR="00572995" w:rsidRPr="00483EBE" w:rsidRDefault="00572995" w:rsidP="00E8324D">
            <w:pPr>
              <w:pStyle w:val="Tablas"/>
              <w:rPr>
                <w:sz w:val="12"/>
                <w:szCs w:val="12"/>
              </w:rPr>
            </w:pPr>
            <w:r w:rsidRPr="00483EBE">
              <w:rPr>
                <w:sz w:val="12"/>
                <w:szCs w:val="12"/>
              </w:rPr>
              <w:t>$334</w:t>
            </w:r>
          </w:p>
        </w:tc>
        <w:tc>
          <w:tcPr>
            <w:tcW w:w="0" w:type="auto"/>
            <w:tcBorders>
              <w:top w:val="nil"/>
              <w:left w:val="nil"/>
              <w:bottom w:val="single" w:sz="4" w:space="0" w:color="auto"/>
              <w:right w:val="single" w:sz="4" w:space="0" w:color="auto"/>
            </w:tcBorders>
            <w:shd w:val="clear" w:color="auto" w:fill="auto"/>
            <w:vAlign w:val="center"/>
            <w:hideMark/>
          </w:tcPr>
          <w:p w14:paraId="300AE60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D26E91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8C8F5B1"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60865513"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1C7AA893" w14:textId="77777777" w:rsidR="00572995" w:rsidRPr="00483EBE" w:rsidRDefault="00572995" w:rsidP="00E8324D">
            <w:pPr>
              <w:pStyle w:val="Tablas"/>
              <w:rPr>
                <w:sz w:val="12"/>
                <w:szCs w:val="12"/>
              </w:rPr>
            </w:pPr>
            <w:r w:rsidRPr="00483EBE">
              <w:rPr>
                <w:sz w:val="12"/>
                <w:szCs w:val="12"/>
              </w:rPr>
              <w:t>$55,739</w:t>
            </w:r>
          </w:p>
        </w:tc>
        <w:tc>
          <w:tcPr>
            <w:tcW w:w="0" w:type="auto"/>
            <w:tcBorders>
              <w:top w:val="nil"/>
              <w:left w:val="nil"/>
              <w:bottom w:val="single" w:sz="4" w:space="0" w:color="auto"/>
              <w:right w:val="single" w:sz="4" w:space="0" w:color="auto"/>
            </w:tcBorders>
            <w:shd w:val="clear" w:color="auto" w:fill="auto"/>
            <w:vAlign w:val="center"/>
            <w:hideMark/>
          </w:tcPr>
          <w:p w14:paraId="28A1CDBF" w14:textId="77777777" w:rsidR="00572995" w:rsidRPr="00483EBE" w:rsidRDefault="00572995" w:rsidP="00E8324D">
            <w:pPr>
              <w:pStyle w:val="Tablas"/>
              <w:rPr>
                <w:sz w:val="12"/>
                <w:szCs w:val="12"/>
              </w:rPr>
            </w:pPr>
            <w:r w:rsidRPr="00483EBE">
              <w:rPr>
                <w:sz w:val="12"/>
                <w:szCs w:val="12"/>
              </w:rPr>
              <w:t>$5,067</w:t>
            </w:r>
          </w:p>
        </w:tc>
        <w:tc>
          <w:tcPr>
            <w:tcW w:w="0" w:type="auto"/>
            <w:tcBorders>
              <w:top w:val="nil"/>
              <w:left w:val="nil"/>
              <w:bottom w:val="single" w:sz="4" w:space="0" w:color="auto"/>
              <w:right w:val="single" w:sz="4" w:space="0" w:color="auto"/>
            </w:tcBorders>
            <w:shd w:val="clear" w:color="auto" w:fill="auto"/>
            <w:vAlign w:val="center"/>
            <w:hideMark/>
          </w:tcPr>
          <w:p w14:paraId="625ED0A8" w14:textId="77777777" w:rsidR="00572995" w:rsidRPr="00483EBE" w:rsidRDefault="00572995" w:rsidP="00E8324D">
            <w:pPr>
              <w:pStyle w:val="Tablas"/>
              <w:rPr>
                <w:sz w:val="12"/>
                <w:szCs w:val="12"/>
              </w:rPr>
            </w:pPr>
            <w:r w:rsidRPr="00483EBE">
              <w:rPr>
                <w:sz w:val="12"/>
                <w:szCs w:val="12"/>
              </w:rPr>
              <w:t>$422</w:t>
            </w:r>
          </w:p>
        </w:tc>
        <w:tc>
          <w:tcPr>
            <w:tcW w:w="0" w:type="auto"/>
            <w:tcBorders>
              <w:top w:val="nil"/>
              <w:left w:val="nil"/>
              <w:bottom w:val="single" w:sz="4" w:space="0" w:color="auto"/>
              <w:right w:val="single" w:sz="4" w:space="0" w:color="auto"/>
            </w:tcBorders>
            <w:shd w:val="clear" w:color="auto" w:fill="auto"/>
            <w:vAlign w:val="center"/>
            <w:hideMark/>
          </w:tcPr>
          <w:p w14:paraId="6A77A6A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B423F66" w14:textId="77777777" w:rsidR="00572995" w:rsidRPr="00483EBE" w:rsidRDefault="00572995" w:rsidP="00E8324D">
            <w:pPr>
              <w:pStyle w:val="Tablas"/>
              <w:rPr>
                <w:sz w:val="12"/>
                <w:szCs w:val="12"/>
              </w:rPr>
            </w:pPr>
            <w:r w:rsidRPr="00483EBE">
              <w:rPr>
                <w:sz w:val="12"/>
                <w:szCs w:val="12"/>
              </w:rPr>
              <w:t>SEBD</w:t>
            </w:r>
          </w:p>
        </w:tc>
      </w:tr>
      <w:tr w:rsidR="00572995" w:rsidRPr="00483EBE" w14:paraId="488FB1E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E1480BD"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539BB69D" w14:textId="77777777" w:rsidR="00572995" w:rsidRPr="00483EBE" w:rsidRDefault="00572995" w:rsidP="00E8324D">
            <w:pPr>
              <w:pStyle w:val="Tablas"/>
              <w:rPr>
                <w:sz w:val="12"/>
                <w:szCs w:val="12"/>
              </w:rPr>
            </w:pPr>
            <w:r w:rsidRPr="00483EBE">
              <w:rPr>
                <w:sz w:val="12"/>
                <w:szCs w:val="12"/>
              </w:rPr>
              <w:t xml:space="preserve">130 </w:t>
            </w:r>
          </w:p>
        </w:tc>
        <w:tc>
          <w:tcPr>
            <w:tcW w:w="0" w:type="auto"/>
            <w:tcBorders>
              <w:top w:val="nil"/>
              <w:left w:val="nil"/>
              <w:bottom w:val="single" w:sz="4" w:space="0" w:color="auto"/>
              <w:right w:val="single" w:sz="4" w:space="0" w:color="auto"/>
            </w:tcBorders>
            <w:shd w:val="clear" w:color="auto" w:fill="auto"/>
            <w:vAlign w:val="center"/>
            <w:hideMark/>
          </w:tcPr>
          <w:p w14:paraId="17B98AB7" w14:textId="77777777" w:rsidR="00572995" w:rsidRPr="00483EBE" w:rsidRDefault="00572995" w:rsidP="00E8324D">
            <w:pPr>
              <w:pStyle w:val="Tablas"/>
              <w:rPr>
                <w:sz w:val="12"/>
                <w:szCs w:val="12"/>
              </w:rPr>
            </w:pPr>
            <w:r w:rsidRPr="00483EBE">
              <w:rPr>
                <w:sz w:val="12"/>
                <w:szCs w:val="12"/>
              </w:rPr>
              <w:t>$522,989</w:t>
            </w:r>
          </w:p>
        </w:tc>
        <w:tc>
          <w:tcPr>
            <w:tcW w:w="0" w:type="auto"/>
            <w:tcBorders>
              <w:top w:val="nil"/>
              <w:left w:val="nil"/>
              <w:bottom w:val="single" w:sz="4" w:space="0" w:color="auto"/>
              <w:right w:val="single" w:sz="4" w:space="0" w:color="auto"/>
            </w:tcBorders>
            <w:shd w:val="clear" w:color="auto" w:fill="auto"/>
            <w:vAlign w:val="center"/>
            <w:hideMark/>
          </w:tcPr>
          <w:p w14:paraId="440B549D" w14:textId="77777777" w:rsidR="00572995" w:rsidRPr="00483EBE" w:rsidRDefault="00572995" w:rsidP="00E8324D">
            <w:pPr>
              <w:pStyle w:val="Tablas"/>
              <w:rPr>
                <w:sz w:val="12"/>
                <w:szCs w:val="12"/>
              </w:rPr>
            </w:pPr>
            <w:r w:rsidRPr="00483EBE">
              <w:rPr>
                <w:sz w:val="12"/>
                <w:szCs w:val="12"/>
              </w:rPr>
              <w:t>$4,023</w:t>
            </w:r>
          </w:p>
        </w:tc>
        <w:tc>
          <w:tcPr>
            <w:tcW w:w="0" w:type="auto"/>
            <w:tcBorders>
              <w:top w:val="nil"/>
              <w:left w:val="nil"/>
              <w:bottom w:val="single" w:sz="4" w:space="0" w:color="auto"/>
              <w:right w:val="single" w:sz="4" w:space="0" w:color="auto"/>
            </w:tcBorders>
            <w:shd w:val="clear" w:color="auto" w:fill="auto"/>
            <w:vAlign w:val="center"/>
            <w:hideMark/>
          </w:tcPr>
          <w:p w14:paraId="01B9E57A" w14:textId="77777777" w:rsidR="00572995" w:rsidRPr="00483EBE" w:rsidRDefault="00572995" w:rsidP="00E8324D">
            <w:pPr>
              <w:pStyle w:val="Tablas"/>
              <w:rPr>
                <w:sz w:val="12"/>
                <w:szCs w:val="12"/>
              </w:rPr>
            </w:pPr>
            <w:r w:rsidRPr="00483EBE">
              <w:rPr>
                <w:sz w:val="12"/>
                <w:szCs w:val="12"/>
              </w:rPr>
              <w:t>$335</w:t>
            </w:r>
          </w:p>
        </w:tc>
        <w:tc>
          <w:tcPr>
            <w:tcW w:w="0" w:type="auto"/>
            <w:tcBorders>
              <w:top w:val="nil"/>
              <w:left w:val="nil"/>
              <w:bottom w:val="single" w:sz="4" w:space="0" w:color="auto"/>
              <w:right w:val="single" w:sz="4" w:space="0" w:color="auto"/>
            </w:tcBorders>
            <w:shd w:val="clear" w:color="auto" w:fill="auto"/>
            <w:vAlign w:val="center"/>
            <w:hideMark/>
          </w:tcPr>
          <w:p w14:paraId="53A53603"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415EFE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8A04C99"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18A77CD3"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6C6C6C10" w14:textId="77777777" w:rsidR="00572995" w:rsidRPr="00483EBE" w:rsidRDefault="00572995" w:rsidP="00E8324D">
            <w:pPr>
              <w:pStyle w:val="Tablas"/>
              <w:rPr>
                <w:sz w:val="12"/>
                <w:szCs w:val="12"/>
              </w:rPr>
            </w:pPr>
            <w:r w:rsidRPr="00483EBE">
              <w:rPr>
                <w:sz w:val="12"/>
                <w:szCs w:val="12"/>
              </w:rPr>
              <w:t>$44,923</w:t>
            </w:r>
          </w:p>
        </w:tc>
        <w:tc>
          <w:tcPr>
            <w:tcW w:w="0" w:type="auto"/>
            <w:tcBorders>
              <w:top w:val="nil"/>
              <w:left w:val="nil"/>
              <w:bottom w:val="single" w:sz="4" w:space="0" w:color="auto"/>
              <w:right w:val="single" w:sz="4" w:space="0" w:color="auto"/>
            </w:tcBorders>
            <w:shd w:val="clear" w:color="auto" w:fill="auto"/>
            <w:vAlign w:val="center"/>
            <w:hideMark/>
          </w:tcPr>
          <w:p w14:paraId="167A919C" w14:textId="77777777" w:rsidR="00572995" w:rsidRPr="00483EBE" w:rsidRDefault="00572995" w:rsidP="00E8324D">
            <w:pPr>
              <w:pStyle w:val="Tablas"/>
              <w:rPr>
                <w:sz w:val="12"/>
                <w:szCs w:val="12"/>
              </w:rPr>
            </w:pPr>
            <w:r w:rsidRPr="00483EBE">
              <w:rPr>
                <w:sz w:val="12"/>
                <w:szCs w:val="12"/>
              </w:rPr>
              <w:t>$4,084</w:t>
            </w:r>
          </w:p>
        </w:tc>
        <w:tc>
          <w:tcPr>
            <w:tcW w:w="0" w:type="auto"/>
            <w:tcBorders>
              <w:top w:val="nil"/>
              <w:left w:val="nil"/>
              <w:bottom w:val="single" w:sz="4" w:space="0" w:color="auto"/>
              <w:right w:val="single" w:sz="4" w:space="0" w:color="auto"/>
            </w:tcBorders>
            <w:shd w:val="clear" w:color="auto" w:fill="auto"/>
            <w:vAlign w:val="center"/>
            <w:hideMark/>
          </w:tcPr>
          <w:p w14:paraId="7730C172" w14:textId="77777777" w:rsidR="00572995" w:rsidRPr="00483EBE" w:rsidRDefault="00572995" w:rsidP="00E8324D">
            <w:pPr>
              <w:pStyle w:val="Tablas"/>
              <w:rPr>
                <w:sz w:val="12"/>
                <w:szCs w:val="12"/>
              </w:rPr>
            </w:pPr>
            <w:r w:rsidRPr="00483EBE">
              <w:rPr>
                <w:sz w:val="12"/>
                <w:szCs w:val="12"/>
              </w:rPr>
              <w:t>$340</w:t>
            </w:r>
          </w:p>
        </w:tc>
        <w:tc>
          <w:tcPr>
            <w:tcW w:w="0" w:type="auto"/>
            <w:tcBorders>
              <w:top w:val="nil"/>
              <w:left w:val="nil"/>
              <w:bottom w:val="single" w:sz="4" w:space="0" w:color="auto"/>
              <w:right w:val="single" w:sz="4" w:space="0" w:color="auto"/>
            </w:tcBorders>
            <w:shd w:val="clear" w:color="auto" w:fill="auto"/>
            <w:vAlign w:val="center"/>
            <w:hideMark/>
          </w:tcPr>
          <w:p w14:paraId="247A1FF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C28E96B" w14:textId="77777777" w:rsidR="00572995" w:rsidRPr="00483EBE" w:rsidRDefault="00572995" w:rsidP="00E8324D">
            <w:pPr>
              <w:pStyle w:val="Tablas"/>
              <w:rPr>
                <w:sz w:val="12"/>
                <w:szCs w:val="12"/>
              </w:rPr>
            </w:pPr>
            <w:r w:rsidRPr="00483EBE">
              <w:rPr>
                <w:sz w:val="12"/>
                <w:szCs w:val="12"/>
              </w:rPr>
              <w:t>SEBD</w:t>
            </w:r>
          </w:p>
        </w:tc>
      </w:tr>
      <w:tr w:rsidR="00572995" w:rsidRPr="00483EBE" w14:paraId="2F79536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BA87A21"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196218F6" w14:textId="77777777" w:rsidR="00572995" w:rsidRPr="00483EBE" w:rsidRDefault="00572995" w:rsidP="00E8324D">
            <w:pPr>
              <w:pStyle w:val="Tablas"/>
              <w:rPr>
                <w:sz w:val="12"/>
                <w:szCs w:val="12"/>
              </w:rPr>
            </w:pPr>
            <w:r w:rsidRPr="00483EBE">
              <w:rPr>
                <w:sz w:val="12"/>
                <w:szCs w:val="12"/>
              </w:rPr>
              <w:t xml:space="preserve">125 </w:t>
            </w:r>
          </w:p>
        </w:tc>
        <w:tc>
          <w:tcPr>
            <w:tcW w:w="0" w:type="auto"/>
            <w:tcBorders>
              <w:top w:val="nil"/>
              <w:left w:val="nil"/>
              <w:bottom w:val="single" w:sz="4" w:space="0" w:color="auto"/>
              <w:right w:val="single" w:sz="4" w:space="0" w:color="auto"/>
            </w:tcBorders>
            <w:shd w:val="clear" w:color="auto" w:fill="auto"/>
            <w:vAlign w:val="center"/>
            <w:hideMark/>
          </w:tcPr>
          <w:p w14:paraId="63644818" w14:textId="77777777" w:rsidR="00572995" w:rsidRPr="00483EBE" w:rsidRDefault="00572995" w:rsidP="00E8324D">
            <w:pPr>
              <w:pStyle w:val="Tablas"/>
              <w:rPr>
                <w:sz w:val="12"/>
                <w:szCs w:val="12"/>
              </w:rPr>
            </w:pPr>
            <w:r w:rsidRPr="00483EBE">
              <w:rPr>
                <w:sz w:val="12"/>
                <w:szCs w:val="12"/>
              </w:rPr>
              <w:t>$497,899</w:t>
            </w:r>
          </w:p>
        </w:tc>
        <w:tc>
          <w:tcPr>
            <w:tcW w:w="0" w:type="auto"/>
            <w:tcBorders>
              <w:top w:val="nil"/>
              <w:left w:val="nil"/>
              <w:bottom w:val="single" w:sz="4" w:space="0" w:color="auto"/>
              <w:right w:val="single" w:sz="4" w:space="0" w:color="auto"/>
            </w:tcBorders>
            <w:shd w:val="clear" w:color="auto" w:fill="auto"/>
            <w:vAlign w:val="center"/>
            <w:hideMark/>
          </w:tcPr>
          <w:p w14:paraId="192E9970" w14:textId="77777777" w:rsidR="00572995" w:rsidRPr="00483EBE" w:rsidRDefault="00572995" w:rsidP="00E8324D">
            <w:pPr>
              <w:pStyle w:val="Tablas"/>
              <w:rPr>
                <w:sz w:val="12"/>
                <w:szCs w:val="12"/>
              </w:rPr>
            </w:pPr>
            <w:r w:rsidRPr="00483EBE">
              <w:rPr>
                <w:sz w:val="12"/>
                <w:szCs w:val="12"/>
              </w:rPr>
              <w:t>$3,983</w:t>
            </w:r>
          </w:p>
        </w:tc>
        <w:tc>
          <w:tcPr>
            <w:tcW w:w="0" w:type="auto"/>
            <w:tcBorders>
              <w:top w:val="nil"/>
              <w:left w:val="nil"/>
              <w:bottom w:val="single" w:sz="4" w:space="0" w:color="auto"/>
              <w:right w:val="single" w:sz="4" w:space="0" w:color="auto"/>
            </w:tcBorders>
            <w:shd w:val="clear" w:color="auto" w:fill="auto"/>
            <w:vAlign w:val="center"/>
            <w:hideMark/>
          </w:tcPr>
          <w:p w14:paraId="2BC11390" w14:textId="77777777" w:rsidR="00572995" w:rsidRPr="00483EBE" w:rsidRDefault="00572995" w:rsidP="00E8324D">
            <w:pPr>
              <w:pStyle w:val="Tablas"/>
              <w:rPr>
                <w:sz w:val="12"/>
                <w:szCs w:val="12"/>
              </w:rPr>
            </w:pPr>
            <w:r w:rsidRPr="00483EBE">
              <w:rPr>
                <w:sz w:val="12"/>
                <w:szCs w:val="12"/>
              </w:rPr>
              <w:t>$332</w:t>
            </w:r>
          </w:p>
        </w:tc>
        <w:tc>
          <w:tcPr>
            <w:tcW w:w="0" w:type="auto"/>
            <w:tcBorders>
              <w:top w:val="nil"/>
              <w:left w:val="nil"/>
              <w:bottom w:val="single" w:sz="4" w:space="0" w:color="auto"/>
              <w:right w:val="single" w:sz="4" w:space="0" w:color="auto"/>
            </w:tcBorders>
            <w:shd w:val="clear" w:color="auto" w:fill="auto"/>
            <w:vAlign w:val="center"/>
            <w:hideMark/>
          </w:tcPr>
          <w:p w14:paraId="291845CB"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33A455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D8367EA"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053623CC"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09080DE6" w14:textId="77777777" w:rsidR="00572995" w:rsidRPr="00483EBE" w:rsidRDefault="00572995" w:rsidP="00E8324D">
            <w:pPr>
              <w:pStyle w:val="Tablas"/>
              <w:rPr>
                <w:sz w:val="12"/>
                <w:szCs w:val="12"/>
              </w:rPr>
            </w:pPr>
            <w:r w:rsidRPr="00483EBE">
              <w:rPr>
                <w:sz w:val="12"/>
                <w:szCs w:val="12"/>
              </w:rPr>
              <w:t>$92,129</w:t>
            </w:r>
          </w:p>
        </w:tc>
        <w:tc>
          <w:tcPr>
            <w:tcW w:w="0" w:type="auto"/>
            <w:tcBorders>
              <w:top w:val="nil"/>
              <w:left w:val="nil"/>
              <w:bottom w:val="single" w:sz="4" w:space="0" w:color="auto"/>
              <w:right w:val="single" w:sz="4" w:space="0" w:color="auto"/>
            </w:tcBorders>
            <w:shd w:val="clear" w:color="auto" w:fill="auto"/>
            <w:vAlign w:val="center"/>
            <w:hideMark/>
          </w:tcPr>
          <w:p w14:paraId="1509DA4B" w14:textId="77777777" w:rsidR="00572995" w:rsidRPr="00483EBE" w:rsidRDefault="00572995" w:rsidP="00E8324D">
            <w:pPr>
              <w:pStyle w:val="Tablas"/>
              <w:rPr>
                <w:sz w:val="12"/>
                <w:szCs w:val="12"/>
              </w:rPr>
            </w:pPr>
            <w:r w:rsidRPr="00483EBE">
              <w:rPr>
                <w:sz w:val="12"/>
                <w:szCs w:val="12"/>
              </w:rPr>
              <w:t>$5,118</w:t>
            </w:r>
          </w:p>
        </w:tc>
        <w:tc>
          <w:tcPr>
            <w:tcW w:w="0" w:type="auto"/>
            <w:tcBorders>
              <w:top w:val="nil"/>
              <w:left w:val="nil"/>
              <w:bottom w:val="single" w:sz="4" w:space="0" w:color="auto"/>
              <w:right w:val="single" w:sz="4" w:space="0" w:color="auto"/>
            </w:tcBorders>
            <w:shd w:val="clear" w:color="auto" w:fill="auto"/>
            <w:vAlign w:val="center"/>
            <w:hideMark/>
          </w:tcPr>
          <w:p w14:paraId="36082964" w14:textId="77777777" w:rsidR="00572995" w:rsidRPr="00483EBE" w:rsidRDefault="00572995" w:rsidP="00E8324D">
            <w:pPr>
              <w:pStyle w:val="Tablas"/>
              <w:rPr>
                <w:sz w:val="12"/>
                <w:szCs w:val="12"/>
              </w:rPr>
            </w:pPr>
            <w:r w:rsidRPr="00483EBE">
              <w:rPr>
                <w:sz w:val="12"/>
                <w:szCs w:val="12"/>
              </w:rPr>
              <w:t>$427</w:t>
            </w:r>
          </w:p>
        </w:tc>
        <w:tc>
          <w:tcPr>
            <w:tcW w:w="0" w:type="auto"/>
            <w:tcBorders>
              <w:top w:val="nil"/>
              <w:left w:val="nil"/>
              <w:bottom w:val="single" w:sz="4" w:space="0" w:color="auto"/>
              <w:right w:val="single" w:sz="4" w:space="0" w:color="auto"/>
            </w:tcBorders>
            <w:shd w:val="clear" w:color="auto" w:fill="auto"/>
            <w:vAlign w:val="center"/>
            <w:hideMark/>
          </w:tcPr>
          <w:p w14:paraId="7228B95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F5C3566" w14:textId="77777777" w:rsidR="00572995" w:rsidRPr="00483EBE" w:rsidRDefault="00572995" w:rsidP="00E8324D">
            <w:pPr>
              <w:pStyle w:val="Tablas"/>
              <w:rPr>
                <w:sz w:val="12"/>
                <w:szCs w:val="12"/>
              </w:rPr>
            </w:pPr>
            <w:r w:rsidRPr="00483EBE">
              <w:rPr>
                <w:sz w:val="12"/>
                <w:szCs w:val="12"/>
              </w:rPr>
              <w:t>SEBD</w:t>
            </w:r>
          </w:p>
        </w:tc>
      </w:tr>
      <w:tr w:rsidR="00572995" w:rsidRPr="00483EBE" w14:paraId="3A79266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81B650"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773C0CBA" w14:textId="77777777" w:rsidR="00572995" w:rsidRPr="00483EBE" w:rsidRDefault="00572995" w:rsidP="00E8324D">
            <w:pPr>
              <w:pStyle w:val="Tablas"/>
              <w:rPr>
                <w:sz w:val="12"/>
                <w:szCs w:val="12"/>
              </w:rPr>
            </w:pPr>
            <w:r w:rsidRPr="00483EBE">
              <w:rPr>
                <w:sz w:val="12"/>
                <w:szCs w:val="12"/>
              </w:rPr>
              <w:t xml:space="preserve">111 </w:t>
            </w:r>
          </w:p>
        </w:tc>
        <w:tc>
          <w:tcPr>
            <w:tcW w:w="0" w:type="auto"/>
            <w:tcBorders>
              <w:top w:val="nil"/>
              <w:left w:val="nil"/>
              <w:bottom w:val="single" w:sz="4" w:space="0" w:color="auto"/>
              <w:right w:val="single" w:sz="4" w:space="0" w:color="auto"/>
            </w:tcBorders>
            <w:shd w:val="clear" w:color="auto" w:fill="auto"/>
            <w:vAlign w:val="center"/>
            <w:hideMark/>
          </w:tcPr>
          <w:p w14:paraId="55C12A77" w14:textId="77777777" w:rsidR="00572995" w:rsidRPr="00483EBE" w:rsidRDefault="00572995" w:rsidP="00E8324D">
            <w:pPr>
              <w:pStyle w:val="Tablas"/>
              <w:rPr>
                <w:sz w:val="12"/>
                <w:szCs w:val="12"/>
              </w:rPr>
            </w:pPr>
            <w:r w:rsidRPr="00483EBE">
              <w:rPr>
                <w:sz w:val="12"/>
                <w:szCs w:val="12"/>
              </w:rPr>
              <w:t>$440,507</w:t>
            </w:r>
          </w:p>
        </w:tc>
        <w:tc>
          <w:tcPr>
            <w:tcW w:w="0" w:type="auto"/>
            <w:tcBorders>
              <w:top w:val="nil"/>
              <w:left w:val="nil"/>
              <w:bottom w:val="single" w:sz="4" w:space="0" w:color="auto"/>
              <w:right w:val="single" w:sz="4" w:space="0" w:color="auto"/>
            </w:tcBorders>
            <w:shd w:val="clear" w:color="auto" w:fill="auto"/>
            <w:vAlign w:val="center"/>
            <w:hideMark/>
          </w:tcPr>
          <w:p w14:paraId="6E86EA79" w14:textId="77777777" w:rsidR="00572995" w:rsidRPr="00483EBE" w:rsidRDefault="00572995" w:rsidP="00E8324D">
            <w:pPr>
              <w:pStyle w:val="Tablas"/>
              <w:rPr>
                <w:sz w:val="12"/>
                <w:szCs w:val="12"/>
              </w:rPr>
            </w:pPr>
            <w:r w:rsidRPr="00483EBE">
              <w:rPr>
                <w:sz w:val="12"/>
                <w:szCs w:val="12"/>
              </w:rPr>
              <w:t>$3,969</w:t>
            </w:r>
          </w:p>
        </w:tc>
        <w:tc>
          <w:tcPr>
            <w:tcW w:w="0" w:type="auto"/>
            <w:tcBorders>
              <w:top w:val="nil"/>
              <w:left w:val="nil"/>
              <w:bottom w:val="single" w:sz="4" w:space="0" w:color="auto"/>
              <w:right w:val="single" w:sz="4" w:space="0" w:color="auto"/>
            </w:tcBorders>
            <w:shd w:val="clear" w:color="auto" w:fill="auto"/>
            <w:vAlign w:val="center"/>
            <w:hideMark/>
          </w:tcPr>
          <w:p w14:paraId="48DE1C97" w14:textId="77777777" w:rsidR="00572995" w:rsidRPr="00483EBE" w:rsidRDefault="00572995" w:rsidP="00E8324D">
            <w:pPr>
              <w:pStyle w:val="Tablas"/>
              <w:rPr>
                <w:sz w:val="12"/>
                <w:szCs w:val="12"/>
              </w:rPr>
            </w:pPr>
            <w:r w:rsidRPr="00483EBE">
              <w:rPr>
                <w:sz w:val="12"/>
                <w:szCs w:val="12"/>
              </w:rPr>
              <w:t>$331</w:t>
            </w:r>
          </w:p>
        </w:tc>
        <w:tc>
          <w:tcPr>
            <w:tcW w:w="0" w:type="auto"/>
            <w:tcBorders>
              <w:top w:val="nil"/>
              <w:left w:val="nil"/>
              <w:bottom w:val="single" w:sz="4" w:space="0" w:color="auto"/>
              <w:right w:val="single" w:sz="4" w:space="0" w:color="auto"/>
            </w:tcBorders>
            <w:shd w:val="clear" w:color="auto" w:fill="auto"/>
            <w:vAlign w:val="center"/>
            <w:hideMark/>
          </w:tcPr>
          <w:p w14:paraId="0BFBB7C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2C62ED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0027B5"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58FFFB4E"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6F58D426" w14:textId="77777777" w:rsidR="00572995" w:rsidRPr="00483EBE" w:rsidRDefault="00572995" w:rsidP="00E8324D">
            <w:pPr>
              <w:pStyle w:val="Tablas"/>
              <w:rPr>
                <w:sz w:val="12"/>
                <w:szCs w:val="12"/>
              </w:rPr>
            </w:pPr>
            <w:r w:rsidRPr="00483EBE">
              <w:rPr>
                <w:sz w:val="12"/>
                <w:szCs w:val="12"/>
              </w:rPr>
              <w:t>$105,783</w:t>
            </w:r>
          </w:p>
        </w:tc>
        <w:tc>
          <w:tcPr>
            <w:tcW w:w="0" w:type="auto"/>
            <w:tcBorders>
              <w:top w:val="nil"/>
              <w:left w:val="nil"/>
              <w:bottom w:val="single" w:sz="4" w:space="0" w:color="auto"/>
              <w:right w:val="single" w:sz="4" w:space="0" w:color="auto"/>
            </w:tcBorders>
            <w:shd w:val="clear" w:color="auto" w:fill="auto"/>
            <w:vAlign w:val="center"/>
            <w:hideMark/>
          </w:tcPr>
          <w:p w14:paraId="3DCF9676" w14:textId="77777777" w:rsidR="00572995" w:rsidRPr="00483EBE" w:rsidRDefault="00572995" w:rsidP="00E8324D">
            <w:pPr>
              <w:pStyle w:val="Tablas"/>
              <w:rPr>
                <w:sz w:val="12"/>
                <w:szCs w:val="12"/>
              </w:rPr>
            </w:pPr>
            <w:r w:rsidRPr="00483EBE">
              <w:rPr>
                <w:sz w:val="12"/>
                <w:szCs w:val="12"/>
              </w:rPr>
              <w:t>$4,231</w:t>
            </w:r>
          </w:p>
        </w:tc>
        <w:tc>
          <w:tcPr>
            <w:tcW w:w="0" w:type="auto"/>
            <w:tcBorders>
              <w:top w:val="nil"/>
              <w:left w:val="nil"/>
              <w:bottom w:val="single" w:sz="4" w:space="0" w:color="auto"/>
              <w:right w:val="single" w:sz="4" w:space="0" w:color="auto"/>
            </w:tcBorders>
            <w:shd w:val="clear" w:color="auto" w:fill="auto"/>
            <w:vAlign w:val="center"/>
            <w:hideMark/>
          </w:tcPr>
          <w:p w14:paraId="5FCC12FE" w14:textId="77777777" w:rsidR="00572995" w:rsidRPr="00483EBE" w:rsidRDefault="00572995" w:rsidP="00E8324D">
            <w:pPr>
              <w:pStyle w:val="Tablas"/>
              <w:rPr>
                <w:sz w:val="12"/>
                <w:szCs w:val="12"/>
              </w:rPr>
            </w:pPr>
            <w:r w:rsidRPr="00483EBE">
              <w:rPr>
                <w:sz w:val="12"/>
                <w:szCs w:val="12"/>
              </w:rPr>
              <w:t>$353</w:t>
            </w:r>
          </w:p>
        </w:tc>
        <w:tc>
          <w:tcPr>
            <w:tcW w:w="0" w:type="auto"/>
            <w:tcBorders>
              <w:top w:val="nil"/>
              <w:left w:val="nil"/>
              <w:bottom w:val="single" w:sz="4" w:space="0" w:color="auto"/>
              <w:right w:val="single" w:sz="4" w:space="0" w:color="auto"/>
            </w:tcBorders>
            <w:shd w:val="clear" w:color="auto" w:fill="auto"/>
            <w:vAlign w:val="center"/>
            <w:hideMark/>
          </w:tcPr>
          <w:p w14:paraId="33018A3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D20480E" w14:textId="77777777" w:rsidR="00572995" w:rsidRPr="00483EBE" w:rsidRDefault="00572995" w:rsidP="00E8324D">
            <w:pPr>
              <w:pStyle w:val="Tablas"/>
              <w:rPr>
                <w:sz w:val="12"/>
                <w:szCs w:val="12"/>
              </w:rPr>
            </w:pPr>
            <w:r w:rsidRPr="00483EBE">
              <w:rPr>
                <w:sz w:val="12"/>
                <w:szCs w:val="12"/>
              </w:rPr>
              <w:t>SEBD</w:t>
            </w:r>
          </w:p>
        </w:tc>
      </w:tr>
      <w:tr w:rsidR="00572995" w:rsidRPr="00483EBE" w14:paraId="0C4E1C3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C293FB"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47B3F33A" w14:textId="77777777" w:rsidR="00572995" w:rsidRPr="00483EBE" w:rsidRDefault="00572995" w:rsidP="00E8324D">
            <w:pPr>
              <w:pStyle w:val="Tablas"/>
              <w:rPr>
                <w:sz w:val="12"/>
                <w:szCs w:val="12"/>
              </w:rPr>
            </w:pPr>
            <w:r w:rsidRPr="00483EBE">
              <w:rPr>
                <w:sz w:val="12"/>
                <w:szCs w:val="12"/>
              </w:rPr>
              <w:t xml:space="preserve">132 </w:t>
            </w:r>
          </w:p>
        </w:tc>
        <w:tc>
          <w:tcPr>
            <w:tcW w:w="0" w:type="auto"/>
            <w:tcBorders>
              <w:top w:val="nil"/>
              <w:left w:val="nil"/>
              <w:bottom w:val="single" w:sz="4" w:space="0" w:color="auto"/>
              <w:right w:val="single" w:sz="4" w:space="0" w:color="auto"/>
            </w:tcBorders>
            <w:shd w:val="clear" w:color="auto" w:fill="auto"/>
            <w:vAlign w:val="center"/>
            <w:hideMark/>
          </w:tcPr>
          <w:p w14:paraId="5D86D940" w14:textId="77777777" w:rsidR="00572995" w:rsidRPr="00483EBE" w:rsidRDefault="00572995" w:rsidP="00E8324D">
            <w:pPr>
              <w:pStyle w:val="Tablas"/>
              <w:rPr>
                <w:sz w:val="12"/>
                <w:szCs w:val="12"/>
              </w:rPr>
            </w:pPr>
            <w:r w:rsidRPr="00483EBE">
              <w:rPr>
                <w:sz w:val="12"/>
                <w:szCs w:val="12"/>
              </w:rPr>
              <w:t>$495,880</w:t>
            </w:r>
          </w:p>
        </w:tc>
        <w:tc>
          <w:tcPr>
            <w:tcW w:w="0" w:type="auto"/>
            <w:tcBorders>
              <w:top w:val="nil"/>
              <w:left w:val="nil"/>
              <w:bottom w:val="single" w:sz="4" w:space="0" w:color="auto"/>
              <w:right w:val="single" w:sz="4" w:space="0" w:color="auto"/>
            </w:tcBorders>
            <w:shd w:val="clear" w:color="auto" w:fill="auto"/>
            <w:vAlign w:val="center"/>
            <w:hideMark/>
          </w:tcPr>
          <w:p w14:paraId="19495CA5" w14:textId="77777777" w:rsidR="00572995" w:rsidRPr="00483EBE" w:rsidRDefault="00572995" w:rsidP="00E8324D">
            <w:pPr>
              <w:pStyle w:val="Tablas"/>
              <w:rPr>
                <w:sz w:val="12"/>
                <w:szCs w:val="12"/>
              </w:rPr>
            </w:pPr>
            <w:r w:rsidRPr="00483EBE">
              <w:rPr>
                <w:sz w:val="12"/>
                <w:szCs w:val="12"/>
              </w:rPr>
              <w:t>$3,757</w:t>
            </w:r>
          </w:p>
        </w:tc>
        <w:tc>
          <w:tcPr>
            <w:tcW w:w="0" w:type="auto"/>
            <w:tcBorders>
              <w:top w:val="nil"/>
              <w:left w:val="nil"/>
              <w:bottom w:val="single" w:sz="4" w:space="0" w:color="auto"/>
              <w:right w:val="single" w:sz="4" w:space="0" w:color="auto"/>
            </w:tcBorders>
            <w:shd w:val="clear" w:color="auto" w:fill="auto"/>
            <w:vAlign w:val="center"/>
            <w:hideMark/>
          </w:tcPr>
          <w:p w14:paraId="2E73EB1A" w14:textId="77777777" w:rsidR="00572995" w:rsidRPr="00483EBE" w:rsidRDefault="00572995" w:rsidP="00E8324D">
            <w:pPr>
              <w:pStyle w:val="Tablas"/>
              <w:rPr>
                <w:sz w:val="12"/>
                <w:szCs w:val="12"/>
              </w:rPr>
            </w:pPr>
            <w:r w:rsidRPr="00483EBE">
              <w:rPr>
                <w:sz w:val="12"/>
                <w:szCs w:val="12"/>
              </w:rPr>
              <w:t>$313</w:t>
            </w:r>
          </w:p>
        </w:tc>
        <w:tc>
          <w:tcPr>
            <w:tcW w:w="0" w:type="auto"/>
            <w:tcBorders>
              <w:top w:val="nil"/>
              <w:left w:val="nil"/>
              <w:bottom w:val="single" w:sz="4" w:space="0" w:color="auto"/>
              <w:right w:val="single" w:sz="4" w:space="0" w:color="auto"/>
            </w:tcBorders>
            <w:shd w:val="clear" w:color="auto" w:fill="auto"/>
            <w:vAlign w:val="center"/>
            <w:hideMark/>
          </w:tcPr>
          <w:p w14:paraId="300F1106"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D0CDF1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D7028C"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30896723"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22467EFD" w14:textId="77777777" w:rsidR="00572995" w:rsidRPr="00483EBE" w:rsidRDefault="00572995" w:rsidP="00E8324D">
            <w:pPr>
              <w:pStyle w:val="Tablas"/>
              <w:rPr>
                <w:sz w:val="12"/>
                <w:szCs w:val="12"/>
              </w:rPr>
            </w:pPr>
            <w:r w:rsidRPr="00483EBE">
              <w:rPr>
                <w:sz w:val="12"/>
                <w:szCs w:val="12"/>
              </w:rPr>
              <w:t>$106,368</w:t>
            </w:r>
          </w:p>
        </w:tc>
        <w:tc>
          <w:tcPr>
            <w:tcW w:w="0" w:type="auto"/>
            <w:tcBorders>
              <w:top w:val="nil"/>
              <w:left w:val="nil"/>
              <w:bottom w:val="single" w:sz="4" w:space="0" w:color="auto"/>
              <w:right w:val="single" w:sz="4" w:space="0" w:color="auto"/>
            </w:tcBorders>
            <w:shd w:val="clear" w:color="auto" w:fill="auto"/>
            <w:vAlign w:val="center"/>
            <w:hideMark/>
          </w:tcPr>
          <w:p w14:paraId="05826F27" w14:textId="77777777" w:rsidR="00572995" w:rsidRPr="00483EBE" w:rsidRDefault="00572995" w:rsidP="00E8324D">
            <w:pPr>
              <w:pStyle w:val="Tablas"/>
              <w:rPr>
                <w:sz w:val="12"/>
                <w:szCs w:val="12"/>
              </w:rPr>
            </w:pPr>
            <w:r w:rsidRPr="00483EBE">
              <w:rPr>
                <w:sz w:val="12"/>
                <w:szCs w:val="12"/>
              </w:rPr>
              <w:t>$4,255</w:t>
            </w:r>
          </w:p>
        </w:tc>
        <w:tc>
          <w:tcPr>
            <w:tcW w:w="0" w:type="auto"/>
            <w:tcBorders>
              <w:top w:val="nil"/>
              <w:left w:val="nil"/>
              <w:bottom w:val="single" w:sz="4" w:space="0" w:color="auto"/>
              <w:right w:val="single" w:sz="4" w:space="0" w:color="auto"/>
            </w:tcBorders>
            <w:shd w:val="clear" w:color="auto" w:fill="auto"/>
            <w:vAlign w:val="center"/>
            <w:hideMark/>
          </w:tcPr>
          <w:p w14:paraId="77EEEA54" w14:textId="77777777" w:rsidR="00572995" w:rsidRPr="00483EBE" w:rsidRDefault="00572995" w:rsidP="00E8324D">
            <w:pPr>
              <w:pStyle w:val="Tablas"/>
              <w:rPr>
                <w:sz w:val="12"/>
                <w:szCs w:val="12"/>
              </w:rPr>
            </w:pPr>
            <w:r w:rsidRPr="00483EBE">
              <w:rPr>
                <w:sz w:val="12"/>
                <w:szCs w:val="12"/>
              </w:rPr>
              <w:t>$355</w:t>
            </w:r>
          </w:p>
        </w:tc>
        <w:tc>
          <w:tcPr>
            <w:tcW w:w="0" w:type="auto"/>
            <w:tcBorders>
              <w:top w:val="nil"/>
              <w:left w:val="nil"/>
              <w:bottom w:val="single" w:sz="4" w:space="0" w:color="auto"/>
              <w:right w:val="single" w:sz="4" w:space="0" w:color="auto"/>
            </w:tcBorders>
            <w:shd w:val="clear" w:color="auto" w:fill="auto"/>
            <w:vAlign w:val="center"/>
            <w:hideMark/>
          </w:tcPr>
          <w:p w14:paraId="23A09D7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3C4B484" w14:textId="77777777" w:rsidR="00572995" w:rsidRPr="00483EBE" w:rsidRDefault="00572995" w:rsidP="00E8324D">
            <w:pPr>
              <w:pStyle w:val="Tablas"/>
              <w:rPr>
                <w:sz w:val="12"/>
                <w:szCs w:val="12"/>
              </w:rPr>
            </w:pPr>
            <w:r w:rsidRPr="00483EBE">
              <w:rPr>
                <w:sz w:val="12"/>
                <w:szCs w:val="12"/>
              </w:rPr>
              <w:t>SEBD</w:t>
            </w:r>
          </w:p>
        </w:tc>
      </w:tr>
      <w:tr w:rsidR="00572995" w:rsidRPr="00483EBE" w14:paraId="7A6F78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9C87C0"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2F10A592" w14:textId="77777777" w:rsidR="00572995" w:rsidRPr="00483EBE" w:rsidRDefault="00572995" w:rsidP="00E8324D">
            <w:pPr>
              <w:pStyle w:val="Tablas"/>
              <w:rPr>
                <w:sz w:val="12"/>
                <w:szCs w:val="12"/>
              </w:rPr>
            </w:pPr>
            <w:r w:rsidRPr="00483EBE">
              <w:rPr>
                <w:sz w:val="12"/>
                <w:szCs w:val="12"/>
              </w:rPr>
              <w:t xml:space="preserve">140 </w:t>
            </w:r>
          </w:p>
        </w:tc>
        <w:tc>
          <w:tcPr>
            <w:tcW w:w="0" w:type="auto"/>
            <w:tcBorders>
              <w:top w:val="nil"/>
              <w:left w:val="nil"/>
              <w:bottom w:val="single" w:sz="4" w:space="0" w:color="auto"/>
              <w:right w:val="single" w:sz="4" w:space="0" w:color="auto"/>
            </w:tcBorders>
            <w:shd w:val="clear" w:color="auto" w:fill="auto"/>
            <w:vAlign w:val="center"/>
            <w:hideMark/>
          </w:tcPr>
          <w:p w14:paraId="2CAC9D32" w14:textId="77777777" w:rsidR="00572995" w:rsidRPr="00483EBE" w:rsidRDefault="00572995" w:rsidP="00E8324D">
            <w:pPr>
              <w:pStyle w:val="Tablas"/>
              <w:rPr>
                <w:sz w:val="12"/>
                <w:szCs w:val="12"/>
              </w:rPr>
            </w:pPr>
            <w:r w:rsidRPr="00483EBE">
              <w:rPr>
                <w:sz w:val="12"/>
                <w:szCs w:val="12"/>
              </w:rPr>
              <w:t>$549,461</w:t>
            </w:r>
          </w:p>
        </w:tc>
        <w:tc>
          <w:tcPr>
            <w:tcW w:w="0" w:type="auto"/>
            <w:tcBorders>
              <w:top w:val="nil"/>
              <w:left w:val="nil"/>
              <w:bottom w:val="single" w:sz="4" w:space="0" w:color="auto"/>
              <w:right w:val="single" w:sz="4" w:space="0" w:color="auto"/>
            </w:tcBorders>
            <w:shd w:val="clear" w:color="auto" w:fill="auto"/>
            <w:vAlign w:val="center"/>
            <w:hideMark/>
          </w:tcPr>
          <w:p w14:paraId="751741C1" w14:textId="77777777" w:rsidR="00572995" w:rsidRPr="00483EBE" w:rsidRDefault="00572995" w:rsidP="00E8324D">
            <w:pPr>
              <w:pStyle w:val="Tablas"/>
              <w:rPr>
                <w:sz w:val="12"/>
                <w:szCs w:val="12"/>
              </w:rPr>
            </w:pPr>
            <w:r w:rsidRPr="00483EBE">
              <w:rPr>
                <w:sz w:val="12"/>
                <w:szCs w:val="12"/>
              </w:rPr>
              <w:t>$3,925</w:t>
            </w:r>
          </w:p>
        </w:tc>
        <w:tc>
          <w:tcPr>
            <w:tcW w:w="0" w:type="auto"/>
            <w:tcBorders>
              <w:top w:val="nil"/>
              <w:left w:val="nil"/>
              <w:bottom w:val="single" w:sz="4" w:space="0" w:color="auto"/>
              <w:right w:val="single" w:sz="4" w:space="0" w:color="auto"/>
            </w:tcBorders>
            <w:shd w:val="clear" w:color="auto" w:fill="auto"/>
            <w:vAlign w:val="center"/>
            <w:hideMark/>
          </w:tcPr>
          <w:p w14:paraId="18428AF7" w14:textId="77777777" w:rsidR="00572995" w:rsidRPr="00483EBE" w:rsidRDefault="00572995" w:rsidP="00E8324D">
            <w:pPr>
              <w:pStyle w:val="Tablas"/>
              <w:rPr>
                <w:sz w:val="12"/>
                <w:szCs w:val="12"/>
              </w:rPr>
            </w:pPr>
            <w:r w:rsidRPr="00483EBE">
              <w:rPr>
                <w:sz w:val="12"/>
                <w:szCs w:val="12"/>
              </w:rPr>
              <w:t>$327</w:t>
            </w:r>
          </w:p>
        </w:tc>
        <w:tc>
          <w:tcPr>
            <w:tcW w:w="0" w:type="auto"/>
            <w:tcBorders>
              <w:top w:val="nil"/>
              <w:left w:val="nil"/>
              <w:bottom w:val="single" w:sz="4" w:space="0" w:color="auto"/>
              <w:right w:val="single" w:sz="4" w:space="0" w:color="auto"/>
            </w:tcBorders>
            <w:shd w:val="clear" w:color="auto" w:fill="auto"/>
            <w:vAlign w:val="center"/>
            <w:hideMark/>
          </w:tcPr>
          <w:p w14:paraId="4BD9F75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3F223F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598088"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33A4D326"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55452874" w14:textId="77777777" w:rsidR="00572995" w:rsidRPr="00483EBE" w:rsidRDefault="00572995" w:rsidP="00E8324D">
            <w:pPr>
              <w:pStyle w:val="Tablas"/>
              <w:rPr>
                <w:sz w:val="12"/>
                <w:szCs w:val="12"/>
              </w:rPr>
            </w:pPr>
            <w:r w:rsidRPr="00483EBE">
              <w:rPr>
                <w:sz w:val="12"/>
                <w:szCs w:val="12"/>
              </w:rPr>
              <w:t>$153,242</w:t>
            </w:r>
          </w:p>
        </w:tc>
        <w:tc>
          <w:tcPr>
            <w:tcW w:w="0" w:type="auto"/>
            <w:tcBorders>
              <w:top w:val="nil"/>
              <w:left w:val="nil"/>
              <w:bottom w:val="single" w:sz="4" w:space="0" w:color="auto"/>
              <w:right w:val="single" w:sz="4" w:space="0" w:color="auto"/>
            </w:tcBorders>
            <w:shd w:val="clear" w:color="auto" w:fill="auto"/>
            <w:vAlign w:val="center"/>
            <w:hideMark/>
          </w:tcPr>
          <w:p w14:paraId="592DC733" w14:textId="77777777" w:rsidR="00572995" w:rsidRPr="00483EBE" w:rsidRDefault="00572995" w:rsidP="00E8324D">
            <w:pPr>
              <w:pStyle w:val="Tablas"/>
              <w:rPr>
                <w:sz w:val="12"/>
                <w:szCs w:val="12"/>
              </w:rPr>
            </w:pPr>
            <w:r w:rsidRPr="00483EBE">
              <w:rPr>
                <w:sz w:val="12"/>
                <w:szCs w:val="12"/>
              </w:rPr>
              <w:t>$4,142</w:t>
            </w:r>
          </w:p>
        </w:tc>
        <w:tc>
          <w:tcPr>
            <w:tcW w:w="0" w:type="auto"/>
            <w:tcBorders>
              <w:top w:val="nil"/>
              <w:left w:val="nil"/>
              <w:bottom w:val="single" w:sz="4" w:space="0" w:color="auto"/>
              <w:right w:val="single" w:sz="4" w:space="0" w:color="auto"/>
            </w:tcBorders>
            <w:shd w:val="clear" w:color="auto" w:fill="auto"/>
            <w:vAlign w:val="center"/>
            <w:hideMark/>
          </w:tcPr>
          <w:p w14:paraId="4C3FE04B" w14:textId="77777777" w:rsidR="00572995" w:rsidRPr="00483EBE" w:rsidRDefault="00572995" w:rsidP="00E8324D">
            <w:pPr>
              <w:pStyle w:val="Tablas"/>
              <w:rPr>
                <w:sz w:val="12"/>
                <w:szCs w:val="12"/>
              </w:rPr>
            </w:pPr>
            <w:r w:rsidRPr="00483EBE">
              <w:rPr>
                <w:sz w:val="12"/>
                <w:szCs w:val="12"/>
              </w:rPr>
              <w:t>$345</w:t>
            </w:r>
          </w:p>
        </w:tc>
        <w:tc>
          <w:tcPr>
            <w:tcW w:w="0" w:type="auto"/>
            <w:tcBorders>
              <w:top w:val="nil"/>
              <w:left w:val="nil"/>
              <w:bottom w:val="single" w:sz="4" w:space="0" w:color="auto"/>
              <w:right w:val="single" w:sz="4" w:space="0" w:color="auto"/>
            </w:tcBorders>
            <w:shd w:val="clear" w:color="auto" w:fill="auto"/>
            <w:vAlign w:val="center"/>
            <w:hideMark/>
          </w:tcPr>
          <w:p w14:paraId="498C853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EE0A039" w14:textId="77777777" w:rsidR="00572995" w:rsidRPr="00483EBE" w:rsidRDefault="00572995" w:rsidP="00E8324D">
            <w:pPr>
              <w:pStyle w:val="Tablas"/>
              <w:rPr>
                <w:sz w:val="12"/>
                <w:szCs w:val="12"/>
              </w:rPr>
            </w:pPr>
            <w:r w:rsidRPr="00483EBE">
              <w:rPr>
                <w:sz w:val="12"/>
                <w:szCs w:val="12"/>
              </w:rPr>
              <w:t>SEBD</w:t>
            </w:r>
          </w:p>
        </w:tc>
      </w:tr>
      <w:tr w:rsidR="00572995" w:rsidRPr="00483EBE" w14:paraId="113830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16DF55B"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126A627A" w14:textId="77777777" w:rsidR="00572995" w:rsidRPr="00483EBE" w:rsidRDefault="00572995" w:rsidP="00E8324D">
            <w:pPr>
              <w:pStyle w:val="Tablas"/>
              <w:rPr>
                <w:sz w:val="12"/>
                <w:szCs w:val="12"/>
              </w:rPr>
            </w:pPr>
            <w:r w:rsidRPr="00483EBE">
              <w:rPr>
                <w:sz w:val="12"/>
                <w:szCs w:val="12"/>
              </w:rPr>
              <w:t xml:space="preserve">144 </w:t>
            </w:r>
          </w:p>
        </w:tc>
        <w:tc>
          <w:tcPr>
            <w:tcW w:w="0" w:type="auto"/>
            <w:tcBorders>
              <w:top w:val="nil"/>
              <w:left w:val="nil"/>
              <w:bottom w:val="single" w:sz="4" w:space="0" w:color="auto"/>
              <w:right w:val="single" w:sz="4" w:space="0" w:color="auto"/>
            </w:tcBorders>
            <w:shd w:val="clear" w:color="auto" w:fill="auto"/>
            <w:vAlign w:val="center"/>
            <w:hideMark/>
          </w:tcPr>
          <w:p w14:paraId="1650A190" w14:textId="77777777" w:rsidR="00572995" w:rsidRPr="00483EBE" w:rsidRDefault="00572995" w:rsidP="00E8324D">
            <w:pPr>
              <w:pStyle w:val="Tablas"/>
              <w:rPr>
                <w:sz w:val="12"/>
                <w:szCs w:val="12"/>
              </w:rPr>
            </w:pPr>
            <w:r w:rsidRPr="00483EBE">
              <w:rPr>
                <w:sz w:val="12"/>
                <w:szCs w:val="12"/>
              </w:rPr>
              <w:t>$546,865</w:t>
            </w:r>
          </w:p>
        </w:tc>
        <w:tc>
          <w:tcPr>
            <w:tcW w:w="0" w:type="auto"/>
            <w:tcBorders>
              <w:top w:val="nil"/>
              <w:left w:val="nil"/>
              <w:bottom w:val="single" w:sz="4" w:space="0" w:color="auto"/>
              <w:right w:val="single" w:sz="4" w:space="0" w:color="auto"/>
            </w:tcBorders>
            <w:shd w:val="clear" w:color="auto" w:fill="auto"/>
            <w:vAlign w:val="center"/>
            <w:hideMark/>
          </w:tcPr>
          <w:p w14:paraId="2E52D07A" w14:textId="77777777" w:rsidR="00572995" w:rsidRPr="00483EBE" w:rsidRDefault="00572995" w:rsidP="00E8324D">
            <w:pPr>
              <w:pStyle w:val="Tablas"/>
              <w:rPr>
                <w:sz w:val="12"/>
                <w:szCs w:val="12"/>
              </w:rPr>
            </w:pPr>
            <w:r w:rsidRPr="00483EBE">
              <w:rPr>
                <w:sz w:val="12"/>
                <w:szCs w:val="12"/>
              </w:rPr>
              <w:t>$3,798</w:t>
            </w:r>
          </w:p>
        </w:tc>
        <w:tc>
          <w:tcPr>
            <w:tcW w:w="0" w:type="auto"/>
            <w:tcBorders>
              <w:top w:val="nil"/>
              <w:left w:val="nil"/>
              <w:bottom w:val="single" w:sz="4" w:space="0" w:color="auto"/>
              <w:right w:val="single" w:sz="4" w:space="0" w:color="auto"/>
            </w:tcBorders>
            <w:shd w:val="clear" w:color="auto" w:fill="auto"/>
            <w:vAlign w:val="center"/>
            <w:hideMark/>
          </w:tcPr>
          <w:p w14:paraId="3A14B6E1" w14:textId="77777777" w:rsidR="00572995" w:rsidRPr="00483EBE" w:rsidRDefault="00572995" w:rsidP="00E8324D">
            <w:pPr>
              <w:pStyle w:val="Tablas"/>
              <w:rPr>
                <w:sz w:val="12"/>
                <w:szCs w:val="12"/>
              </w:rPr>
            </w:pPr>
            <w:r w:rsidRPr="00483EBE">
              <w:rPr>
                <w:sz w:val="12"/>
                <w:szCs w:val="12"/>
              </w:rPr>
              <w:t>$316</w:t>
            </w:r>
          </w:p>
        </w:tc>
        <w:tc>
          <w:tcPr>
            <w:tcW w:w="0" w:type="auto"/>
            <w:tcBorders>
              <w:top w:val="nil"/>
              <w:left w:val="nil"/>
              <w:bottom w:val="single" w:sz="4" w:space="0" w:color="auto"/>
              <w:right w:val="single" w:sz="4" w:space="0" w:color="auto"/>
            </w:tcBorders>
            <w:shd w:val="clear" w:color="auto" w:fill="auto"/>
            <w:vAlign w:val="center"/>
            <w:hideMark/>
          </w:tcPr>
          <w:p w14:paraId="47B8B86B"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487C32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577B2D"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321D416B" w14:textId="77777777" w:rsidR="00572995" w:rsidRPr="00483EBE" w:rsidRDefault="00572995" w:rsidP="00E8324D">
            <w:pPr>
              <w:pStyle w:val="Tablas"/>
              <w:rPr>
                <w:sz w:val="12"/>
                <w:szCs w:val="12"/>
              </w:rPr>
            </w:pPr>
            <w:r w:rsidRPr="00483EBE">
              <w:rPr>
                <w:sz w:val="12"/>
                <w:szCs w:val="12"/>
              </w:rPr>
              <w:t xml:space="preserve">45 </w:t>
            </w:r>
          </w:p>
        </w:tc>
        <w:tc>
          <w:tcPr>
            <w:tcW w:w="0" w:type="auto"/>
            <w:tcBorders>
              <w:top w:val="nil"/>
              <w:left w:val="nil"/>
              <w:bottom w:val="single" w:sz="4" w:space="0" w:color="auto"/>
              <w:right w:val="single" w:sz="4" w:space="0" w:color="auto"/>
            </w:tcBorders>
            <w:shd w:val="clear" w:color="auto" w:fill="auto"/>
            <w:vAlign w:val="center"/>
            <w:hideMark/>
          </w:tcPr>
          <w:p w14:paraId="27637812" w14:textId="77777777" w:rsidR="00572995" w:rsidRPr="00483EBE" w:rsidRDefault="00572995" w:rsidP="00E8324D">
            <w:pPr>
              <w:pStyle w:val="Tablas"/>
              <w:rPr>
                <w:sz w:val="12"/>
                <w:szCs w:val="12"/>
              </w:rPr>
            </w:pPr>
            <w:r w:rsidRPr="00483EBE">
              <w:rPr>
                <w:sz w:val="12"/>
                <w:szCs w:val="12"/>
              </w:rPr>
              <w:t>$174,468</w:t>
            </w:r>
          </w:p>
        </w:tc>
        <w:tc>
          <w:tcPr>
            <w:tcW w:w="0" w:type="auto"/>
            <w:tcBorders>
              <w:top w:val="nil"/>
              <w:left w:val="nil"/>
              <w:bottom w:val="single" w:sz="4" w:space="0" w:color="auto"/>
              <w:right w:val="single" w:sz="4" w:space="0" w:color="auto"/>
            </w:tcBorders>
            <w:shd w:val="clear" w:color="auto" w:fill="auto"/>
            <w:vAlign w:val="center"/>
            <w:hideMark/>
          </w:tcPr>
          <w:p w14:paraId="2E0207FB" w14:textId="77777777" w:rsidR="00572995" w:rsidRPr="00483EBE" w:rsidRDefault="00572995" w:rsidP="00E8324D">
            <w:pPr>
              <w:pStyle w:val="Tablas"/>
              <w:rPr>
                <w:sz w:val="12"/>
                <w:szCs w:val="12"/>
              </w:rPr>
            </w:pPr>
            <w:r w:rsidRPr="00483EBE">
              <w:rPr>
                <w:sz w:val="12"/>
                <w:szCs w:val="12"/>
              </w:rPr>
              <w:t>$3,877</w:t>
            </w:r>
          </w:p>
        </w:tc>
        <w:tc>
          <w:tcPr>
            <w:tcW w:w="0" w:type="auto"/>
            <w:tcBorders>
              <w:top w:val="nil"/>
              <w:left w:val="nil"/>
              <w:bottom w:val="single" w:sz="4" w:space="0" w:color="auto"/>
              <w:right w:val="single" w:sz="4" w:space="0" w:color="auto"/>
            </w:tcBorders>
            <w:shd w:val="clear" w:color="auto" w:fill="auto"/>
            <w:vAlign w:val="center"/>
            <w:hideMark/>
          </w:tcPr>
          <w:p w14:paraId="1EF8FFED" w14:textId="77777777" w:rsidR="00572995" w:rsidRPr="00483EBE" w:rsidRDefault="00572995" w:rsidP="00E8324D">
            <w:pPr>
              <w:pStyle w:val="Tablas"/>
              <w:rPr>
                <w:sz w:val="12"/>
                <w:szCs w:val="12"/>
              </w:rPr>
            </w:pPr>
            <w:r w:rsidRPr="00483EBE">
              <w:rPr>
                <w:sz w:val="12"/>
                <w:szCs w:val="12"/>
              </w:rPr>
              <w:t>$323</w:t>
            </w:r>
          </w:p>
        </w:tc>
        <w:tc>
          <w:tcPr>
            <w:tcW w:w="0" w:type="auto"/>
            <w:tcBorders>
              <w:top w:val="nil"/>
              <w:left w:val="nil"/>
              <w:bottom w:val="single" w:sz="4" w:space="0" w:color="auto"/>
              <w:right w:val="single" w:sz="4" w:space="0" w:color="auto"/>
            </w:tcBorders>
            <w:shd w:val="clear" w:color="auto" w:fill="auto"/>
            <w:vAlign w:val="center"/>
            <w:hideMark/>
          </w:tcPr>
          <w:p w14:paraId="517EF57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E9BFCA6" w14:textId="77777777" w:rsidR="00572995" w:rsidRPr="00483EBE" w:rsidRDefault="00572995" w:rsidP="00E8324D">
            <w:pPr>
              <w:pStyle w:val="Tablas"/>
              <w:rPr>
                <w:sz w:val="12"/>
                <w:szCs w:val="12"/>
              </w:rPr>
            </w:pPr>
            <w:r w:rsidRPr="00483EBE">
              <w:rPr>
                <w:sz w:val="12"/>
                <w:szCs w:val="12"/>
              </w:rPr>
              <w:t>SEBD</w:t>
            </w:r>
          </w:p>
        </w:tc>
      </w:tr>
      <w:tr w:rsidR="00572995" w:rsidRPr="00483EBE" w14:paraId="7E57CC8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97D144"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6243EB2D" w14:textId="77777777" w:rsidR="00572995" w:rsidRPr="00483EBE" w:rsidRDefault="00572995" w:rsidP="00E8324D">
            <w:pPr>
              <w:pStyle w:val="Tablas"/>
              <w:rPr>
                <w:sz w:val="12"/>
                <w:szCs w:val="12"/>
              </w:rPr>
            </w:pPr>
            <w:r w:rsidRPr="00483EBE">
              <w:rPr>
                <w:sz w:val="12"/>
                <w:szCs w:val="12"/>
              </w:rPr>
              <w:t xml:space="preserve">146 </w:t>
            </w:r>
          </w:p>
        </w:tc>
        <w:tc>
          <w:tcPr>
            <w:tcW w:w="0" w:type="auto"/>
            <w:tcBorders>
              <w:top w:val="nil"/>
              <w:left w:val="nil"/>
              <w:bottom w:val="single" w:sz="4" w:space="0" w:color="auto"/>
              <w:right w:val="single" w:sz="4" w:space="0" w:color="auto"/>
            </w:tcBorders>
            <w:shd w:val="clear" w:color="auto" w:fill="auto"/>
            <w:vAlign w:val="center"/>
            <w:hideMark/>
          </w:tcPr>
          <w:p w14:paraId="62A21681" w14:textId="77777777" w:rsidR="00572995" w:rsidRPr="00483EBE" w:rsidRDefault="00572995" w:rsidP="00E8324D">
            <w:pPr>
              <w:pStyle w:val="Tablas"/>
              <w:rPr>
                <w:sz w:val="12"/>
                <w:szCs w:val="12"/>
              </w:rPr>
            </w:pPr>
            <w:r w:rsidRPr="00483EBE">
              <w:rPr>
                <w:sz w:val="12"/>
                <w:szCs w:val="12"/>
              </w:rPr>
              <w:t>$600,589</w:t>
            </w:r>
          </w:p>
        </w:tc>
        <w:tc>
          <w:tcPr>
            <w:tcW w:w="0" w:type="auto"/>
            <w:tcBorders>
              <w:top w:val="nil"/>
              <w:left w:val="nil"/>
              <w:bottom w:val="single" w:sz="4" w:space="0" w:color="auto"/>
              <w:right w:val="single" w:sz="4" w:space="0" w:color="auto"/>
            </w:tcBorders>
            <w:shd w:val="clear" w:color="auto" w:fill="auto"/>
            <w:vAlign w:val="center"/>
            <w:hideMark/>
          </w:tcPr>
          <w:p w14:paraId="7F46480C" w14:textId="77777777" w:rsidR="00572995" w:rsidRPr="00483EBE" w:rsidRDefault="00572995" w:rsidP="00E8324D">
            <w:pPr>
              <w:pStyle w:val="Tablas"/>
              <w:rPr>
                <w:sz w:val="12"/>
                <w:szCs w:val="12"/>
              </w:rPr>
            </w:pPr>
            <w:r w:rsidRPr="00483EBE">
              <w:rPr>
                <w:sz w:val="12"/>
                <w:szCs w:val="12"/>
              </w:rPr>
              <w:t>$4,114</w:t>
            </w:r>
          </w:p>
        </w:tc>
        <w:tc>
          <w:tcPr>
            <w:tcW w:w="0" w:type="auto"/>
            <w:tcBorders>
              <w:top w:val="nil"/>
              <w:left w:val="nil"/>
              <w:bottom w:val="single" w:sz="4" w:space="0" w:color="auto"/>
              <w:right w:val="single" w:sz="4" w:space="0" w:color="auto"/>
            </w:tcBorders>
            <w:shd w:val="clear" w:color="auto" w:fill="auto"/>
            <w:vAlign w:val="center"/>
            <w:hideMark/>
          </w:tcPr>
          <w:p w14:paraId="4646F7DC" w14:textId="77777777" w:rsidR="00572995" w:rsidRPr="00483EBE" w:rsidRDefault="00572995" w:rsidP="00E8324D">
            <w:pPr>
              <w:pStyle w:val="Tablas"/>
              <w:rPr>
                <w:sz w:val="12"/>
                <w:szCs w:val="12"/>
              </w:rPr>
            </w:pPr>
            <w:r w:rsidRPr="00483EBE">
              <w:rPr>
                <w:sz w:val="12"/>
                <w:szCs w:val="12"/>
              </w:rPr>
              <w:t>$343</w:t>
            </w:r>
          </w:p>
        </w:tc>
        <w:tc>
          <w:tcPr>
            <w:tcW w:w="0" w:type="auto"/>
            <w:tcBorders>
              <w:top w:val="nil"/>
              <w:left w:val="nil"/>
              <w:bottom w:val="single" w:sz="4" w:space="0" w:color="auto"/>
              <w:right w:val="single" w:sz="4" w:space="0" w:color="auto"/>
            </w:tcBorders>
            <w:shd w:val="clear" w:color="auto" w:fill="auto"/>
            <w:vAlign w:val="center"/>
            <w:hideMark/>
          </w:tcPr>
          <w:p w14:paraId="2B9F845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1A5F50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6B4B539"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0D993CB4" w14:textId="77777777" w:rsidR="00572995" w:rsidRPr="00483EBE" w:rsidRDefault="00572995" w:rsidP="00E8324D">
            <w:pPr>
              <w:pStyle w:val="Tablas"/>
              <w:rPr>
                <w:sz w:val="12"/>
                <w:szCs w:val="12"/>
              </w:rPr>
            </w:pPr>
            <w:r w:rsidRPr="00483EBE">
              <w:rPr>
                <w:sz w:val="12"/>
                <w:szCs w:val="12"/>
              </w:rPr>
              <w:t xml:space="preserve">40 </w:t>
            </w:r>
          </w:p>
        </w:tc>
        <w:tc>
          <w:tcPr>
            <w:tcW w:w="0" w:type="auto"/>
            <w:tcBorders>
              <w:top w:val="nil"/>
              <w:left w:val="nil"/>
              <w:bottom w:val="single" w:sz="4" w:space="0" w:color="auto"/>
              <w:right w:val="single" w:sz="4" w:space="0" w:color="auto"/>
            </w:tcBorders>
            <w:shd w:val="clear" w:color="auto" w:fill="auto"/>
            <w:vAlign w:val="center"/>
            <w:hideMark/>
          </w:tcPr>
          <w:p w14:paraId="4ABA7592" w14:textId="77777777" w:rsidR="00572995" w:rsidRPr="00483EBE" w:rsidRDefault="00572995" w:rsidP="00E8324D">
            <w:pPr>
              <w:pStyle w:val="Tablas"/>
              <w:rPr>
                <w:sz w:val="12"/>
                <w:szCs w:val="12"/>
              </w:rPr>
            </w:pPr>
            <w:r w:rsidRPr="00483EBE">
              <w:rPr>
                <w:sz w:val="12"/>
                <w:szCs w:val="12"/>
              </w:rPr>
              <w:t>$167,750</w:t>
            </w:r>
          </w:p>
        </w:tc>
        <w:tc>
          <w:tcPr>
            <w:tcW w:w="0" w:type="auto"/>
            <w:tcBorders>
              <w:top w:val="nil"/>
              <w:left w:val="nil"/>
              <w:bottom w:val="single" w:sz="4" w:space="0" w:color="auto"/>
              <w:right w:val="single" w:sz="4" w:space="0" w:color="auto"/>
            </w:tcBorders>
            <w:shd w:val="clear" w:color="auto" w:fill="auto"/>
            <w:vAlign w:val="center"/>
            <w:hideMark/>
          </w:tcPr>
          <w:p w14:paraId="6E3D3402" w14:textId="77777777" w:rsidR="00572995" w:rsidRPr="00483EBE" w:rsidRDefault="00572995" w:rsidP="00E8324D">
            <w:pPr>
              <w:pStyle w:val="Tablas"/>
              <w:rPr>
                <w:sz w:val="12"/>
                <w:szCs w:val="12"/>
              </w:rPr>
            </w:pPr>
            <w:r w:rsidRPr="00483EBE">
              <w:rPr>
                <w:sz w:val="12"/>
                <w:szCs w:val="12"/>
              </w:rPr>
              <w:t>$4,194</w:t>
            </w:r>
          </w:p>
        </w:tc>
        <w:tc>
          <w:tcPr>
            <w:tcW w:w="0" w:type="auto"/>
            <w:tcBorders>
              <w:top w:val="nil"/>
              <w:left w:val="nil"/>
              <w:bottom w:val="single" w:sz="4" w:space="0" w:color="auto"/>
              <w:right w:val="single" w:sz="4" w:space="0" w:color="auto"/>
            </w:tcBorders>
            <w:shd w:val="clear" w:color="auto" w:fill="auto"/>
            <w:vAlign w:val="center"/>
            <w:hideMark/>
          </w:tcPr>
          <w:p w14:paraId="3D0125FD" w14:textId="77777777" w:rsidR="00572995" w:rsidRPr="00483EBE" w:rsidRDefault="00572995" w:rsidP="00E8324D">
            <w:pPr>
              <w:pStyle w:val="Tablas"/>
              <w:rPr>
                <w:sz w:val="12"/>
                <w:szCs w:val="12"/>
              </w:rPr>
            </w:pPr>
            <w:r w:rsidRPr="00483EBE">
              <w:rPr>
                <w:sz w:val="12"/>
                <w:szCs w:val="12"/>
              </w:rPr>
              <w:t>$349</w:t>
            </w:r>
          </w:p>
        </w:tc>
        <w:tc>
          <w:tcPr>
            <w:tcW w:w="0" w:type="auto"/>
            <w:tcBorders>
              <w:top w:val="nil"/>
              <w:left w:val="nil"/>
              <w:bottom w:val="single" w:sz="4" w:space="0" w:color="auto"/>
              <w:right w:val="single" w:sz="4" w:space="0" w:color="auto"/>
            </w:tcBorders>
            <w:shd w:val="clear" w:color="auto" w:fill="auto"/>
            <w:vAlign w:val="center"/>
            <w:hideMark/>
          </w:tcPr>
          <w:p w14:paraId="701B3F1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0502993" w14:textId="77777777" w:rsidR="00572995" w:rsidRPr="00483EBE" w:rsidRDefault="00572995" w:rsidP="00E8324D">
            <w:pPr>
              <w:pStyle w:val="Tablas"/>
              <w:rPr>
                <w:sz w:val="12"/>
                <w:szCs w:val="12"/>
              </w:rPr>
            </w:pPr>
            <w:r w:rsidRPr="00483EBE">
              <w:rPr>
                <w:sz w:val="12"/>
                <w:szCs w:val="12"/>
              </w:rPr>
              <w:t>SEBD</w:t>
            </w:r>
          </w:p>
        </w:tc>
      </w:tr>
      <w:tr w:rsidR="00572995" w:rsidRPr="00483EBE" w14:paraId="0C42480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94E7F56"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377B885" w14:textId="77777777" w:rsidR="00572995" w:rsidRPr="00483EBE" w:rsidRDefault="00572995" w:rsidP="00E8324D">
            <w:pPr>
              <w:pStyle w:val="Tablas"/>
              <w:rPr>
                <w:sz w:val="12"/>
                <w:szCs w:val="12"/>
              </w:rPr>
            </w:pPr>
            <w:r w:rsidRPr="00483EBE">
              <w:rPr>
                <w:sz w:val="12"/>
                <w:szCs w:val="12"/>
              </w:rPr>
              <w:t xml:space="preserve">186 </w:t>
            </w:r>
          </w:p>
        </w:tc>
        <w:tc>
          <w:tcPr>
            <w:tcW w:w="0" w:type="auto"/>
            <w:tcBorders>
              <w:top w:val="nil"/>
              <w:left w:val="nil"/>
              <w:bottom w:val="single" w:sz="4" w:space="0" w:color="auto"/>
              <w:right w:val="single" w:sz="4" w:space="0" w:color="auto"/>
            </w:tcBorders>
            <w:shd w:val="clear" w:color="auto" w:fill="auto"/>
            <w:vAlign w:val="center"/>
            <w:hideMark/>
          </w:tcPr>
          <w:p w14:paraId="42EE9B96" w14:textId="77777777" w:rsidR="00572995" w:rsidRPr="00483EBE" w:rsidRDefault="00572995" w:rsidP="00E8324D">
            <w:pPr>
              <w:pStyle w:val="Tablas"/>
              <w:rPr>
                <w:sz w:val="12"/>
                <w:szCs w:val="12"/>
              </w:rPr>
            </w:pPr>
            <w:r w:rsidRPr="00483EBE">
              <w:rPr>
                <w:sz w:val="12"/>
                <w:szCs w:val="12"/>
              </w:rPr>
              <w:t>$748,855</w:t>
            </w:r>
          </w:p>
        </w:tc>
        <w:tc>
          <w:tcPr>
            <w:tcW w:w="0" w:type="auto"/>
            <w:tcBorders>
              <w:top w:val="nil"/>
              <w:left w:val="nil"/>
              <w:bottom w:val="single" w:sz="4" w:space="0" w:color="auto"/>
              <w:right w:val="single" w:sz="4" w:space="0" w:color="auto"/>
            </w:tcBorders>
            <w:shd w:val="clear" w:color="auto" w:fill="auto"/>
            <w:vAlign w:val="center"/>
            <w:hideMark/>
          </w:tcPr>
          <w:p w14:paraId="56D39817" w14:textId="77777777" w:rsidR="00572995" w:rsidRPr="00483EBE" w:rsidRDefault="00572995" w:rsidP="00E8324D">
            <w:pPr>
              <w:pStyle w:val="Tablas"/>
              <w:rPr>
                <w:sz w:val="12"/>
                <w:szCs w:val="12"/>
              </w:rPr>
            </w:pPr>
            <w:r w:rsidRPr="00483EBE">
              <w:rPr>
                <w:sz w:val="12"/>
                <w:szCs w:val="12"/>
              </w:rPr>
              <w:t>$4,026</w:t>
            </w:r>
          </w:p>
        </w:tc>
        <w:tc>
          <w:tcPr>
            <w:tcW w:w="0" w:type="auto"/>
            <w:tcBorders>
              <w:top w:val="nil"/>
              <w:left w:val="nil"/>
              <w:bottom w:val="single" w:sz="4" w:space="0" w:color="auto"/>
              <w:right w:val="single" w:sz="4" w:space="0" w:color="auto"/>
            </w:tcBorders>
            <w:shd w:val="clear" w:color="auto" w:fill="auto"/>
            <w:vAlign w:val="center"/>
            <w:hideMark/>
          </w:tcPr>
          <w:p w14:paraId="0E7E98F4" w14:textId="77777777" w:rsidR="00572995" w:rsidRPr="00483EBE" w:rsidRDefault="00572995" w:rsidP="00E8324D">
            <w:pPr>
              <w:pStyle w:val="Tablas"/>
              <w:rPr>
                <w:sz w:val="12"/>
                <w:szCs w:val="12"/>
              </w:rPr>
            </w:pPr>
            <w:r w:rsidRPr="00483EBE">
              <w:rPr>
                <w:sz w:val="12"/>
                <w:szCs w:val="12"/>
              </w:rPr>
              <w:t>$336</w:t>
            </w:r>
          </w:p>
        </w:tc>
        <w:tc>
          <w:tcPr>
            <w:tcW w:w="0" w:type="auto"/>
            <w:tcBorders>
              <w:top w:val="nil"/>
              <w:left w:val="nil"/>
              <w:bottom w:val="single" w:sz="4" w:space="0" w:color="auto"/>
              <w:right w:val="single" w:sz="4" w:space="0" w:color="auto"/>
            </w:tcBorders>
            <w:shd w:val="clear" w:color="auto" w:fill="auto"/>
            <w:vAlign w:val="center"/>
            <w:hideMark/>
          </w:tcPr>
          <w:p w14:paraId="29BE800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C41D5D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4B5A8BE"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581762BB" w14:textId="77777777" w:rsidR="00572995" w:rsidRPr="00483EBE" w:rsidRDefault="00572995" w:rsidP="00E8324D">
            <w:pPr>
              <w:pStyle w:val="Tablas"/>
              <w:rPr>
                <w:sz w:val="12"/>
                <w:szCs w:val="12"/>
              </w:rPr>
            </w:pPr>
            <w:r w:rsidRPr="00483EBE">
              <w:rPr>
                <w:sz w:val="12"/>
                <w:szCs w:val="12"/>
              </w:rPr>
              <w:t xml:space="preserve">61 </w:t>
            </w:r>
          </w:p>
        </w:tc>
        <w:tc>
          <w:tcPr>
            <w:tcW w:w="0" w:type="auto"/>
            <w:tcBorders>
              <w:top w:val="nil"/>
              <w:left w:val="nil"/>
              <w:bottom w:val="single" w:sz="4" w:space="0" w:color="auto"/>
              <w:right w:val="single" w:sz="4" w:space="0" w:color="auto"/>
            </w:tcBorders>
            <w:shd w:val="clear" w:color="auto" w:fill="auto"/>
            <w:vAlign w:val="center"/>
            <w:hideMark/>
          </w:tcPr>
          <w:p w14:paraId="14337461" w14:textId="77777777" w:rsidR="00572995" w:rsidRPr="00483EBE" w:rsidRDefault="00572995" w:rsidP="00E8324D">
            <w:pPr>
              <w:pStyle w:val="Tablas"/>
              <w:rPr>
                <w:sz w:val="12"/>
                <w:szCs w:val="12"/>
              </w:rPr>
            </w:pPr>
            <w:r w:rsidRPr="00483EBE">
              <w:rPr>
                <w:sz w:val="12"/>
                <w:szCs w:val="12"/>
              </w:rPr>
              <w:t>$228,435</w:t>
            </w:r>
          </w:p>
        </w:tc>
        <w:tc>
          <w:tcPr>
            <w:tcW w:w="0" w:type="auto"/>
            <w:tcBorders>
              <w:top w:val="nil"/>
              <w:left w:val="nil"/>
              <w:bottom w:val="single" w:sz="4" w:space="0" w:color="auto"/>
              <w:right w:val="single" w:sz="4" w:space="0" w:color="auto"/>
            </w:tcBorders>
            <w:shd w:val="clear" w:color="auto" w:fill="auto"/>
            <w:vAlign w:val="center"/>
            <w:hideMark/>
          </w:tcPr>
          <w:p w14:paraId="15047BEA" w14:textId="77777777" w:rsidR="00572995" w:rsidRPr="00483EBE" w:rsidRDefault="00572995" w:rsidP="00E8324D">
            <w:pPr>
              <w:pStyle w:val="Tablas"/>
              <w:rPr>
                <w:sz w:val="12"/>
                <w:szCs w:val="12"/>
              </w:rPr>
            </w:pPr>
            <w:r w:rsidRPr="00483EBE">
              <w:rPr>
                <w:sz w:val="12"/>
                <w:szCs w:val="12"/>
              </w:rPr>
              <w:t>$3,745</w:t>
            </w:r>
          </w:p>
        </w:tc>
        <w:tc>
          <w:tcPr>
            <w:tcW w:w="0" w:type="auto"/>
            <w:tcBorders>
              <w:top w:val="nil"/>
              <w:left w:val="nil"/>
              <w:bottom w:val="single" w:sz="4" w:space="0" w:color="auto"/>
              <w:right w:val="single" w:sz="4" w:space="0" w:color="auto"/>
            </w:tcBorders>
            <w:shd w:val="clear" w:color="auto" w:fill="auto"/>
            <w:vAlign w:val="center"/>
            <w:hideMark/>
          </w:tcPr>
          <w:p w14:paraId="68128F34" w14:textId="77777777" w:rsidR="00572995" w:rsidRPr="00483EBE" w:rsidRDefault="00572995" w:rsidP="00E8324D">
            <w:pPr>
              <w:pStyle w:val="Tablas"/>
              <w:rPr>
                <w:sz w:val="12"/>
                <w:szCs w:val="12"/>
              </w:rPr>
            </w:pPr>
            <w:r w:rsidRPr="00483EBE">
              <w:rPr>
                <w:sz w:val="12"/>
                <w:szCs w:val="12"/>
              </w:rPr>
              <w:t>$312</w:t>
            </w:r>
          </w:p>
        </w:tc>
        <w:tc>
          <w:tcPr>
            <w:tcW w:w="0" w:type="auto"/>
            <w:tcBorders>
              <w:top w:val="nil"/>
              <w:left w:val="nil"/>
              <w:bottom w:val="single" w:sz="4" w:space="0" w:color="auto"/>
              <w:right w:val="single" w:sz="4" w:space="0" w:color="auto"/>
            </w:tcBorders>
            <w:shd w:val="clear" w:color="auto" w:fill="auto"/>
            <w:vAlign w:val="center"/>
            <w:hideMark/>
          </w:tcPr>
          <w:p w14:paraId="2B0CBDD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2DCD0C8" w14:textId="77777777" w:rsidR="00572995" w:rsidRPr="00483EBE" w:rsidRDefault="00572995" w:rsidP="00E8324D">
            <w:pPr>
              <w:pStyle w:val="Tablas"/>
              <w:rPr>
                <w:sz w:val="12"/>
                <w:szCs w:val="12"/>
              </w:rPr>
            </w:pPr>
            <w:r w:rsidRPr="00483EBE">
              <w:rPr>
                <w:sz w:val="12"/>
                <w:szCs w:val="12"/>
              </w:rPr>
              <w:t>SEBD</w:t>
            </w:r>
          </w:p>
        </w:tc>
      </w:tr>
      <w:tr w:rsidR="00572995" w:rsidRPr="00483EBE" w14:paraId="3A522D7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D2C175"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154A22F" w14:textId="77777777" w:rsidR="00572995" w:rsidRPr="00483EBE" w:rsidRDefault="00572995" w:rsidP="00E8324D">
            <w:pPr>
              <w:pStyle w:val="Tablas"/>
              <w:rPr>
                <w:sz w:val="12"/>
                <w:szCs w:val="12"/>
              </w:rPr>
            </w:pPr>
            <w:r w:rsidRPr="00483EBE">
              <w:rPr>
                <w:sz w:val="12"/>
                <w:szCs w:val="12"/>
              </w:rPr>
              <w:t xml:space="preserve">163 </w:t>
            </w:r>
          </w:p>
        </w:tc>
        <w:tc>
          <w:tcPr>
            <w:tcW w:w="0" w:type="auto"/>
            <w:tcBorders>
              <w:top w:val="nil"/>
              <w:left w:val="nil"/>
              <w:bottom w:val="single" w:sz="4" w:space="0" w:color="auto"/>
              <w:right w:val="single" w:sz="4" w:space="0" w:color="auto"/>
            </w:tcBorders>
            <w:shd w:val="clear" w:color="auto" w:fill="auto"/>
            <w:vAlign w:val="center"/>
            <w:hideMark/>
          </w:tcPr>
          <w:p w14:paraId="06DEC882" w14:textId="77777777" w:rsidR="00572995" w:rsidRPr="00483EBE" w:rsidRDefault="00572995" w:rsidP="00E8324D">
            <w:pPr>
              <w:pStyle w:val="Tablas"/>
              <w:rPr>
                <w:sz w:val="12"/>
                <w:szCs w:val="12"/>
              </w:rPr>
            </w:pPr>
            <w:r w:rsidRPr="00483EBE">
              <w:rPr>
                <w:sz w:val="12"/>
                <w:szCs w:val="12"/>
              </w:rPr>
              <w:t>$653,819</w:t>
            </w:r>
          </w:p>
        </w:tc>
        <w:tc>
          <w:tcPr>
            <w:tcW w:w="0" w:type="auto"/>
            <w:tcBorders>
              <w:top w:val="nil"/>
              <w:left w:val="nil"/>
              <w:bottom w:val="single" w:sz="4" w:space="0" w:color="auto"/>
              <w:right w:val="single" w:sz="4" w:space="0" w:color="auto"/>
            </w:tcBorders>
            <w:shd w:val="clear" w:color="auto" w:fill="auto"/>
            <w:vAlign w:val="center"/>
            <w:hideMark/>
          </w:tcPr>
          <w:p w14:paraId="2BBED821" w14:textId="77777777" w:rsidR="00572995" w:rsidRPr="00483EBE" w:rsidRDefault="00572995" w:rsidP="00E8324D">
            <w:pPr>
              <w:pStyle w:val="Tablas"/>
              <w:rPr>
                <w:sz w:val="12"/>
                <w:szCs w:val="12"/>
              </w:rPr>
            </w:pPr>
            <w:r w:rsidRPr="00483EBE">
              <w:rPr>
                <w:sz w:val="12"/>
                <w:szCs w:val="12"/>
              </w:rPr>
              <w:t>$4,011</w:t>
            </w:r>
          </w:p>
        </w:tc>
        <w:tc>
          <w:tcPr>
            <w:tcW w:w="0" w:type="auto"/>
            <w:tcBorders>
              <w:top w:val="nil"/>
              <w:left w:val="nil"/>
              <w:bottom w:val="single" w:sz="4" w:space="0" w:color="auto"/>
              <w:right w:val="single" w:sz="4" w:space="0" w:color="auto"/>
            </w:tcBorders>
            <w:shd w:val="clear" w:color="auto" w:fill="auto"/>
            <w:vAlign w:val="center"/>
            <w:hideMark/>
          </w:tcPr>
          <w:p w14:paraId="5376269B" w14:textId="77777777" w:rsidR="00572995" w:rsidRPr="00483EBE" w:rsidRDefault="00572995" w:rsidP="00E8324D">
            <w:pPr>
              <w:pStyle w:val="Tablas"/>
              <w:rPr>
                <w:sz w:val="12"/>
                <w:szCs w:val="12"/>
              </w:rPr>
            </w:pPr>
            <w:r w:rsidRPr="00483EBE">
              <w:rPr>
                <w:sz w:val="12"/>
                <w:szCs w:val="12"/>
              </w:rPr>
              <w:t>$334</w:t>
            </w:r>
          </w:p>
        </w:tc>
        <w:tc>
          <w:tcPr>
            <w:tcW w:w="0" w:type="auto"/>
            <w:tcBorders>
              <w:top w:val="nil"/>
              <w:left w:val="nil"/>
              <w:bottom w:val="single" w:sz="4" w:space="0" w:color="auto"/>
              <w:right w:val="single" w:sz="4" w:space="0" w:color="auto"/>
            </w:tcBorders>
            <w:shd w:val="clear" w:color="auto" w:fill="auto"/>
            <w:vAlign w:val="center"/>
            <w:hideMark/>
          </w:tcPr>
          <w:p w14:paraId="76B3E01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DAA00F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DF3FFBD"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04A6C0D1" w14:textId="77777777" w:rsidR="00572995" w:rsidRPr="00483EBE" w:rsidRDefault="00572995" w:rsidP="00E8324D">
            <w:pPr>
              <w:pStyle w:val="Tablas"/>
              <w:rPr>
                <w:sz w:val="12"/>
                <w:szCs w:val="12"/>
              </w:rPr>
            </w:pPr>
            <w:r w:rsidRPr="00483EBE">
              <w:rPr>
                <w:sz w:val="12"/>
                <w:szCs w:val="12"/>
              </w:rPr>
              <w:t xml:space="preserve">63 </w:t>
            </w:r>
          </w:p>
        </w:tc>
        <w:tc>
          <w:tcPr>
            <w:tcW w:w="0" w:type="auto"/>
            <w:tcBorders>
              <w:top w:val="nil"/>
              <w:left w:val="nil"/>
              <w:bottom w:val="single" w:sz="4" w:space="0" w:color="auto"/>
              <w:right w:val="single" w:sz="4" w:space="0" w:color="auto"/>
            </w:tcBorders>
            <w:shd w:val="clear" w:color="auto" w:fill="auto"/>
            <w:vAlign w:val="center"/>
            <w:hideMark/>
          </w:tcPr>
          <w:p w14:paraId="0C3FCC86" w14:textId="77777777" w:rsidR="00572995" w:rsidRPr="00483EBE" w:rsidRDefault="00572995" w:rsidP="00E8324D">
            <w:pPr>
              <w:pStyle w:val="Tablas"/>
              <w:rPr>
                <w:sz w:val="12"/>
                <w:szCs w:val="12"/>
              </w:rPr>
            </w:pPr>
            <w:r w:rsidRPr="00483EBE">
              <w:rPr>
                <w:sz w:val="12"/>
                <w:szCs w:val="12"/>
              </w:rPr>
              <w:t>$253,540</w:t>
            </w:r>
          </w:p>
        </w:tc>
        <w:tc>
          <w:tcPr>
            <w:tcW w:w="0" w:type="auto"/>
            <w:tcBorders>
              <w:top w:val="nil"/>
              <w:left w:val="nil"/>
              <w:bottom w:val="single" w:sz="4" w:space="0" w:color="auto"/>
              <w:right w:val="single" w:sz="4" w:space="0" w:color="auto"/>
            </w:tcBorders>
            <w:shd w:val="clear" w:color="auto" w:fill="auto"/>
            <w:vAlign w:val="center"/>
            <w:hideMark/>
          </w:tcPr>
          <w:p w14:paraId="0695E5CF" w14:textId="77777777" w:rsidR="00572995" w:rsidRPr="00483EBE" w:rsidRDefault="00572995" w:rsidP="00E8324D">
            <w:pPr>
              <w:pStyle w:val="Tablas"/>
              <w:rPr>
                <w:sz w:val="12"/>
                <w:szCs w:val="12"/>
              </w:rPr>
            </w:pPr>
            <w:r w:rsidRPr="00483EBE">
              <w:rPr>
                <w:sz w:val="12"/>
                <w:szCs w:val="12"/>
              </w:rPr>
              <w:t>$4,024</w:t>
            </w:r>
          </w:p>
        </w:tc>
        <w:tc>
          <w:tcPr>
            <w:tcW w:w="0" w:type="auto"/>
            <w:tcBorders>
              <w:top w:val="nil"/>
              <w:left w:val="nil"/>
              <w:bottom w:val="single" w:sz="4" w:space="0" w:color="auto"/>
              <w:right w:val="single" w:sz="4" w:space="0" w:color="auto"/>
            </w:tcBorders>
            <w:shd w:val="clear" w:color="auto" w:fill="auto"/>
            <w:vAlign w:val="center"/>
            <w:hideMark/>
          </w:tcPr>
          <w:p w14:paraId="3F9DE15C" w14:textId="77777777" w:rsidR="00572995" w:rsidRPr="00483EBE" w:rsidRDefault="00572995" w:rsidP="00E8324D">
            <w:pPr>
              <w:pStyle w:val="Tablas"/>
              <w:rPr>
                <w:sz w:val="12"/>
                <w:szCs w:val="12"/>
              </w:rPr>
            </w:pPr>
            <w:r w:rsidRPr="00483EBE">
              <w:rPr>
                <w:sz w:val="12"/>
                <w:szCs w:val="12"/>
              </w:rPr>
              <w:t>$335</w:t>
            </w:r>
          </w:p>
        </w:tc>
        <w:tc>
          <w:tcPr>
            <w:tcW w:w="0" w:type="auto"/>
            <w:tcBorders>
              <w:top w:val="nil"/>
              <w:left w:val="nil"/>
              <w:bottom w:val="single" w:sz="4" w:space="0" w:color="auto"/>
              <w:right w:val="single" w:sz="4" w:space="0" w:color="auto"/>
            </w:tcBorders>
            <w:shd w:val="clear" w:color="auto" w:fill="auto"/>
            <w:vAlign w:val="center"/>
            <w:hideMark/>
          </w:tcPr>
          <w:p w14:paraId="26DB51E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6E0D4D8" w14:textId="77777777" w:rsidR="00572995" w:rsidRPr="00483EBE" w:rsidRDefault="00572995" w:rsidP="00E8324D">
            <w:pPr>
              <w:pStyle w:val="Tablas"/>
              <w:rPr>
                <w:sz w:val="12"/>
                <w:szCs w:val="12"/>
              </w:rPr>
            </w:pPr>
            <w:r w:rsidRPr="00483EBE">
              <w:rPr>
                <w:sz w:val="12"/>
                <w:szCs w:val="12"/>
              </w:rPr>
              <w:t>SEBD</w:t>
            </w:r>
          </w:p>
        </w:tc>
      </w:tr>
      <w:tr w:rsidR="00572995" w:rsidRPr="00483EBE" w14:paraId="1073756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A74DF9"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1667538E" w14:textId="77777777" w:rsidR="00572995" w:rsidRPr="00483EBE" w:rsidRDefault="00572995" w:rsidP="00E8324D">
            <w:pPr>
              <w:pStyle w:val="Tablas"/>
              <w:rPr>
                <w:sz w:val="12"/>
                <w:szCs w:val="12"/>
              </w:rPr>
            </w:pPr>
            <w:r w:rsidRPr="00483EBE">
              <w:rPr>
                <w:sz w:val="12"/>
                <w:szCs w:val="12"/>
              </w:rPr>
              <w:t xml:space="preserve">193 </w:t>
            </w:r>
          </w:p>
        </w:tc>
        <w:tc>
          <w:tcPr>
            <w:tcW w:w="0" w:type="auto"/>
            <w:tcBorders>
              <w:top w:val="nil"/>
              <w:left w:val="nil"/>
              <w:bottom w:val="single" w:sz="4" w:space="0" w:color="auto"/>
              <w:right w:val="single" w:sz="4" w:space="0" w:color="auto"/>
            </w:tcBorders>
            <w:shd w:val="clear" w:color="auto" w:fill="auto"/>
            <w:vAlign w:val="center"/>
            <w:hideMark/>
          </w:tcPr>
          <w:p w14:paraId="14FD1913" w14:textId="77777777" w:rsidR="00572995" w:rsidRPr="00483EBE" w:rsidRDefault="00572995" w:rsidP="00E8324D">
            <w:pPr>
              <w:pStyle w:val="Tablas"/>
              <w:rPr>
                <w:sz w:val="12"/>
                <w:szCs w:val="12"/>
              </w:rPr>
            </w:pPr>
            <w:r w:rsidRPr="00483EBE">
              <w:rPr>
                <w:sz w:val="12"/>
                <w:szCs w:val="12"/>
              </w:rPr>
              <w:t>$755,281</w:t>
            </w:r>
          </w:p>
        </w:tc>
        <w:tc>
          <w:tcPr>
            <w:tcW w:w="0" w:type="auto"/>
            <w:tcBorders>
              <w:top w:val="nil"/>
              <w:left w:val="nil"/>
              <w:bottom w:val="single" w:sz="4" w:space="0" w:color="auto"/>
              <w:right w:val="single" w:sz="4" w:space="0" w:color="auto"/>
            </w:tcBorders>
            <w:shd w:val="clear" w:color="auto" w:fill="auto"/>
            <w:vAlign w:val="center"/>
            <w:hideMark/>
          </w:tcPr>
          <w:p w14:paraId="4CB7A101" w14:textId="77777777" w:rsidR="00572995" w:rsidRPr="00483EBE" w:rsidRDefault="00572995" w:rsidP="00E8324D">
            <w:pPr>
              <w:pStyle w:val="Tablas"/>
              <w:rPr>
                <w:sz w:val="12"/>
                <w:szCs w:val="12"/>
              </w:rPr>
            </w:pPr>
            <w:r w:rsidRPr="00483EBE">
              <w:rPr>
                <w:sz w:val="12"/>
                <w:szCs w:val="12"/>
              </w:rPr>
              <w:t>$3,913</w:t>
            </w:r>
          </w:p>
        </w:tc>
        <w:tc>
          <w:tcPr>
            <w:tcW w:w="0" w:type="auto"/>
            <w:tcBorders>
              <w:top w:val="nil"/>
              <w:left w:val="nil"/>
              <w:bottom w:val="single" w:sz="4" w:space="0" w:color="auto"/>
              <w:right w:val="single" w:sz="4" w:space="0" w:color="auto"/>
            </w:tcBorders>
            <w:shd w:val="clear" w:color="auto" w:fill="auto"/>
            <w:vAlign w:val="center"/>
            <w:hideMark/>
          </w:tcPr>
          <w:p w14:paraId="3BA8788F" w14:textId="77777777" w:rsidR="00572995" w:rsidRPr="00483EBE" w:rsidRDefault="00572995" w:rsidP="00E8324D">
            <w:pPr>
              <w:pStyle w:val="Tablas"/>
              <w:rPr>
                <w:sz w:val="12"/>
                <w:szCs w:val="12"/>
              </w:rPr>
            </w:pPr>
            <w:r w:rsidRPr="00483EBE">
              <w:rPr>
                <w:sz w:val="12"/>
                <w:szCs w:val="12"/>
              </w:rPr>
              <w:t>$326</w:t>
            </w:r>
          </w:p>
        </w:tc>
        <w:tc>
          <w:tcPr>
            <w:tcW w:w="0" w:type="auto"/>
            <w:tcBorders>
              <w:top w:val="nil"/>
              <w:left w:val="nil"/>
              <w:bottom w:val="single" w:sz="4" w:space="0" w:color="auto"/>
              <w:right w:val="single" w:sz="4" w:space="0" w:color="auto"/>
            </w:tcBorders>
            <w:shd w:val="clear" w:color="auto" w:fill="auto"/>
            <w:vAlign w:val="center"/>
            <w:hideMark/>
          </w:tcPr>
          <w:p w14:paraId="4925CD95"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A4C997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7A8E10B"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24CE4946" w14:textId="77777777" w:rsidR="00572995" w:rsidRPr="00483EBE" w:rsidRDefault="00572995" w:rsidP="00E8324D">
            <w:pPr>
              <w:pStyle w:val="Tablas"/>
              <w:rPr>
                <w:sz w:val="12"/>
                <w:szCs w:val="12"/>
              </w:rPr>
            </w:pPr>
            <w:r w:rsidRPr="00483EBE">
              <w:rPr>
                <w:sz w:val="12"/>
                <w:szCs w:val="12"/>
              </w:rPr>
              <w:t xml:space="preserve">57 </w:t>
            </w:r>
          </w:p>
        </w:tc>
        <w:tc>
          <w:tcPr>
            <w:tcW w:w="0" w:type="auto"/>
            <w:tcBorders>
              <w:top w:val="nil"/>
              <w:left w:val="nil"/>
              <w:bottom w:val="single" w:sz="4" w:space="0" w:color="auto"/>
              <w:right w:val="single" w:sz="4" w:space="0" w:color="auto"/>
            </w:tcBorders>
            <w:shd w:val="clear" w:color="auto" w:fill="auto"/>
            <w:vAlign w:val="center"/>
            <w:hideMark/>
          </w:tcPr>
          <w:p w14:paraId="18DDDA06" w14:textId="77777777" w:rsidR="00572995" w:rsidRPr="00483EBE" w:rsidRDefault="00572995" w:rsidP="00E8324D">
            <w:pPr>
              <w:pStyle w:val="Tablas"/>
              <w:rPr>
                <w:sz w:val="12"/>
                <w:szCs w:val="12"/>
              </w:rPr>
            </w:pPr>
            <w:r w:rsidRPr="00483EBE">
              <w:rPr>
                <w:sz w:val="12"/>
                <w:szCs w:val="12"/>
              </w:rPr>
              <w:t>$249,067</w:t>
            </w:r>
          </w:p>
        </w:tc>
        <w:tc>
          <w:tcPr>
            <w:tcW w:w="0" w:type="auto"/>
            <w:tcBorders>
              <w:top w:val="nil"/>
              <w:left w:val="nil"/>
              <w:bottom w:val="single" w:sz="4" w:space="0" w:color="auto"/>
              <w:right w:val="single" w:sz="4" w:space="0" w:color="auto"/>
            </w:tcBorders>
            <w:shd w:val="clear" w:color="auto" w:fill="auto"/>
            <w:vAlign w:val="center"/>
            <w:hideMark/>
          </w:tcPr>
          <w:p w14:paraId="1201D89F" w14:textId="77777777" w:rsidR="00572995" w:rsidRPr="00483EBE" w:rsidRDefault="00572995" w:rsidP="00E8324D">
            <w:pPr>
              <w:pStyle w:val="Tablas"/>
              <w:rPr>
                <w:sz w:val="12"/>
                <w:szCs w:val="12"/>
              </w:rPr>
            </w:pPr>
            <w:r w:rsidRPr="00483EBE">
              <w:rPr>
                <w:sz w:val="12"/>
                <w:szCs w:val="12"/>
              </w:rPr>
              <w:t>$4,370</w:t>
            </w:r>
          </w:p>
        </w:tc>
        <w:tc>
          <w:tcPr>
            <w:tcW w:w="0" w:type="auto"/>
            <w:tcBorders>
              <w:top w:val="nil"/>
              <w:left w:val="nil"/>
              <w:bottom w:val="single" w:sz="4" w:space="0" w:color="auto"/>
              <w:right w:val="single" w:sz="4" w:space="0" w:color="auto"/>
            </w:tcBorders>
            <w:shd w:val="clear" w:color="auto" w:fill="auto"/>
            <w:vAlign w:val="center"/>
            <w:hideMark/>
          </w:tcPr>
          <w:p w14:paraId="6BE00754"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0C860AD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D5BA91D" w14:textId="77777777" w:rsidR="00572995" w:rsidRPr="00483EBE" w:rsidRDefault="00572995" w:rsidP="00E8324D">
            <w:pPr>
              <w:pStyle w:val="Tablas"/>
              <w:rPr>
                <w:sz w:val="12"/>
                <w:szCs w:val="12"/>
              </w:rPr>
            </w:pPr>
            <w:r w:rsidRPr="00483EBE">
              <w:rPr>
                <w:sz w:val="12"/>
                <w:szCs w:val="12"/>
              </w:rPr>
              <w:t>SEBD</w:t>
            </w:r>
          </w:p>
        </w:tc>
      </w:tr>
      <w:tr w:rsidR="00572995" w:rsidRPr="00483EBE" w14:paraId="12408B4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86CEA22"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455EE6C7" w14:textId="77777777" w:rsidR="00572995" w:rsidRPr="00483EBE" w:rsidRDefault="00572995" w:rsidP="00E8324D">
            <w:pPr>
              <w:pStyle w:val="Tablas"/>
              <w:rPr>
                <w:sz w:val="12"/>
                <w:szCs w:val="12"/>
              </w:rPr>
            </w:pPr>
            <w:r w:rsidRPr="00483EBE">
              <w:rPr>
                <w:sz w:val="12"/>
                <w:szCs w:val="12"/>
              </w:rPr>
              <w:t xml:space="preserve">211 </w:t>
            </w:r>
          </w:p>
        </w:tc>
        <w:tc>
          <w:tcPr>
            <w:tcW w:w="0" w:type="auto"/>
            <w:tcBorders>
              <w:top w:val="nil"/>
              <w:left w:val="nil"/>
              <w:bottom w:val="single" w:sz="4" w:space="0" w:color="auto"/>
              <w:right w:val="single" w:sz="4" w:space="0" w:color="auto"/>
            </w:tcBorders>
            <w:shd w:val="clear" w:color="auto" w:fill="auto"/>
            <w:vAlign w:val="center"/>
            <w:hideMark/>
          </w:tcPr>
          <w:p w14:paraId="64C8449F" w14:textId="77777777" w:rsidR="00572995" w:rsidRPr="00483EBE" w:rsidRDefault="00572995" w:rsidP="00E8324D">
            <w:pPr>
              <w:pStyle w:val="Tablas"/>
              <w:rPr>
                <w:sz w:val="12"/>
                <w:szCs w:val="12"/>
              </w:rPr>
            </w:pPr>
            <w:r w:rsidRPr="00483EBE">
              <w:rPr>
                <w:sz w:val="12"/>
                <w:szCs w:val="12"/>
              </w:rPr>
              <w:t>$886,647</w:t>
            </w:r>
          </w:p>
        </w:tc>
        <w:tc>
          <w:tcPr>
            <w:tcW w:w="0" w:type="auto"/>
            <w:tcBorders>
              <w:top w:val="nil"/>
              <w:left w:val="nil"/>
              <w:bottom w:val="single" w:sz="4" w:space="0" w:color="auto"/>
              <w:right w:val="single" w:sz="4" w:space="0" w:color="auto"/>
            </w:tcBorders>
            <w:shd w:val="clear" w:color="auto" w:fill="auto"/>
            <w:vAlign w:val="center"/>
            <w:hideMark/>
          </w:tcPr>
          <w:p w14:paraId="71FD69EA" w14:textId="77777777" w:rsidR="00572995" w:rsidRPr="00483EBE" w:rsidRDefault="00572995" w:rsidP="00E8324D">
            <w:pPr>
              <w:pStyle w:val="Tablas"/>
              <w:rPr>
                <w:sz w:val="12"/>
                <w:szCs w:val="12"/>
              </w:rPr>
            </w:pPr>
            <w:r w:rsidRPr="00483EBE">
              <w:rPr>
                <w:sz w:val="12"/>
                <w:szCs w:val="12"/>
              </w:rPr>
              <w:t>$4,202</w:t>
            </w:r>
          </w:p>
        </w:tc>
        <w:tc>
          <w:tcPr>
            <w:tcW w:w="0" w:type="auto"/>
            <w:tcBorders>
              <w:top w:val="nil"/>
              <w:left w:val="nil"/>
              <w:bottom w:val="single" w:sz="4" w:space="0" w:color="auto"/>
              <w:right w:val="single" w:sz="4" w:space="0" w:color="auto"/>
            </w:tcBorders>
            <w:shd w:val="clear" w:color="auto" w:fill="auto"/>
            <w:vAlign w:val="center"/>
            <w:hideMark/>
          </w:tcPr>
          <w:p w14:paraId="21D53444" w14:textId="77777777" w:rsidR="00572995" w:rsidRPr="00483EBE" w:rsidRDefault="00572995" w:rsidP="00E8324D">
            <w:pPr>
              <w:pStyle w:val="Tablas"/>
              <w:rPr>
                <w:sz w:val="12"/>
                <w:szCs w:val="12"/>
              </w:rPr>
            </w:pPr>
            <w:r w:rsidRPr="00483EBE">
              <w:rPr>
                <w:sz w:val="12"/>
                <w:szCs w:val="12"/>
              </w:rPr>
              <w:t>$350</w:t>
            </w:r>
          </w:p>
        </w:tc>
        <w:tc>
          <w:tcPr>
            <w:tcW w:w="0" w:type="auto"/>
            <w:tcBorders>
              <w:top w:val="nil"/>
              <w:left w:val="nil"/>
              <w:bottom w:val="single" w:sz="4" w:space="0" w:color="auto"/>
              <w:right w:val="single" w:sz="4" w:space="0" w:color="auto"/>
            </w:tcBorders>
            <w:shd w:val="clear" w:color="auto" w:fill="auto"/>
            <w:vAlign w:val="center"/>
            <w:hideMark/>
          </w:tcPr>
          <w:p w14:paraId="0B42CABB"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C6819F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0B9BF46"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50EBBB64" w14:textId="77777777" w:rsidR="00572995" w:rsidRPr="00483EBE" w:rsidRDefault="00572995" w:rsidP="00E8324D">
            <w:pPr>
              <w:pStyle w:val="Tablas"/>
              <w:rPr>
                <w:sz w:val="12"/>
                <w:szCs w:val="12"/>
              </w:rPr>
            </w:pPr>
            <w:r w:rsidRPr="00483EBE">
              <w:rPr>
                <w:sz w:val="12"/>
                <w:szCs w:val="12"/>
              </w:rPr>
              <w:t xml:space="preserve">68 </w:t>
            </w:r>
          </w:p>
        </w:tc>
        <w:tc>
          <w:tcPr>
            <w:tcW w:w="0" w:type="auto"/>
            <w:tcBorders>
              <w:top w:val="nil"/>
              <w:left w:val="nil"/>
              <w:bottom w:val="single" w:sz="4" w:space="0" w:color="auto"/>
              <w:right w:val="single" w:sz="4" w:space="0" w:color="auto"/>
            </w:tcBorders>
            <w:shd w:val="clear" w:color="auto" w:fill="auto"/>
            <w:vAlign w:val="center"/>
            <w:hideMark/>
          </w:tcPr>
          <w:p w14:paraId="7E80D8CB" w14:textId="77777777" w:rsidR="00572995" w:rsidRPr="00483EBE" w:rsidRDefault="00572995" w:rsidP="00E8324D">
            <w:pPr>
              <w:pStyle w:val="Tablas"/>
              <w:rPr>
                <w:sz w:val="12"/>
                <w:szCs w:val="12"/>
              </w:rPr>
            </w:pPr>
            <w:r w:rsidRPr="00483EBE">
              <w:rPr>
                <w:sz w:val="12"/>
                <w:szCs w:val="12"/>
              </w:rPr>
              <w:t>$264,044</w:t>
            </w:r>
          </w:p>
        </w:tc>
        <w:tc>
          <w:tcPr>
            <w:tcW w:w="0" w:type="auto"/>
            <w:tcBorders>
              <w:top w:val="nil"/>
              <w:left w:val="nil"/>
              <w:bottom w:val="single" w:sz="4" w:space="0" w:color="auto"/>
              <w:right w:val="single" w:sz="4" w:space="0" w:color="auto"/>
            </w:tcBorders>
            <w:shd w:val="clear" w:color="auto" w:fill="auto"/>
            <w:vAlign w:val="center"/>
            <w:hideMark/>
          </w:tcPr>
          <w:p w14:paraId="3009F269" w14:textId="77777777" w:rsidR="00572995" w:rsidRPr="00483EBE" w:rsidRDefault="00572995" w:rsidP="00E8324D">
            <w:pPr>
              <w:pStyle w:val="Tablas"/>
              <w:rPr>
                <w:sz w:val="12"/>
                <w:szCs w:val="12"/>
              </w:rPr>
            </w:pPr>
            <w:r w:rsidRPr="00483EBE">
              <w:rPr>
                <w:sz w:val="12"/>
                <w:szCs w:val="12"/>
              </w:rPr>
              <w:t>$3,883</w:t>
            </w:r>
          </w:p>
        </w:tc>
        <w:tc>
          <w:tcPr>
            <w:tcW w:w="0" w:type="auto"/>
            <w:tcBorders>
              <w:top w:val="nil"/>
              <w:left w:val="nil"/>
              <w:bottom w:val="single" w:sz="4" w:space="0" w:color="auto"/>
              <w:right w:val="single" w:sz="4" w:space="0" w:color="auto"/>
            </w:tcBorders>
            <w:shd w:val="clear" w:color="auto" w:fill="auto"/>
            <w:vAlign w:val="center"/>
            <w:hideMark/>
          </w:tcPr>
          <w:p w14:paraId="08A579FE" w14:textId="77777777" w:rsidR="00572995" w:rsidRPr="00483EBE" w:rsidRDefault="00572995" w:rsidP="00E8324D">
            <w:pPr>
              <w:pStyle w:val="Tablas"/>
              <w:rPr>
                <w:sz w:val="12"/>
                <w:szCs w:val="12"/>
              </w:rPr>
            </w:pPr>
            <w:r w:rsidRPr="00483EBE">
              <w:rPr>
                <w:sz w:val="12"/>
                <w:szCs w:val="12"/>
              </w:rPr>
              <w:t>$324</w:t>
            </w:r>
          </w:p>
        </w:tc>
        <w:tc>
          <w:tcPr>
            <w:tcW w:w="0" w:type="auto"/>
            <w:tcBorders>
              <w:top w:val="nil"/>
              <w:left w:val="nil"/>
              <w:bottom w:val="single" w:sz="4" w:space="0" w:color="auto"/>
              <w:right w:val="single" w:sz="4" w:space="0" w:color="auto"/>
            </w:tcBorders>
            <w:shd w:val="clear" w:color="auto" w:fill="auto"/>
            <w:vAlign w:val="center"/>
            <w:hideMark/>
          </w:tcPr>
          <w:p w14:paraId="4F45C29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245FE7B" w14:textId="77777777" w:rsidR="00572995" w:rsidRPr="00483EBE" w:rsidRDefault="00572995" w:rsidP="00E8324D">
            <w:pPr>
              <w:pStyle w:val="Tablas"/>
              <w:rPr>
                <w:sz w:val="12"/>
                <w:szCs w:val="12"/>
              </w:rPr>
            </w:pPr>
            <w:r w:rsidRPr="00483EBE">
              <w:rPr>
                <w:sz w:val="12"/>
                <w:szCs w:val="12"/>
              </w:rPr>
              <w:t>SEBD</w:t>
            </w:r>
          </w:p>
        </w:tc>
      </w:tr>
      <w:tr w:rsidR="00572995" w:rsidRPr="00483EBE" w14:paraId="05B35CF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2CE1E9"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41E398C9" w14:textId="77777777" w:rsidR="00572995" w:rsidRPr="00483EBE" w:rsidRDefault="00572995" w:rsidP="00E8324D">
            <w:pPr>
              <w:pStyle w:val="Tablas"/>
              <w:rPr>
                <w:sz w:val="12"/>
                <w:szCs w:val="12"/>
              </w:rPr>
            </w:pPr>
            <w:r w:rsidRPr="00483EBE">
              <w:rPr>
                <w:sz w:val="12"/>
                <w:szCs w:val="12"/>
              </w:rPr>
              <w:t xml:space="preserve">213 </w:t>
            </w:r>
          </w:p>
        </w:tc>
        <w:tc>
          <w:tcPr>
            <w:tcW w:w="0" w:type="auto"/>
            <w:tcBorders>
              <w:top w:val="nil"/>
              <w:left w:val="nil"/>
              <w:bottom w:val="single" w:sz="4" w:space="0" w:color="auto"/>
              <w:right w:val="single" w:sz="4" w:space="0" w:color="auto"/>
            </w:tcBorders>
            <w:shd w:val="clear" w:color="auto" w:fill="auto"/>
            <w:vAlign w:val="center"/>
            <w:hideMark/>
          </w:tcPr>
          <w:p w14:paraId="53693B7F" w14:textId="77777777" w:rsidR="00572995" w:rsidRPr="00483EBE" w:rsidRDefault="00572995" w:rsidP="00E8324D">
            <w:pPr>
              <w:pStyle w:val="Tablas"/>
              <w:rPr>
                <w:sz w:val="12"/>
                <w:szCs w:val="12"/>
              </w:rPr>
            </w:pPr>
            <w:r w:rsidRPr="00483EBE">
              <w:rPr>
                <w:sz w:val="12"/>
                <w:szCs w:val="12"/>
              </w:rPr>
              <w:t>$861,912</w:t>
            </w:r>
          </w:p>
        </w:tc>
        <w:tc>
          <w:tcPr>
            <w:tcW w:w="0" w:type="auto"/>
            <w:tcBorders>
              <w:top w:val="nil"/>
              <w:left w:val="nil"/>
              <w:bottom w:val="single" w:sz="4" w:space="0" w:color="auto"/>
              <w:right w:val="single" w:sz="4" w:space="0" w:color="auto"/>
            </w:tcBorders>
            <w:shd w:val="clear" w:color="auto" w:fill="auto"/>
            <w:vAlign w:val="center"/>
            <w:hideMark/>
          </w:tcPr>
          <w:p w14:paraId="071C673C" w14:textId="77777777" w:rsidR="00572995" w:rsidRPr="00483EBE" w:rsidRDefault="00572995" w:rsidP="00E8324D">
            <w:pPr>
              <w:pStyle w:val="Tablas"/>
              <w:rPr>
                <w:sz w:val="12"/>
                <w:szCs w:val="12"/>
              </w:rPr>
            </w:pPr>
            <w:r w:rsidRPr="00483EBE">
              <w:rPr>
                <w:sz w:val="12"/>
                <w:szCs w:val="12"/>
              </w:rPr>
              <w:t>$4,047</w:t>
            </w:r>
          </w:p>
        </w:tc>
        <w:tc>
          <w:tcPr>
            <w:tcW w:w="0" w:type="auto"/>
            <w:tcBorders>
              <w:top w:val="nil"/>
              <w:left w:val="nil"/>
              <w:bottom w:val="single" w:sz="4" w:space="0" w:color="auto"/>
              <w:right w:val="single" w:sz="4" w:space="0" w:color="auto"/>
            </w:tcBorders>
            <w:shd w:val="clear" w:color="auto" w:fill="auto"/>
            <w:vAlign w:val="center"/>
            <w:hideMark/>
          </w:tcPr>
          <w:p w14:paraId="67B11215" w14:textId="77777777" w:rsidR="00572995" w:rsidRPr="00483EBE" w:rsidRDefault="00572995" w:rsidP="00E8324D">
            <w:pPr>
              <w:pStyle w:val="Tablas"/>
              <w:rPr>
                <w:sz w:val="12"/>
                <w:szCs w:val="12"/>
              </w:rPr>
            </w:pPr>
            <w:r w:rsidRPr="00483EBE">
              <w:rPr>
                <w:sz w:val="12"/>
                <w:szCs w:val="12"/>
              </w:rPr>
              <w:t>$337</w:t>
            </w:r>
          </w:p>
        </w:tc>
        <w:tc>
          <w:tcPr>
            <w:tcW w:w="0" w:type="auto"/>
            <w:tcBorders>
              <w:top w:val="nil"/>
              <w:left w:val="nil"/>
              <w:bottom w:val="single" w:sz="4" w:space="0" w:color="auto"/>
              <w:right w:val="single" w:sz="4" w:space="0" w:color="auto"/>
            </w:tcBorders>
            <w:shd w:val="clear" w:color="auto" w:fill="auto"/>
            <w:vAlign w:val="center"/>
            <w:hideMark/>
          </w:tcPr>
          <w:p w14:paraId="0F0F8CB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2952CB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E0DD65"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409A23AA" w14:textId="77777777" w:rsidR="00572995" w:rsidRPr="00483EBE" w:rsidRDefault="00572995" w:rsidP="00E8324D">
            <w:pPr>
              <w:pStyle w:val="Tablas"/>
              <w:rPr>
                <w:sz w:val="12"/>
                <w:szCs w:val="12"/>
              </w:rPr>
            </w:pPr>
            <w:r w:rsidRPr="00483EBE">
              <w:rPr>
                <w:sz w:val="12"/>
                <w:szCs w:val="12"/>
              </w:rPr>
              <w:t xml:space="preserve">94 </w:t>
            </w:r>
          </w:p>
        </w:tc>
        <w:tc>
          <w:tcPr>
            <w:tcW w:w="0" w:type="auto"/>
            <w:tcBorders>
              <w:top w:val="nil"/>
              <w:left w:val="nil"/>
              <w:bottom w:val="single" w:sz="4" w:space="0" w:color="auto"/>
              <w:right w:val="single" w:sz="4" w:space="0" w:color="auto"/>
            </w:tcBorders>
            <w:shd w:val="clear" w:color="auto" w:fill="auto"/>
            <w:vAlign w:val="center"/>
            <w:hideMark/>
          </w:tcPr>
          <w:p w14:paraId="7456FE88" w14:textId="77777777" w:rsidR="00572995" w:rsidRPr="00483EBE" w:rsidRDefault="00572995" w:rsidP="00E8324D">
            <w:pPr>
              <w:pStyle w:val="Tablas"/>
              <w:rPr>
                <w:sz w:val="12"/>
                <w:szCs w:val="12"/>
              </w:rPr>
            </w:pPr>
            <w:r w:rsidRPr="00483EBE">
              <w:rPr>
                <w:sz w:val="12"/>
                <w:szCs w:val="12"/>
              </w:rPr>
              <w:t>$363,193</w:t>
            </w:r>
          </w:p>
        </w:tc>
        <w:tc>
          <w:tcPr>
            <w:tcW w:w="0" w:type="auto"/>
            <w:tcBorders>
              <w:top w:val="nil"/>
              <w:left w:val="nil"/>
              <w:bottom w:val="single" w:sz="4" w:space="0" w:color="auto"/>
              <w:right w:val="single" w:sz="4" w:space="0" w:color="auto"/>
            </w:tcBorders>
            <w:shd w:val="clear" w:color="auto" w:fill="auto"/>
            <w:vAlign w:val="center"/>
            <w:hideMark/>
          </w:tcPr>
          <w:p w14:paraId="486F9613" w14:textId="77777777" w:rsidR="00572995" w:rsidRPr="00483EBE" w:rsidRDefault="00572995" w:rsidP="00E8324D">
            <w:pPr>
              <w:pStyle w:val="Tablas"/>
              <w:rPr>
                <w:sz w:val="12"/>
                <w:szCs w:val="12"/>
              </w:rPr>
            </w:pPr>
            <w:r w:rsidRPr="00483EBE">
              <w:rPr>
                <w:sz w:val="12"/>
                <w:szCs w:val="12"/>
              </w:rPr>
              <w:t>$3,864</w:t>
            </w:r>
          </w:p>
        </w:tc>
        <w:tc>
          <w:tcPr>
            <w:tcW w:w="0" w:type="auto"/>
            <w:tcBorders>
              <w:top w:val="nil"/>
              <w:left w:val="nil"/>
              <w:bottom w:val="single" w:sz="4" w:space="0" w:color="auto"/>
              <w:right w:val="single" w:sz="4" w:space="0" w:color="auto"/>
            </w:tcBorders>
            <w:shd w:val="clear" w:color="auto" w:fill="auto"/>
            <w:vAlign w:val="center"/>
            <w:hideMark/>
          </w:tcPr>
          <w:p w14:paraId="7BDD3BAD" w14:textId="77777777" w:rsidR="00572995" w:rsidRPr="00483EBE" w:rsidRDefault="00572995" w:rsidP="00E8324D">
            <w:pPr>
              <w:pStyle w:val="Tablas"/>
              <w:rPr>
                <w:sz w:val="12"/>
                <w:szCs w:val="12"/>
              </w:rPr>
            </w:pPr>
            <w:r w:rsidRPr="00483EBE">
              <w:rPr>
                <w:sz w:val="12"/>
                <w:szCs w:val="12"/>
              </w:rPr>
              <w:t>$322</w:t>
            </w:r>
          </w:p>
        </w:tc>
        <w:tc>
          <w:tcPr>
            <w:tcW w:w="0" w:type="auto"/>
            <w:tcBorders>
              <w:top w:val="nil"/>
              <w:left w:val="nil"/>
              <w:bottom w:val="single" w:sz="4" w:space="0" w:color="auto"/>
              <w:right w:val="single" w:sz="4" w:space="0" w:color="auto"/>
            </w:tcBorders>
            <w:shd w:val="clear" w:color="auto" w:fill="auto"/>
            <w:vAlign w:val="center"/>
            <w:hideMark/>
          </w:tcPr>
          <w:p w14:paraId="714767D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B667C17" w14:textId="77777777" w:rsidR="00572995" w:rsidRPr="00483EBE" w:rsidRDefault="00572995" w:rsidP="00E8324D">
            <w:pPr>
              <w:pStyle w:val="Tablas"/>
              <w:rPr>
                <w:sz w:val="12"/>
                <w:szCs w:val="12"/>
              </w:rPr>
            </w:pPr>
            <w:r w:rsidRPr="00483EBE">
              <w:rPr>
                <w:sz w:val="12"/>
                <w:szCs w:val="12"/>
              </w:rPr>
              <w:t>SEBD</w:t>
            </w:r>
          </w:p>
        </w:tc>
      </w:tr>
      <w:tr w:rsidR="00572995" w:rsidRPr="00483EBE" w14:paraId="2635940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033F8F"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10AA2F23" w14:textId="77777777" w:rsidR="00572995" w:rsidRPr="00483EBE" w:rsidRDefault="00572995" w:rsidP="00E8324D">
            <w:pPr>
              <w:pStyle w:val="Tablas"/>
              <w:rPr>
                <w:sz w:val="12"/>
                <w:szCs w:val="12"/>
              </w:rPr>
            </w:pPr>
            <w:r w:rsidRPr="00483EBE">
              <w:rPr>
                <w:sz w:val="12"/>
                <w:szCs w:val="12"/>
              </w:rPr>
              <w:t xml:space="preserve">241 </w:t>
            </w:r>
          </w:p>
        </w:tc>
        <w:tc>
          <w:tcPr>
            <w:tcW w:w="0" w:type="auto"/>
            <w:tcBorders>
              <w:top w:val="nil"/>
              <w:left w:val="nil"/>
              <w:bottom w:val="single" w:sz="4" w:space="0" w:color="auto"/>
              <w:right w:val="single" w:sz="4" w:space="0" w:color="auto"/>
            </w:tcBorders>
            <w:shd w:val="clear" w:color="auto" w:fill="auto"/>
            <w:vAlign w:val="center"/>
            <w:hideMark/>
          </w:tcPr>
          <w:p w14:paraId="6BDF118D" w14:textId="77777777" w:rsidR="00572995" w:rsidRPr="00483EBE" w:rsidRDefault="00572995" w:rsidP="00E8324D">
            <w:pPr>
              <w:pStyle w:val="Tablas"/>
              <w:rPr>
                <w:sz w:val="12"/>
                <w:szCs w:val="12"/>
              </w:rPr>
            </w:pPr>
            <w:r w:rsidRPr="00483EBE">
              <w:rPr>
                <w:sz w:val="12"/>
                <w:szCs w:val="12"/>
              </w:rPr>
              <w:t>$1,031,169</w:t>
            </w:r>
          </w:p>
        </w:tc>
        <w:tc>
          <w:tcPr>
            <w:tcW w:w="0" w:type="auto"/>
            <w:tcBorders>
              <w:top w:val="nil"/>
              <w:left w:val="nil"/>
              <w:bottom w:val="single" w:sz="4" w:space="0" w:color="auto"/>
              <w:right w:val="single" w:sz="4" w:space="0" w:color="auto"/>
            </w:tcBorders>
            <w:shd w:val="clear" w:color="auto" w:fill="auto"/>
            <w:vAlign w:val="center"/>
            <w:hideMark/>
          </w:tcPr>
          <w:p w14:paraId="67B14522" w14:textId="77777777" w:rsidR="00572995" w:rsidRPr="00483EBE" w:rsidRDefault="00572995" w:rsidP="00E8324D">
            <w:pPr>
              <w:pStyle w:val="Tablas"/>
              <w:rPr>
                <w:sz w:val="12"/>
                <w:szCs w:val="12"/>
              </w:rPr>
            </w:pPr>
            <w:r w:rsidRPr="00483EBE">
              <w:rPr>
                <w:sz w:val="12"/>
                <w:szCs w:val="12"/>
              </w:rPr>
              <w:t>$4,279</w:t>
            </w:r>
          </w:p>
        </w:tc>
        <w:tc>
          <w:tcPr>
            <w:tcW w:w="0" w:type="auto"/>
            <w:tcBorders>
              <w:top w:val="nil"/>
              <w:left w:val="nil"/>
              <w:bottom w:val="single" w:sz="4" w:space="0" w:color="auto"/>
              <w:right w:val="single" w:sz="4" w:space="0" w:color="auto"/>
            </w:tcBorders>
            <w:shd w:val="clear" w:color="auto" w:fill="auto"/>
            <w:vAlign w:val="center"/>
            <w:hideMark/>
          </w:tcPr>
          <w:p w14:paraId="16B60D62" w14:textId="77777777" w:rsidR="00572995" w:rsidRPr="00483EBE" w:rsidRDefault="00572995" w:rsidP="00E8324D">
            <w:pPr>
              <w:pStyle w:val="Tablas"/>
              <w:rPr>
                <w:sz w:val="12"/>
                <w:szCs w:val="12"/>
              </w:rPr>
            </w:pPr>
            <w:r w:rsidRPr="00483EBE">
              <w:rPr>
                <w:sz w:val="12"/>
                <w:szCs w:val="12"/>
              </w:rPr>
              <w:t>$357</w:t>
            </w:r>
          </w:p>
        </w:tc>
        <w:tc>
          <w:tcPr>
            <w:tcW w:w="0" w:type="auto"/>
            <w:tcBorders>
              <w:top w:val="nil"/>
              <w:left w:val="nil"/>
              <w:bottom w:val="single" w:sz="4" w:space="0" w:color="auto"/>
              <w:right w:val="single" w:sz="4" w:space="0" w:color="auto"/>
            </w:tcBorders>
            <w:shd w:val="clear" w:color="auto" w:fill="auto"/>
            <w:vAlign w:val="center"/>
            <w:hideMark/>
          </w:tcPr>
          <w:p w14:paraId="612C2EE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70F7C7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272F23"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02480AE4" w14:textId="77777777" w:rsidR="00572995" w:rsidRPr="00483EBE" w:rsidRDefault="00572995" w:rsidP="00E8324D">
            <w:pPr>
              <w:pStyle w:val="Tablas"/>
              <w:rPr>
                <w:sz w:val="12"/>
                <w:szCs w:val="12"/>
              </w:rPr>
            </w:pPr>
            <w:r w:rsidRPr="00483EBE">
              <w:rPr>
                <w:sz w:val="12"/>
                <w:szCs w:val="12"/>
              </w:rPr>
              <w:t xml:space="preserve">102 </w:t>
            </w:r>
          </w:p>
        </w:tc>
        <w:tc>
          <w:tcPr>
            <w:tcW w:w="0" w:type="auto"/>
            <w:tcBorders>
              <w:top w:val="nil"/>
              <w:left w:val="nil"/>
              <w:bottom w:val="single" w:sz="4" w:space="0" w:color="auto"/>
              <w:right w:val="single" w:sz="4" w:space="0" w:color="auto"/>
            </w:tcBorders>
            <w:shd w:val="clear" w:color="auto" w:fill="auto"/>
            <w:vAlign w:val="center"/>
            <w:hideMark/>
          </w:tcPr>
          <w:p w14:paraId="20D670A5" w14:textId="77777777" w:rsidR="00572995" w:rsidRPr="00483EBE" w:rsidRDefault="00572995" w:rsidP="00E8324D">
            <w:pPr>
              <w:pStyle w:val="Tablas"/>
              <w:rPr>
                <w:sz w:val="12"/>
                <w:szCs w:val="12"/>
              </w:rPr>
            </w:pPr>
            <w:r w:rsidRPr="00483EBE">
              <w:rPr>
                <w:sz w:val="12"/>
                <w:szCs w:val="12"/>
              </w:rPr>
              <w:t>$455,880</w:t>
            </w:r>
          </w:p>
        </w:tc>
        <w:tc>
          <w:tcPr>
            <w:tcW w:w="0" w:type="auto"/>
            <w:tcBorders>
              <w:top w:val="nil"/>
              <w:left w:val="nil"/>
              <w:bottom w:val="single" w:sz="4" w:space="0" w:color="auto"/>
              <w:right w:val="single" w:sz="4" w:space="0" w:color="auto"/>
            </w:tcBorders>
            <w:shd w:val="clear" w:color="auto" w:fill="auto"/>
            <w:vAlign w:val="center"/>
            <w:hideMark/>
          </w:tcPr>
          <w:p w14:paraId="5DAC3D0A" w14:textId="77777777" w:rsidR="00572995" w:rsidRPr="00483EBE" w:rsidRDefault="00572995" w:rsidP="00E8324D">
            <w:pPr>
              <w:pStyle w:val="Tablas"/>
              <w:rPr>
                <w:sz w:val="12"/>
                <w:szCs w:val="12"/>
              </w:rPr>
            </w:pPr>
            <w:r w:rsidRPr="00483EBE">
              <w:rPr>
                <w:sz w:val="12"/>
                <w:szCs w:val="12"/>
              </w:rPr>
              <w:t>$4,469</w:t>
            </w:r>
          </w:p>
        </w:tc>
        <w:tc>
          <w:tcPr>
            <w:tcW w:w="0" w:type="auto"/>
            <w:tcBorders>
              <w:top w:val="nil"/>
              <w:left w:val="nil"/>
              <w:bottom w:val="single" w:sz="4" w:space="0" w:color="auto"/>
              <w:right w:val="single" w:sz="4" w:space="0" w:color="auto"/>
            </w:tcBorders>
            <w:shd w:val="clear" w:color="auto" w:fill="auto"/>
            <w:vAlign w:val="center"/>
            <w:hideMark/>
          </w:tcPr>
          <w:p w14:paraId="33AE83F9" w14:textId="77777777" w:rsidR="00572995" w:rsidRPr="00483EBE" w:rsidRDefault="00572995" w:rsidP="00E8324D">
            <w:pPr>
              <w:pStyle w:val="Tablas"/>
              <w:rPr>
                <w:sz w:val="12"/>
                <w:szCs w:val="12"/>
              </w:rPr>
            </w:pPr>
            <w:r w:rsidRPr="00483EBE">
              <w:rPr>
                <w:sz w:val="12"/>
                <w:szCs w:val="12"/>
              </w:rPr>
              <w:t>$372</w:t>
            </w:r>
          </w:p>
        </w:tc>
        <w:tc>
          <w:tcPr>
            <w:tcW w:w="0" w:type="auto"/>
            <w:tcBorders>
              <w:top w:val="nil"/>
              <w:left w:val="nil"/>
              <w:bottom w:val="single" w:sz="4" w:space="0" w:color="auto"/>
              <w:right w:val="single" w:sz="4" w:space="0" w:color="auto"/>
            </w:tcBorders>
            <w:shd w:val="clear" w:color="auto" w:fill="auto"/>
            <w:vAlign w:val="center"/>
            <w:hideMark/>
          </w:tcPr>
          <w:p w14:paraId="4909AB0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2F398B2" w14:textId="77777777" w:rsidR="00572995" w:rsidRPr="00483EBE" w:rsidRDefault="00572995" w:rsidP="00E8324D">
            <w:pPr>
              <w:pStyle w:val="Tablas"/>
              <w:rPr>
                <w:sz w:val="12"/>
                <w:szCs w:val="12"/>
              </w:rPr>
            </w:pPr>
            <w:r w:rsidRPr="00483EBE">
              <w:rPr>
                <w:sz w:val="12"/>
                <w:szCs w:val="12"/>
              </w:rPr>
              <w:t>SEBD</w:t>
            </w:r>
          </w:p>
        </w:tc>
      </w:tr>
      <w:tr w:rsidR="00572995" w:rsidRPr="00483EBE" w14:paraId="651FD7C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7C55DC"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6CF6D527" w14:textId="77777777" w:rsidR="00572995" w:rsidRPr="00483EBE" w:rsidRDefault="00572995" w:rsidP="00E8324D">
            <w:pPr>
              <w:pStyle w:val="Tablas"/>
              <w:rPr>
                <w:sz w:val="12"/>
                <w:szCs w:val="12"/>
              </w:rPr>
            </w:pPr>
            <w:r w:rsidRPr="00483EBE">
              <w:rPr>
                <w:sz w:val="12"/>
                <w:szCs w:val="12"/>
              </w:rPr>
              <w:t xml:space="preserve">209 </w:t>
            </w:r>
          </w:p>
        </w:tc>
        <w:tc>
          <w:tcPr>
            <w:tcW w:w="0" w:type="auto"/>
            <w:tcBorders>
              <w:top w:val="nil"/>
              <w:left w:val="nil"/>
              <w:bottom w:val="single" w:sz="4" w:space="0" w:color="auto"/>
              <w:right w:val="single" w:sz="4" w:space="0" w:color="auto"/>
            </w:tcBorders>
            <w:shd w:val="clear" w:color="auto" w:fill="auto"/>
            <w:vAlign w:val="center"/>
            <w:hideMark/>
          </w:tcPr>
          <w:p w14:paraId="545C194D" w14:textId="77777777" w:rsidR="00572995" w:rsidRPr="00483EBE" w:rsidRDefault="00572995" w:rsidP="00E8324D">
            <w:pPr>
              <w:pStyle w:val="Tablas"/>
              <w:rPr>
                <w:sz w:val="12"/>
                <w:szCs w:val="12"/>
              </w:rPr>
            </w:pPr>
            <w:r w:rsidRPr="00483EBE">
              <w:rPr>
                <w:sz w:val="12"/>
                <w:szCs w:val="12"/>
              </w:rPr>
              <w:t>$872,636</w:t>
            </w:r>
          </w:p>
        </w:tc>
        <w:tc>
          <w:tcPr>
            <w:tcW w:w="0" w:type="auto"/>
            <w:tcBorders>
              <w:top w:val="nil"/>
              <w:left w:val="nil"/>
              <w:bottom w:val="single" w:sz="4" w:space="0" w:color="auto"/>
              <w:right w:val="single" w:sz="4" w:space="0" w:color="auto"/>
            </w:tcBorders>
            <w:shd w:val="clear" w:color="auto" w:fill="auto"/>
            <w:vAlign w:val="center"/>
            <w:hideMark/>
          </w:tcPr>
          <w:p w14:paraId="6C437A9C" w14:textId="77777777" w:rsidR="00572995" w:rsidRPr="00483EBE" w:rsidRDefault="00572995" w:rsidP="00E8324D">
            <w:pPr>
              <w:pStyle w:val="Tablas"/>
              <w:rPr>
                <w:sz w:val="12"/>
                <w:szCs w:val="12"/>
              </w:rPr>
            </w:pPr>
            <w:r w:rsidRPr="00483EBE">
              <w:rPr>
                <w:sz w:val="12"/>
                <w:szCs w:val="12"/>
              </w:rPr>
              <w:t>$4,175</w:t>
            </w:r>
          </w:p>
        </w:tc>
        <w:tc>
          <w:tcPr>
            <w:tcW w:w="0" w:type="auto"/>
            <w:tcBorders>
              <w:top w:val="nil"/>
              <w:left w:val="nil"/>
              <w:bottom w:val="single" w:sz="4" w:space="0" w:color="auto"/>
              <w:right w:val="single" w:sz="4" w:space="0" w:color="auto"/>
            </w:tcBorders>
            <w:shd w:val="clear" w:color="auto" w:fill="auto"/>
            <w:vAlign w:val="center"/>
            <w:hideMark/>
          </w:tcPr>
          <w:p w14:paraId="73C39221" w14:textId="77777777" w:rsidR="00572995" w:rsidRPr="00483EBE" w:rsidRDefault="00572995" w:rsidP="00E8324D">
            <w:pPr>
              <w:pStyle w:val="Tablas"/>
              <w:rPr>
                <w:sz w:val="12"/>
                <w:szCs w:val="12"/>
              </w:rPr>
            </w:pPr>
            <w:r w:rsidRPr="00483EBE">
              <w:rPr>
                <w:sz w:val="12"/>
                <w:szCs w:val="12"/>
              </w:rPr>
              <w:t>$348</w:t>
            </w:r>
          </w:p>
        </w:tc>
        <w:tc>
          <w:tcPr>
            <w:tcW w:w="0" w:type="auto"/>
            <w:tcBorders>
              <w:top w:val="nil"/>
              <w:left w:val="nil"/>
              <w:bottom w:val="single" w:sz="4" w:space="0" w:color="auto"/>
              <w:right w:val="single" w:sz="4" w:space="0" w:color="auto"/>
            </w:tcBorders>
            <w:shd w:val="clear" w:color="auto" w:fill="auto"/>
            <w:vAlign w:val="center"/>
            <w:hideMark/>
          </w:tcPr>
          <w:p w14:paraId="30C9E5B7"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C7E5C5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A98505"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5060DD9E" w14:textId="77777777" w:rsidR="00572995" w:rsidRPr="00483EBE" w:rsidRDefault="00572995" w:rsidP="00E8324D">
            <w:pPr>
              <w:pStyle w:val="Tablas"/>
              <w:rPr>
                <w:sz w:val="12"/>
                <w:szCs w:val="12"/>
              </w:rPr>
            </w:pPr>
            <w:r w:rsidRPr="00483EBE">
              <w:rPr>
                <w:sz w:val="12"/>
                <w:szCs w:val="12"/>
              </w:rPr>
              <w:t xml:space="preserve">109 </w:t>
            </w:r>
          </w:p>
        </w:tc>
        <w:tc>
          <w:tcPr>
            <w:tcW w:w="0" w:type="auto"/>
            <w:tcBorders>
              <w:top w:val="nil"/>
              <w:left w:val="nil"/>
              <w:bottom w:val="single" w:sz="4" w:space="0" w:color="auto"/>
              <w:right w:val="single" w:sz="4" w:space="0" w:color="auto"/>
            </w:tcBorders>
            <w:shd w:val="clear" w:color="auto" w:fill="auto"/>
            <w:vAlign w:val="center"/>
            <w:hideMark/>
          </w:tcPr>
          <w:p w14:paraId="2F22D735" w14:textId="77777777" w:rsidR="00572995" w:rsidRPr="00483EBE" w:rsidRDefault="00572995" w:rsidP="00E8324D">
            <w:pPr>
              <w:pStyle w:val="Tablas"/>
              <w:rPr>
                <w:sz w:val="12"/>
                <w:szCs w:val="12"/>
              </w:rPr>
            </w:pPr>
            <w:r w:rsidRPr="00483EBE">
              <w:rPr>
                <w:sz w:val="12"/>
                <w:szCs w:val="12"/>
              </w:rPr>
              <w:t>$456,638</w:t>
            </w:r>
          </w:p>
        </w:tc>
        <w:tc>
          <w:tcPr>
            <w:tcW w:w="0" w:type="auto"/>
            <w:tcBorders>
              <w:top w:val="nil"/>
              <w:left w:val="nil"/>
              <w:bottom w:val="single" w:sz="4" w:space="0" w:color="auto"/>
              <w:right w:val="single" w:sz="4" w:space="0" w:color="auto"/>
            </w:tcBorders>
            <w:shd w:val="clear" w:color="auto" w:fill="auto"/>
            <w:vAlign w:val="center"/>
            <w:hideMark/>
          </w:tcPr>
          <w:p w14:paraId="66A6D9CD" w14:textId="77777777" w:rsidR="00572995" w:rsidRPr="00483EBE" w:rsidRDefault="00572995" w:rsidP="00E8324D">
            <w:pPr>
              <w:pStyle w:val="Tablas"/>
              <w:rPr>
                <w:sz w:val="12"/>
                <w:szCs w:val="12"/>
              </w:rPr>
            </w:pPr>
            <w:r w:rsidRPr="00483EBE">
              <w:rPr>
                <w:sz w:val="12"/>
                <w:szCs w:val="12"/>
              </w:rPr>
              <w:t>$4,189</w:t>
            </w:r>
          </w:p>
        </w:tc>
        <w:tc>
          <w:tcPr>
            <w:tcW w:w="0" w:type="auto"/>
            <w:tcBorders>
              <w:top w:val="nil"/>
              <w:left w:val="nil"/>
              <w:bottom w:val="single" w:sz="4" w:space="0" w:color="auto"/>
              <w:right w:val="single" w:sz="4" w:space="0" w:color="auto"/>
            </w:tcBorders>
            <w:shd w:val="clear" w:color="auto" w:fill="auto"/>
            <w:vAlign w:val="center"/>
            <w:hideMark/>
          </w:tcPr>
          <w:p w14:paraId="29FE8D9A" w14:textId="77777777" w:rsidR="00572995" w:rsidRPr="00483EBE" w:rsidRDefault="00572995" w:rsidP="00E8324D">
            <w:pPr>
              <w:pStyle w:val="Tablas"/>
              <w:rPr>
                <w:sz w:val="12"/>
                <w:szCs w:val="12"/>
              </w:rPr>
            </w:pPr>
            <w:r w:rsidRPr="00483EBE">
              <w:rPr>
                <w:sz w:val="12"/>
                <w:szCs w:val="12"/>
              </w:rPr>
              <w:t>$349</w:t>
            </w:r>
          </w:p>
        </w:tc>
        <w:tc>
          <w:tcPr>
            <w:tcW w:w="0" w:type="auto"/>
            <w:tcBorders>
              <w:top w:val="nil"/>
              <w:left w:val="nil"/>
              <w:bottom w:val="single" w:sz="4" w:space="0" w:color="auto"/>
              <w:right w:val="single" w:sz="4" w:space="0" w:color="auto"/>
            </w:tcBorders>
            <w:shd w:val="clear" w:color="auto" w:fill="auto"/>
            <w:vAlign w:val="center"/>
            <w:hideMark/>
          </w:tcPr>
          <w:p w14:paraId="258B17A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41718D0" w14:textId="77777777" w:rsidR="00572995" w:rsidRPr="00483EBE" w:rsidRDefault="00572995" w:rsidP="00E8324D">
            <w:pPr>
              <w:pStyle w:val="Tablas"/>
              <w:rPr>
                <w:sz w:val="12"/>
                <w:szCs w:val="12"/>
              </w:rPr>
            </w:pPr>
            <w:r w:rsidRPr="00483EBE">
              <w:rPr>
                <w:sz w:val="12"/>
                <w:szCs w:val="12"/>
              </w:rPr>
              <w:t>SEBD</w:t>
            </w:r>
          </w:p>
        </w:tc>
      </w:tr>
      <w:tr w:rsidR="00572995" w:rsidRPr="00483EBE" w14:paraId="70D830C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A5BC92"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E3FE743" w14:textId="77777777" w:rsidR="00572995" w:rsidRPr="00483EBE" w:rsidRDefault="00572995" w:rsidP="00E8324D">
            <w:pPr>
              <w:pStyle w:val="Tablas"/>
              <w:rPr>
                <w:sz w:val="12"/>
                <w:szCs w:val="12"/>
              </w:rPr>
            </w:pPr>
            <w:r w:rsidRPr="00483EBE">
              <w:rPr>
                <w:sz w:val="12"/>
                <w:szCs w:val="12"/>
              </w:rPr>
              <w:t xml:space="preserve">221 </w:t>
            </w:r>
          </w:p>
        </w:tc>
        <w:tc>
          <w:tcPr>
            <w:tcW w:w="0" w:type="auto"/>
            <w:tcBorders>
              <w:top w:val="nil"/>
              <w:left w:val="nil"/>
              <w:bottom w:val="single" w:sz="4" w:space="0" w:color="auto"/>
              <w:right w:val="single" w:sz="4" w:space="0" w:color="auto"/>
            </w:tcBorders>
            <w:shd w:val="clear" w:color="auto" w:fill="auto"/>
            <w:vAlign w:val="center"/>
            <w:hideMark/>
          </w:tcPr>
          <w:p w14:paraId="1497ADFD" w14:textId="77777777" w:rsidR="00572995" w:rsidRPr="00483EBE" w:rsidRDefault="00572995" w:rsidP="00E8324D">
            <w:pPr>
              <w:pStyle w:val="Tablas"/>
              <w:rPr>
                <w:sz w:val="12"/>
                <w:szCs w:val="12"/>
              </w:rPr>
            </w:pPr>
            <w:r w:rsidRPr="00483EBE">
              <w:rPr>
                <w:sz w:val="12"/>
                <w:szCs w:val="12"/>
              </w:rPr>
              <w:t>$862,347</w:t>
            </w:r>
          </w:p>
        </w:tc>
        <w:tc>
          <w:tcPr>
            <w:tcW w:w="0" w:type="auto"/>
            <w:tcBorders>
              <w:top w:val="nil"/>
              <w:left w:val="nil"/>
              <w:bottom w:val="single" w:sz="4" w:space="0" w:color="auto"/>
              <w:right w:val="single" w:sz="4" w:space="0" w:color="auto"/>
            </w:tcBorders>
            <w:shd w:val="clear" w:color="auto" w:fill="auto"/>
            <w:vAlign w:val="center"/>
            <w:hideMark/>
          </w:tcPr>
          <w:p w14:paraId="19FA82AD" w14:textId="77777777" w:rsidR="00572995" w:rsidRPr="00483EBE" w:rsidRDefault="00572995" w:rsidP="00E8324D">
            <w:pPr>
              <w:pStyle w:val="Tablas"/>
              <w:rPr>
                <w:sz w:val="12"/>
                <w:szCs w:val="12"/>
              </w:rPr>
            </w:pPr>
            <w:r w:rsidRPr="00483EBE">
              <w:rPr>
                <w:sz w:val="12"/>
                <w:szCs w:val="12"/>
              </w:rPr>
              <w:t>$3,902</w:t>
            </w:r>
          </w:p>
        </w:tc>
        <w:tc>
          <w:tcPr>
            <w:tcW w:w="0" w:type="auto"/>
            <w:tcBorders>
              <w:top w:val="nil"/>
              <w:left w:val="nil"/>
              <w:bottom w:val="single" w:sz="4" w:space="0" w:color="auto"/>
              <w:right w:val="single" w:sz="4" w:space="0" w:color="auto"/>
            </w:tcBorders>
            <w:shd w:val="clear" w:color="auto" w:fill="auto"/>
            <w:vAlign w:val="center"/>
            <w:hideMark/>
          </w:tcPr>
          <w:p w14:paraId="3A73F06E" w14:textId="77777777" w:rsidR="00572995" w:rsidRPr="00483EBE" w:rsidRDefault="00572995" w:rsidP="00E8324D">
            <w:pPr>
              <w:pStyle w:val="Tablas"/>
              <w:rPr>
                <w:sz w:val="12"/>
                <w:szCs w:val="12"/>
              </w:rPr>
            </w:pPr>
            <w:r w:rsidRPr="00483EBE">
              <w:rPr>
                <w:sz w:val="12"/>
                <w:szCs w:val="12"/>
              </w:rPr>
              <w:t>$325</w:t>
            </w:r>
          </w:p>
        </w:tc>
        <w:tc>
          <w:tcPr>
            <w:tcW w:w="0" w:type="auto"/>
            <w:tcBorders>
              <w:top w:val="nil"/>
              <w:left w:val="nil"/>
              <w:bottom w:val="single" w:sz="4" w:space="0" w:color="auto"/>
              <w:right w:val="single" w:sz="4" w:space="0" w:color="auto"/>
            </w:tcBorders>
            <w:shd w:val="clear" w:color="auto" w:fill="auto"/>
            <w:vAlign w:val="center"/>
            <w:hideMark/>
          </w:tcPr>
          <w:p w14:paraId="0CDB6DA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90B44C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05AC30A"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54F91F50" w14:textId="77777777" w:rsidR="00572995" w:rsidRPr="00483EBE" w:rsidRDefault="00572995" w:rsidP="00E8324D">
            <w:pPr>
              <w:pStyle w:val="Tablas"/>
              <w:rPr>
                <w:sz w:val="12"/>
                <w:szCs w:val="12"/>
              </w:rPr>
            </w:pPr>
            <w:r w:rsidRPr="00483EBE">
              <w:rPr>
                <w:sz w:val="12"/>
                <w:szCs w:val="12"/>
              </w:rPr>
              <w:t xml:space="preserve">139 </w:t>
            </w:r>
          </w:p>
        </w:tc>
        <w:tc>
          <w:tcPr>
            <w:tcW w:w="0" w:type="auto"/>
            <w:tcBorders>
              <w:top w:val="nil"/>
              <w:left w:val="nil"/>
              <w:bottom w:val="single" w:sz="4" w:space="0" w:color="auto"/>
              <w:right w:val="single" w:sz="4" w:space="0" w:color="auto"/>
            </w:tcBorders>
            <w:shd w:val="clear" w:color="auto" w:fill="auto"/>
            <w:vAlign w:val="center"/>
            <w:hideMark/>
          </w:tcPr>
          <w:p w14:paraId="7433213E" w14:textId="77777777" w:rsidR="00572995" w:rsidRPr="00483EBE" w:rsidRDefault="00572995" w:rsidP="00E8324D">
            <w:pPr>
              <w:pStyle w:val="Tablas"/>
              <w:rPr>
                <w:sz w:val="12"/>
                <w:szCs w:val="12"/>
              </w:rPr>
            </w:pPr>
            <w:r w:rsidRPr="00483EBE">
              <w:rPr>
                <w:sz w:val="12"/>
                <w:szCs w:val="12"/>
              </w:rPr>
              <w:t>$559,598</w:t>
            </w:r>
          </w:p>
        </w:tc>
        <w:tc>
          <w:tcPr>
            <w:tcW w:w="0" w:type="auto"/>
            <w:tcBorders>
              <w:top w:val="nil"/>
              <w:left w:val="nil"/>
              <w:bottom w:val="single" w:sz="4" w:space="0" w:color="auto"/>
              <w:right w:val="single" w:sz="4" w:space="0" w:color="auto"/>
            </w:tcBorders>
            <w:shd w:val="clear" w:color="auto" w:fill="auto"/>
            <w:vAlign w:val="center"/>
            <w:hideMark/>
          </w:tcPr>
          <w:p w14:paraId="688F37EA" w14:textId="77777777" w:rsidR="00572995" w:rsidRPr="00483EBE" w:rsidRDefault="00572995" w:rsidP="00E8324D">
            <w:pPr>
              <w:pStyle w:val="Tablas"/>
              <w:rPr>
                <w:sz w:val="12"/>
                <w:szCs w:val="12"/>
              </w:rPr>
            </w:pPr>
            <w:r w:rsidRPr="00483EBE">
              <w:rPr>
                <w:sz w:val="12"/>
                <w:szCs w:val="12"/>
              </w:rPr>
              <w:t>$4,026</w:t>
            </w:r>
          </w:p>
        </w:tc>
        <w:tc>
          <w:tcPr>
            <w:tcW w:w="0" w:type="auto"/>
            <w:tcBorders>
              <w:top w:val="nil"/>
              <w:left w:val="nil"/>
              <w:bottom w:val="single" w:sz="4" w:space="0" w:color="auto"/>
              <w:right w:val="single" w:sz="4" w:space="0" w:color="auto"/>
            </w:tcBorders>
            <w:shd w:val="clear" w:color="auto" w:fill="auto"/>
            <w:vAlign w:val="center"/>
            <w:hideMark/>
          </w:tcPr>
          <w:p w14:paraId="5960F787" w14:textId="77777777" w:rsidR="00572995" w:rsidRPr="00483EBE" w:rsidRDefault="00572995" w:rsidP="00E8324D">
            <w:pPr>
              <w:pStyle w:val="Tablas"/>
              <w:rPr>
                <w:sz w:val="12"/>
                <w:szCs w:val="12"/>
              </w:rPr>
            </w:pPr>
            <w:r w:rsidRPr="00483EBE">
              <w:rPr>
                <w:sz w:val="12"/>
                <w:szCs w:val="12"/>
              </w:rPr>
              <w:t>$335</w:t>
            </w:r>
          </w:p>
        </w:tc>
        <w:tc>
          <w:tcPr>
            <w:tcW w:w="0" w:type="auto"/>
            <w:tcBorders>
              <w:top w:val="nil"/>
              <w:left w:val="nil"/>
              <w:bottom w:val="single" w:sz="4" w:space="0" w:color="auto"/>
              <w:right w:val="single" w:sz="4" w:space="0" w:color="auto"/>
            </w:tcBorders>
            <w:shd w:val="clear" w:color="auto" w:fill="auto"/>
            <w:vAlign w:val="center"/>
            <w:hideMark/>
          </w:tcPr>
          <w:p w14:paraId="7804E8F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F6AD772" w14:textId="77777777" w:rsidR="00572995" w:rsidRPr="00483EBE" w:rsidRDefault="00572995" w:rsidP="00E8324D">
            <w:pPr>
              <w:pStyle w:val="Tablas"/>
              <w:rPr>
                <w:sz w:val="12"/>
                <w:szCs w:val="12"/>
              </w:rPr>
            </w:pPr>
            <w:r w:rsidRPr="00483EBE">
              <w:rPr>
                <w:sz w:val="12"/>
                <w:szCs w:val="12"/>
              </w:rPr>
              <w:t>SEBD</w:t>
            </w:r>
          </w:p>
        </w:tc>
      </w:tr>
      <w:tr w:rsidR="00572995" w:rsidRPr="00483EBE" w14:paraId="45DAF6B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D3AEE3" w14:textId="77777777" w:rsidR="00572995" w:rsidRPr="00483EBE" w:rsidRDefault="00572995" w:rsidP="00E8324D">
            <w:pPr>
              <w:pStyle w:val="Tablas"/>
              <w:rPr>
                <w:sz w:val="12"/>
                <w:szCs w:val="12"/>
              </w:rPr>
            </w:pPr>
            <w:r w:rsidRPr="00483EBE">
              <w:rPr>
                <w:sz w:val="12"/>
                <w:szCs w:val="12"/>
              </w:rPr>
              <w:lastRenderedPageBreak/>
              <w:t>73</w:t>
            </w:r>
          </w:p>
        </w:tc>
        <w:tc>
          <w:tcPr>
            <w:tcW w:w="0" w:type="auto"/>
            <w:tcBorders>
              <w:top w:val="nil"/>
              <w:left w:val="nil"/>
              <w:bottom w:val="single" w:sz="4" w:space="0" w:color="auto"/>
              <w:right w:val="single" w:sz="4" w:space="0" w:color="auto"/>
            </w:tcBorders>
            <w:shd w:val="clear" w:color="auto" w:fill="auto"/>
            <w:vAlign w:val="center"/>
            <w:hideMark/>
          </w:tcPr>
          <w:p w14:paraId="43E912A8" w14:textId="77777777" w:rsidR="00572995" w:rsidRPr="00483EBE" w:rsidRDefault="00572995" w:rsidP="00E8324D">
            <w:pPr>
              <w:pStyle w:val="Tablas"/>
              <w:rPr>
                <w:sz w:val="12"/>
                <w:szCs w:val="12"/>
              </w:rPr>
            </w:pPr>
            <w:r w:rsidRPr="00483EBE">
              <w:rPr>
                <w:sz w:val="12"/>
                <w:szCs w:val="12"/>
              </w:rPr>
              <w:t xml:space="preserve">212 </w:t>
            </w:r>
          </w:p>
        </w:tc>
        <w:tc>
          <w:tcPr>
            <w:tcW w:w="0" w:type="auto"/>
            <w:tcBorders>
              <w:top w:val="nil"/>
              <w:left w:val="nil"/>
              <w:bottom w:val="single" w:sz="4" w:space="0" w:color="auto"/>
              <w:right w:val="single" w:sz="4" w:space="0" w:color="auto"/>
            </w:tcBorders>
            <w:shd w:val="clear" w:color="auto" w:fill="auto"/>
            <w:vAlign w:val="center"/>
            <w:hideMark/>
          </w:tcPr>
          <w:p w14:paraId="5F7D88DA" w14:textId="77777777" w:rsidR="00572995" w:rsidRPr="00483EBE" w:rsidRDefault="00572995" w:rsidP="00E8324D">
            <w:pPr>
              <w:pStyle w:val="Tablas"/>
              <w:rPr>
                <w:sz w:val="12"/>
                <w:szCs w:val="12"/>
              </w:rPr>
            </w:pPr>
            <w:r w:rsidRPr="00483EBE">
              <w:rPr>
                <w:sz w:val="12"/>
                <w:szCs w:val="12"/>
              </w:rPr>
              <w:t>$848,604</w:t>
            </w:r>
          </w:p>
        </w:tc>
        <w:tc>
          <w:tcPr>
            <w:tcW w:w="0" w:type="auto"/>
            <w:tcBorders>
              <w:top w:val="nil"/>
              <w:left w:val="nil"/>
              <w:bottom w:val="single" w:sz="4" w:space="0" w:color="auto"/>
              <w:right w:val="single" w:sz="4" w:space="0" w:color="auto"/>
            </w:tcBorders>
            <w:shd w:val="clear" w:color="auto" w:fill="auto"/>
            <w:vAlign w:val="center"/>
            <w:hideMark/>
          </w:tcPr>
          <w:p w14:paraId="6DF7FA85" w14:textId="77777777" w:rsidR="00572995" w:rsidRPr="00483EBE" w:rsidRDefault="00572995" w:rsidP="00E8324D">
            <w:pPr>
              <w:pStyle w:val="Tablas"/>
              <w:rPr>
                <w:sz w:val="12"/>
                <w:szCs w:val="12"/>
              </w:rPr>
            </w:pPr>
            <w:r w:rsidRPr="00483EBE">
              <w:rPr>
                <w:sz w:val="12"/>
                <w:szCs w:val="12"/>
              </w:rPr>
              <w:t>$4,003</w:t>
            </w:r>
          </w:p>
        </w:tc>
        <w:tc>
          <w:tcPr>
            <w:tcW w:w="0" w:type="auto"/>
            <w:tcBorders>
              <w:top w:val="nil"/>
              <w:left w:val="nil"/>
              <w:bottom w:val="single" w:sz="4" w:space="0" w:color="auto"/>
              <w:right w:val="single" w:sz="4" w:space="0" w:color="auto"/>
            </w:tcBorders>
            <w:shd w:val="clear" w:color="auto" w:fill="auto"/>
            <w:vAlign w:val="center"/>
            <w:hideMark/>
          </w:tcPr>
          <w:p w14:paraId="5D52ACA9" w14:textId="77777777" w:rsidR="00572995" w:rsidRPr="00483EBE" w:rsidRDefault="00572995" w:rsidP="00E8324D">
            <w:pPr>
              <w:pStyle w:val="Tablas"/>
              <w:rPr>
                <w:sz w:val="12"/>
                <w:szCs w:val="12"/>
              </w:rPr>
            </w:pPr>
            <w:r w:rsidRPr="00483EBE">
              <w:rPr>
                <w:sz w:val="12"/>
                <w:szCs w:val="12"/>
              </w:rPr>
              <w:t>$334</w:t>
            </w:r>
          </w:p>
        </w:tc>
        <w:tc>
          <w:tcPr>
            <w:tcW w:w="0" w:type="auto"/>
            <w:tcBorders>
              <w:top w:val="nil"/>
              <w:left w:val="nil"/>
              <w:bottom w:val="single" w:sz="4" w:space="0" w:color="auto"/>
              <w:right w:val="single" w:sz="4" w:space="0" w:color="auto"/>
            </w:tcBorders>
            <w:shd w:val="clear" w:color="auto" w:fill="auto"/>
            <w:vAlign w:val="center"/>
            <w:hideMark/>
          </w:tcPr>
          <w:p w14:paraId="47B6C26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94D090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5FB43F"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1192ADE8" w14:textId="77777777" w:rsidR="00572995" w:rsidRPr="00483EBE" w:rsidRDefault="00572995" w:rsidP="00E8324D">
            <w:pPr>
              <w:pStyle w:val="Tablas"/>
              <w:rPr>
                <w:sz w:val="12"/>
                <w:szCs w:val="12"/>
              </w:rPr>
            </w:pPr>
            <w:r w:rsidRPr="00483EBE">
              <w:rPr>
                <w:sz w:val="12"/>
                <w:szCs w:val="12"/>
              </w:rPr>
              <w:t xml:space="preserve">147 </w:t>
            </w:r>
          </w:p>
        </w:tc>
        <w:tc>
          <w:tcPr>
            <w:tcW w:w="0" w:type="auto"/>
            <w:tcBorders>
              <w:top w:val="nil"/>
              <w:left w:val="nil"/>
              <w:bottom w:val="single" w:sz="4" w:space="0" w:color="auto"/>
              <w:right w:val="single" w:sz="4" w:space="0" w:color="auto"/>
            </w:tcBorders>
            <w:shd w:val="clear" w:color="auto" w:fill="auto"/>
            <w:vAlign w:val="center"/>
            <w:hideMark/>
          </w:tcPr>
          <w:p w14:paraId="432648AA" w14:textId="77777777" w:rsidR="00572995" w:rsidRPr="00483EBE" w:rsidRDefault="00572995" w:rsidP="00E8324D">
            <w:pPr>
              <w:pStyle w:val="Tablas"/>
              <w:rPr>
                <w:sz w:val="12"/>
                <w:szCs w:val="12"/>
              </w:rPr>
            </w:pPr>
            <w:r w:rsidRPr="00483EBE">
              <w:rPr>
                <w:sz w:val="12"/>
                <w:szCs w:val="12"/>
              </w:rPr>
              <w:t>$661,633</w:t>
            </w:r>
          </w:p>
        </w:tc>
        <w:tc>
          <w:tcPr>
            <w:tcW w:w="0" w:type="auto"/>
            <w:tcBorders>
              <w:top w:val="nil"/>
              <w:left w:val="nil"/>
              <w:bottom w:val="single" w:sz="4" w:space="0" w:color="auto"/>
              <w:right w:val="single" w:sz="4" w:space="0" w:color="auto"/>
            </w:tcBorders>
            <w:shd w:val="clear" w:color="auto" w:fill="auto"/>
            <w:vAlign w:val="center"/>
            <w:hideMark/>
          </w:tcPr>
          <w:p w14:paraId="2EBE821E" w14:textId="77777777" w:rsidR="00572995" w:rsidRPr="00483EBE" w:rsidRDefault="00572995" w:rsidP="00E8324D">
            <w:pPr>
              <w:pStyle w:val="Tablas"/>
              <w:rPr>
                <w:sz w:val="12"/>
                <w:szCs w:val="12"/>
              </w:rPr>
            </w:pPr>
            <w:r w:rsidRPr="00483EBE">
              <w:rPr>
                <w:sz w:val="12"/>
                <w:szCs w:val="12"/>
              </w:rPr>
              <w:t>$4,501</w:t>
            </w:r>
          </w:p>
        </w:tc>
        <w:tc>
          <w:tcPr>
            <w:tcW w:w="0" w:type="auto"/>
            <w:tcBorders>
              <w:top w:val="nil"/>
              <w:left w:val="nil"/>
              <w:bottom w:val="single" w:sz="4" w:space="0" w:color="auto"/>
              <w:right w:val="single" w:sz="4" w:space="0" w:color="auto"/>
            </w:tcBorders>
            <w:shd w:val="clear" w:color="auto" w:fill="auto"/>
            <w:vAlign w:val="center"/>
            <w:hideMark/>
          </w:tcPr>
          <w:p w14:paraId="5D928300" w14:textId="77777777" w:rsidR="00572995" w:rsidRPr="00483EBE" w:rsidRDefault="00572995" w:rsidP="00E8324D">
            <w:pPr>
              <w:pStyle w:val="Tablas"/>
              <w:rPr>
                <w:sz w:val="12"/>
                <w:szCs w:val="12"/>
              </w:rPr>
            </w:pPr>
            <w:r w:rsidRPr="00483EBE">
              <w:rPr>
                <w:sz w:val="12"/>
                <w:szCs w:val="12"/>
              </w:rPr>
              <w:t>$375</w:t>
            </w:r>
          </w:p>
        </w:tc>
        <w:tc>
          <w:tcPr>
            <w:tcW w:w="0" w:type="auto"/>
            <w:tcBorders>
              <w:top w:val="nil"/>
              <w:left w:val="nil"/>
              <w:bottom w:val="single" w:sz="4" w:space="0" w:color="auto"/>
              <w:right w:val="single" w:sz="4" w:space="0" w:color="auto"/>
            </w:tcBorders>
            <w:shd w:val="clear" w:color="auto" w:fill="auto"/>
            <w:vAlign w:val="center"/>
            <w:hideMark/>
          </w:tcPr>
          <w:p w14:paraId="58B8897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A7F6F3B" w14:textId="77777777" w:rsidR="00572995" w:rsidRPr="00483EBE" w:rsidRDefault="00572995" w:rsidP="00E8324D">
            <w:pPr>
              <w:pStyle w:val="Tablas"/>
              <w:rPr>
                <w:sz w:val="12"/>
                <w:szCs w:val="12"/>
              </w:rPr>
            </w:pPr>
            <w:r w:rsidRPr="00483EBE">
              <w:rPr>
                <w:sz w:val="12"/>
                <w:szCs w:val="12"/>
              </w:rPr>
              <w:t>SEBD</w:t>
            </w:r>
          </w:p>
        </w:tc>
      </w:tr>
      <w:tr w:rsidR="00572995" w:rsidRPr="00483EBE" w14:paraId="031A321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C377A82"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763B79F" w14:textId="77777777" w:rsidR="00572995" w:rsidRPr="00483EBE" w:rsidRDefault="00572995" w:rsidP="00E8324D">
            <w:pPr>
              <w:pStyle w:val="Tablas"/>
              <w:rPr>
                <w:sz w:val="12"/>
                <w:szCs w:val="12"/>
              </w:rPr>
            </w:pPr>
            <w:r w:rsidRPr="00483EBE">
              <w:rPr>
                <w:sz w:val="12"/>
                <w:szCs w:val="12"/>
              </w:rPr>
              <w:t xml:space="preserve">234 </w:t>
            </w:r>
          </w:p>
        </w:tc>
        <w:tc>
          <w:tcPr>
            <w:tcW w:w="0" w:type="auto"/>
            <w:tcBorders>
              <w:top w:val="nil"/>
              <w:left w:val="nil"/>
              <w:bottom w:val="single" w:sz="4" w:space="0" w:color="auto"/>
              <w:right w:val="single" w:sz="4" w:space="0" w:color="auto"/>
            </w:tcBorders>
            <w:shd w:val="clear" w:color="auto" w:fill="auto"/>
            <w:vAlign w:val="center"/>
            <w:hideMark/>
          </w:tcPr>
          <w:p w14:paraId="47884C44" w14:textId="77777777" w:rsidR="00572995" w:rsidRPr="00483EBE" w:rsidRDefault="00572995" w:rsidP="00E8324D">
            <w:pPr>
              <w:pStyle w:val="Tablas"/>
              <w:rPr>
                <w:sz w:val="12"/>
                <w:szCs w:val="12"/>
              </w:rPr>
            </w:pPr>
            <w:r w:rsidRPr="00483EBE">
              <w:rPr>
                <w:sz w:val="12"/>
                <w:szCs w:val="12"/>
              </w:rPr>
              <w:t>$1,026,197</w:t>
            </w:r>
          </w:p>
        </w:tc>
        <w:tc>
          <w:tcPr>
            <w:tcW w:w="0" w:type="auto"/>
            <w:tcBorders>
              <w:top w:val="nil"/>
              <w:left w:val="nil"/>
              <w:bottom w:val="single" w:sz="4" w:space="0" w:color="auto"/>
              <w:right w:val="single" w:sz="4" w:space="0" w:color="auto"/>
            </w:tcBorders>
            <w:shd w:val="clear" w:color="auto" w:fill="auto"/>
            <w:vAlign w:val="center"/>
            <w:hideMark/>
          </w:tcPr>
          <w:p w14:paraId="52E2B022" w14:textId="77777777" w:rsidR="00572995" w:rsidRPr="00483EBE" w:rsidRDefault="00572995" w:rsidP="00E8324D">
            <w:pPr>
              <w:pStyle w:val="Tablas"/>
              <w:rPr>
                <w:sz w:val="12"/>
                <w:szCs w:val="12"/>
              </w:rPr>
            </w:pPr>
            <w:r w:rsidRPr="00483EBE">
              <w:rPr>
                <w:sz w:val="12"/>
                <w:szCs w:val="12"/>
              </w:rPr>
              <w:t>$4,385</w:t>
            </w:r>
          </w:p>
        </w:tc>
        <w:tc>
          <w:tcPr>
            <w:tcW w:w="0" w:type="auto"/>
            <w:tcBorders>
              <w:top w:val="nil"/>
              <w:left w:val="nil"/>
              <w:bottom w:val="single" w:sz="4" w:space="0" w:color="auto"/>
              <w:right w:val="single" w:sz="4" w:space="0" w:color="auto"/>
            </w:tcBorders>
            <w:shd w:val="clear" w:color="auto" w:fill="auto"/>
            <w:vAlign w:val="center"/>
            <w:hideMark/>
          </w:tcPr>
          <w:p w14:paraId="5D8BE39D" w14:textId="77777777" w:rsidR="00572995" w:rsidRPr="00483EBE" w:rsidRDefault="00572995" w:rsidP="00E8324D">
            <w:pPr>
              <w:pStyle w:val="Tablas"/>
              <w:rPr>
                <w:sz w:val="12"/>
                <w:szCs w:val="12"/>
              </w:rPr>
            </w:pPr>
            <w:r w:rsidRPr="00483EBE">
              <w:rPr>
                <w:sz w:val="12"/>
                <w:szCs w:val="12"/>
              </w:rPr>
              <w:t>$365</w:t>
            </w:r>
          </w:p>
        </w:tc>
        <w:tc>
          <w:tcPr>
            <w:tcW w:w="0" w:type="auto"/>
            <w:tcBorders>
              <w:top w:val="nil"/>
              <w:left w:val="nil"/>
              <w:bottom w:val="single" w:sz="4" w:space="0" w:color="auto"/>
              <w:right w:val="single" w:sz="4" w:space="0" w:color="auto"/>
            </w:tcBorders>
            <w:shd w:val="clear" w:color="auto" w:fill="auto"/>
            <w:vAlign w:val="center"/>
            <w:hideMark/>
          </w:tcPr>
          <w:p w14:paraId="5AA7E10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5702E4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BABE268"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3C19ABCA" w14:textId="77777777" w:rsidR="00572995" w:rsidRPr="00483EBE" w:rsidRDefault="00572995" w:rsidP="00E8324D">
            <w:pPr>
              <w:pStyle w:val="Tablas"/>
              <w:rPr>
                <w:sz w:val="12"/>
                <w:szCs w:val="12"/>
              </w:rPr>
            </w:pPr>
            <w:r w:rsidRPr="00483EBE">
              <w:rPr>
                <w:sz w:val="12"/>
                <w:szCs w:val="12"/>
              </w:rPr>
              <w:t xml:space="preserve">170 </w:t>
            </w:r>
          </w:p>
        </w:tc>
        <w:tc>
          <w:tcPr>
            <w:tcW w:w="0" w:type="auto"/>
            <w:tcBorders>
              <w:top w:val="nil"/>
              <w:left w:val="nil"/>
              <w:bottom w:val="single" w:sz="4" w:space="0" w:color="auto"/>
              <w:right w:val="single" w:sz="4" w:space="0" w:color="auto"/>
            </w:tcBorders>
            <w:shd w:val="clear" w:color="auto" w:fill="auto"/>
            <w:vAlign w:val="center"/>
            <w:hideMark/>
          </w:tcPr>
          <w:p w14:paraId="3FE02F89" w14:textId="77777777" w:rsidR="00572995" w:rsidRPr="00483EBE" w:rsidRDefault="00572995" w:rsidP="00E8324D">
            <w:pPr>
              <w:pStyle w:val="Tablas"/>
              <w:rPr>
                <w:sz w:val="12"/>
                <w:szCs w:val="12"/>
              </w:rPr>
            </w:pPr>
            <w:r w:rsidRPr="00483EBE">
              <w:rPr>
                <w:sz w:val="12"/>
                <w:szCs w:val="12"/>
              </w:rPr>
              <w:t>$760,885</w:t>
            </w:r>
          </w:p>
        </w:tc>
        <w:tc>
          <w:tcPr>
            <w:tcW w:w="0" w:type="auto"/>
            <w:tcBorders>
              <w:top w:val="nil"/>
              <w:left w:val="nil"/>
              <w:bottom w:val="single" w:sz="4" w:space="0" w:color="auto"/>
              <w:right w:val="single" w:sz="4" w:space="0" w:color="auto"/>
            </w:tcBorders>
            <w:shd w:val="clear" w:color="auto" w:fill="auto"/>
            <w:vAlign w:val="center"/>
            <w:hideMark/>
          </w:tcPr>
          <w:p w14:paraId="168C7BBB" w14:textId="77777777" w:rsidR="00572995" w:rsidRPr="00483EBE" w:rsidRDefault="00572995" w:rsidP="00E8324D">
            <w:pPr>
              <w:pStyle w:val="Tablas"/>
              <w:rPr>
                <w:sz w:val="12"/>
                <w:szCs w:val="12"/>
              </w:rPr>
            </w:pPr>
            <w:r w:rsidRPr="00483EBE">
              <w:rPr>
                <w:sz w:val="12"/>
                <w:szCs w:val="12"/>
              </w:rPr>
              <w:t>$4,476</w:t>
            </w:r>
          </w:p>
        </w:tc>
        <w:tc>
          <w:tcPr>
            <w:tcW w:w="0" w:type="auto"/>
            <w:tcBorders>
              <w:top w:val="nil"/>
              <w:left w:val="nil"/>
              <w:bottom w:val="single" w:sz="4" w:space="0" w:color="auto"/>
              <w:right w:val="single" w:sz="4" w:space="0" w:color="auto"/>
            </w:tcBorders>
            <w:shd w:val="clear" w:color="auto" w:fill="auto"/>
            <w:vAlign w:val="center"/>
            <w:hideMark/>
          </w:tcPr>
          <w:p w14:paraId="26736A0F" w14:textId="77777777" w:rsidR="00572995" w:rsidRPr="00483EBE" w:rsidRDefault="00572995" w:rsidP="00E8324D">
            <w:pPr>
              <w:pStyle w:val="Tablas"/>
              <w:rPr>
                <w:sz w:val="12"/>
                <w:szCs w:val="12"/>
              </w:rPr>
            </w:pPr>
            <w:r w:rsidRPr="00483EBE">
              <w:rPr>
                <w:sz w:val="12"/>
                <w:szCs w:val="12"/>
              </w:rPr>
              <w:t>$373</w:t>
            </w:r>
          </w:p>
        </w:tc>
        <w:tc>
          <w:tcPr>
            <w:tcW w:w="0" w:type="auto"/>
            <w:tcBorders>
              <w:top w:val="nil"/>
              <w:left w:val="nil"/>
              <w:bottom w:val="single" w:sz="4" w:space="0" w:color="auto"/>
              <w:right w:val="single" w:sz="4" w:space="0" w:color="auto"/>
            </w:tcBorders>
            <w:shd w:val="clear" w:color="auto" w:fill="auto"/>
            <w:vAlign w:val="center"/>
            <w:hideMark/>
          </w:tcPr>
          <w:p w14:paraId="34B892F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7EB25E9" w14:textId="77777777" w:rsidR="00572995" w:rsidRPr="00483EBE" w:rsidRDefault="00572995" w:rsidP="00E8324D">
            <w:pPr>
              <w:pStyle w:val="Tablas"/>
              <w:rPr>
                <w:sz w:val="12"/>
                <w:szCs w:val="12"/>
              </w:rPr>
            </w:pPr>
            <w:r w:rsidRPr="00483EBE">
              <w:rPr>
                <w:sz w:val="12"/>
                <w:szCs w:val="12"/>
              </w:rPr>
              <w:t>SEBD</w:t>
            </w:r>
          </w:p>
        </w:tc>
      </w:tr>
      <w:tr w:rsidR="00572995" w:rsidRPr="00483EBE" w14:paraId="5599ED9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F014D8A"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10087A29" w14:textId="77777777" w:rsidR="00572995" w:rsidRPr="00483EBE" w:rsidRDefault="00572995" w:rsidP="00E8324D">
            <w:pPr>
              <w:pStyle w:val="Tablas"/>
              <w:rPr>
                <w:sz w:val="12"/>
                <w:szCs w:val="12"/>
              </w:rPr>
            </w:pPr>
            <w:r w:rsidRPr="00483EBE">
              <w:rPr>
                <w:sz w:val="12"/>
                <w:szCs w:val="12"/>
              </w:rPr>
              <w:t xml:space="preserve">205 </w:t>
            </w:r>
          </w:p>
        </w:tc>
        <w:tc>
          <w:tcPr>
            <w:tcW w:w="0" w:type="auto"/>
            <w:tcBorders>
              <w:top w:val="nil"/>
              <w:left w:val="nil"/>
              <w:bottom w:val="single" w:sz="4" w:space="0" w:color="auto"/>
              <w:right w:val="single" w:sz="4" w:space="0" w:color="auto"/>
            </w:tcBorders>
            <w:shd w:val="clear" w:color="auto" w:fill="auto"/>
            <w:vAlign w:val="center"/>
            <w:hideMark/>
          </w:tcPr>
          <w:p w14:paraId="304324E7" w14:textId="77777777" w:rsidR="00572995" w:rsidRPr="00483EBE" w:rsidRDefault="00572995" w:rsidP="00E8324D">
            <w:pPr>
              <w:pStyle w:val="Tablas"/>
              <w:rPr>
                <w:sz w:val="12"/>
                <w:szCs w:val="12"/>
              </w:rPr>
            </w:pPr>
            <w:r w:rsidRPr="00483EBE">
              <w:rPr>
                <w:sz w:val="12"/>
                <w:szCs w:val="12"/>
              </w:rPr>
              <w:t>$895,317</w:t>
            </w:r>
          </w:p>
        </w:tc>
        <w:tc>
          <w:tcPr>
            <w:tcW w:w="0" w:type="auto"/>
            <w:tcBorders>
              <w:top w:val="nil"/>
              <w:left w:val="nil"/>
              <w:bottom w:val="single" w:sz="4" w:space="0" w:color="auto"/>
              <w:right w:val="single" w:sz="4" w:space="0" w:color="auto"/>
            </w:tcBorders>
            <w:shd w:val="clear" w:color="auto" w:fill="auto"/>
            <w:vAlign w:val="center"/>
            <w:hideMark/>
          </w:tcPr>
          <w:p w14:paraId="1AEB79A0" w14:textId="77777777" w:rsidR="00572995" w:rsidRPr="00483EBE" w:rsidRDefault="00572995" w:rsidP="00E8324D">
            <w:pPr>
              <w:pStyle w:val="Tablas"/>
              <w:rPr>
                <w:sz w:val="12"/>
                <w:szCs w:val="12"/>
              </w:rPr>
            </w:pPr>
            <w:r w:rsidRPr="00483EBE">
              <w:rPr>
                <w:sz w:val="12"/>
                <w:szCs w:val="12"/>
              </w:rPr>
              <w:t>$4,367</w:t>
            </w:r>
          </w:p>
        </w:tc>
        <w:tc>
          <w:tcPr>
            <w:tcW w:w="0" w:type="auto"/>
            <w:tcBorders>
              <w:top w:val="nil"/>
              <w:left w:val="nil"/>
              <w:bottom w:val="single" w:sz="4" w:space="0" w:color="auto"/>
              <w:right w:val="single" w:sz="4" w:space="0" w:color="auto"/>
            </w:tcBorders>
            <w:shd w:val="clear" w:color="auto" w:fill="auto"/>
            <w:vAlign w:val="center"/>
            <w:hideMark/>
          </w:tcPr>
          <w:p w14:paraId="56A5C272"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302168A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CB8B55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10DEC9"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133F9040" w14:textId="77777777" w:rsidR="00572995" w:rsidRPr="00483EBE" w:rsidRDefault="00572995" w:rsidP="00E8324D">
            <w:pPr>
              <w:pStyle w:val="Tablas"/>
              <w:rPr>
                <w:sz w:val="12"/>
                <w:szCs w:val="12"/>
              </w:rPr>
            </w:pPr>
            <w:r w:rsidRPr="00483EBE">
              <w:rPr>
                <w:sz w:val="12"/>
                <w:szCs w:val="12"/>
              </w:rPr>
              <w:t xml:space="preserve">204 </w:t>
            </w:r>
          </w:p>
        </w:tc>
        <w:tc>
          <w:tcPr>
            <w:tcW w:w="0" w:type="auto"/>
            <w:tcBorders>
              <w:top w:val="nil"/>
              <w:left w:val="nil"/>
              <w:bottom w:val="single" w:sz="4" w:space="0" w:color="auto"/>
              <w:right w:val="single" w:sz="4" w:space="0" w:color="auto"/>
            </w:tcBorders>
            <w:shd w:val="clear" w:color="auto" w:fill="auto"/>
            <w:vAlign w:val="center"/>
            <w:hideMark/>
          </w:tcPr>
          <w:p w14:paraId="088DA8D1" w14:textId="77777777" w:rsidR="00572995" w:rsidRPr="00483EBE" w:rsidRDefault="00572995" w:rsidP="00E8324D">
            <w:pPr>
              <w:pStyle w:val="Tablas"/>
              <w:rPr>
                <w:sz w:val="12"/>
                <w:szCs w:val="12"/>
              </w:rPr>
            </w:pPr>
            <w:r w:rsidRPr="00483EBE">
              <w:rPr>
                <w:sz w:val="12"/>
                <w:szCs w:val="12"/>
              </w:rPr>
              <w:t>$911,966</w:t>
            </w:r>
          </w:p>
        </w:tc>
        <w:tc>
          <w:tcPr>
            <w:tcW w:w="0" w:type="auto"/>
            <w:tcBorders>
              <w:top w:val="nil"/>
              <w:left w:val="nil"/>
              <w:bottom w:val="single" w:sz="4" w:space="0" w:color="auto"/>
              <w:right w:val="single" w:sz="4" w:space="0" w:color="auto"/>
            </w:tcBorders>
            <w:shd w:val="clear" w:color="auto" w:fill="auto"/>
            <w:vAlign w:val="center"/>
            <w:hideMark/>
          </w:tcPr>
          <w:p w14:paraId="3D920AEE" w14:textId="77777777" w:rsidR="00572995" w:rsidRPr="00483EBE" w:rsidRDefault="00572995" w:rsidP="00E8324D">
            <w:pPr>
              <w:pStyle w:val="Tablas"/>
              <w:rPr>
                <w:sz w:val="12"/>
                <w:szCs w:val="12"/>
              </w:rPr>
            </w:pPr>
            <w:r w:rsidRPr="00483EBE">
              <w:rPr>
                <w:sz w:val="12"/>
                <w:szCs w:val="12"/>
              </w:rPr>
              <w:t>$4,470</w:t>
            </w:r>
          </w:p>
        </w:tc>
        <w:tc>
          <w:tcPr>
            <w:tcW w:w="0" w:type="auto"/>
            <w:tcBorders>
              <w:top w:val="nil"/>
              <w:left w:val="nil"/>
              <w:bottom w:val="single" w:sz="4" w:space="0" w:color="auto"/>
              <w:right w:val="single" w:sz="4" w:space="0" w:color="auto"/>
            </w:tcBorders>
            <w:shd w:val="clear" w:color="auto" w:fill="auto"/>
            <w:vAlign w:val="center"/>
            <w:hideMark/>
          </w:tcPr>
          <w:p w14:paraId="26BA1E5C" w14:textId="77777777" w:rsidR="00572995" w:rsidRPr="00483EBE" w:rsidRDefault="00572995" w:rsidP="00E8324D">
            <w:pPr>
              <w:pStyle w:val="Tablas"/>
              <w:rPr>
                <w:sz w:val="12"/>
                <w:szCs w:val="12"/>
              </w:rPr>
            </w:pPr>
            <w:r w:rsidRPr="00483EBE">
              <w:rPr>
                <w:sz w:val="12"/>
                <w:szCs w:val="12"/>
              </w:rPr>
              <w:t>$373</w:t>
            </w:r>
          </w:p>
        </w:tc>
        <w:tc>
          <w:tcPr>
            <w:tcW w:w="0" w:type="auto"/>
            <w:tcBorders>
              <w:top w:val="nil"/>
              <w:left w:val="nil"/>
              <w:bottom w:val="single" w:sz="4" w:space="0" w:color="auto"/>
              <w:right w:val="single" w:sz="4" w:space="0" w:color="auto"/>
            </w:tcBorders>
            <w:shd w:val="clear" w:color="auto" w:fill="auto"/>
            <w:vAlign w:val="center"/>
            <w:hideMark/>
          </w:tcPr>
          <w:p w14:paraId="4D2B775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78E9FEC" w14:textId="77777777" w:rsidR="00572995" w:rsidRPr="00483EBE" w:rsidRDefault="00572995" w:rsidP="00E8324D">
            <w:pPr>
              <w:pStyle w:val="Tablas"/>
              <w:rPr>
                <w:sz w:val="12"/>
                <w:szCs w:val="12"/>
              </w:rPr>
            </w:pPr>
            <w:r w:rsidRPr="00483EBE">
              <w:rPr>
                <w:sz w:val="12"/>
                <w:szCs w:val="12"/>
              </w:rPr>
              <w:t>SEBD</w:t>
            </w:r>
          </w:p>
        </w:tc>
      </w:tr>
      <w:tr w:rsidR="00572995" w:rsidRPr="00483EBE" w14:paraId="10FC19E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D3D6173"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06D04236" w14:textId="77777777" w:rsidR="00572995" w:rsidRPr="00483EBE" w:rsidRDefault="00572995" w:rsidP="00E8324D">
            <w:pPr>
              <w:pStyle w:val="Tablas"/>
              <w:rPr>
                <w:sz w:val="12"/>
                <w:szCs w:val="12"/>
              </w:rPr>
            </w:pPr>
            <w:r w:rsidRPr="00483EBE">
              <w:rPr>
                <w:sz w:val="12"/>
                <w:szCs w:val="12"/>
              </w:rPr>
              <w:t xml:space="preserve">199 </w:t>
            </w:r>
          </w:p>
        </w:tc>
        <w:tc>
          <w:tcPr>
            <w:tcW w:w="0" w:type="auto"/>
            <w:tcBorders>
              <w:top w:val="nil"/>
              <w:left w:val="nil"/>
              <w:bottom w:val="single" w:sz="4" w:space="0" w:color="auto"/>
              <w:right w:val="single" w:sz="4" w:space="0" w:color="auto"/>
            </w:tcBorders>
            <w:shd w:val="clear" w:color="auto" w:fill="auto"/>
            <w:vAlign w:val="center"/>
            <w:hideMark/>
          </w:tcPr>
          <w:p w14:paraId="7E88C564" w14:textId="77777777" w:rsidR="00572995" w:rsidRPr="00483EBE" w:rsidRDefault="00572995" w:rsidP="00E8324D">
            <w:pPr>
              <w:pStyle w:val="Tablas"/>
              <w:rPr>
                <w:sz w:val="12"/>
                <w:szCs w:val="12"/>
              </w:rPr>
            </w:pPr>
            <w:r w:rsidRPr="00483EBE">
              <w:rPr>
                <w:sz w:val="12"/>
                <w:szCs w:val="12"/>
              </w:rPr>
              <w:t>$749,022</w:t>
            </w:r>
          </w:p>
        </w:tc>
        <w:tc>
          <w:tcPr>
            <w:tcW w:w="0" w:type="auto"/>
            <w:tcBorders>
              <w:top w:val="nil"/>
              <w:left w:val="nil"/>
              <w:bottom w:val="single" w:sz="4" w:space="0" w:color="auto"/>
              <w:right w:val="single" w:sz="4" w:space="0" w:color="auto"/>
            </w:tcBorders>
            <w:shd w:val="clear" w:color="auto" w:fill="auto"/>
            <w:vAlign w:val="center"/>
            <w:hideMark/>
          </w:tcPr>
          <w:p w14:paraId="60097ADF" w14:textId="77777777" w:rsidR="00572995" w:rsidRPr="00483EBE" w:rsidRDefault="00572995" w:rsidP="00E8324D">
            <w:pPr>
              <w:pStyle w:val="Tablas"/>
              <w:rPr>
                <w:sz w:val="12"/>
                <w:szCs w:val="12"/>
              </w:rPr>
            </w:pPr>
            <w:r w:rsidRPr="00483EBE">
              <w:rPr>
                <w:sz w:val="12"/>
                <w:szCs w:val="12"/>
              </w:rPr>
              <w:t>$3,764</w:t>
            </w:r>
          </w:p>
        </w:tc>
        <w:tc>
          <w:tcPr>
            <w:tcW w:w="0" w:type="auto"/>
            <w:tcBorders>
              <w:top w:val="nil"/>
              <w:left w:val="nil"/>
              <w:bottom w:val="single" w:sz="4" w:space="0" w:color="auto"/>
              <w:right w:val="single" w:sz="4" w:space="0" w:color="auto"/>
            </w:tcBorders>
            <w:shd w:val="clear" w:color="auto" w:fill="auto"/>
            <w:vAlign w:val="center"/>
            <w:hideMark/>
          </w:tcPr>
          <w:p w14:paraId="66BBAC6E" w14:textId="77777777" w:rsidR="00572995" w:rsidRPr="00483EBE" w:rsidRDefault="00572995" w:rsidP="00E8324D">
            <w:pPr>
              <w:pStyle w:val="Tablas"/>
              <w:rPr>
                <w:sz w:val="12"/>
                <w:szCs w:val="12"/>
              </w:rPr>
            </w:pPr>
            <w:r w:rsidRPr="00483EBE">
              <w:rPr>
                <w:sz w:val="12"/>
                <w:szCs w:val="12"/>
              </w:rPr>
              <w:t>$314</w:t>
            </w:r>
          </w:p>
        </w:tc>
        <w:tc>
          <w:tcPr>
            <w:tcW w:w="0" w:type="auto"/>
            <w:tcBorders>
              <w:top w:val="nil"/>
              <w:left w:val="nil"/>
              <w:bottom w:val="single" w:sz="4" w:space="0" w:color="auto"/>
              <w:right w:val="single" w:sz="4" w:space="0" w:color="auto"/>
            </w:tcBorders>
            <w:shd w:val="clear" w:color="auto" w:fill="auto"/>
            <w:vAlign w:val="center"/>
            <w:hideMark/>
          </w:tcPr>
          <w:p w14:paraId="48D2D59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B5A108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39B842"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265E76F2" w14:textId="77777777" w:rsidR="00572995" w:rsidRPr="00483EBE" w:rsidRDefault="00572995" w:rsidP="00E8324D">
            <w:pPr>
              <w:pStyle w:val="Tablas"/>
              <w:rPr>
                <w:sz w:val="12"/>
                <w:szCs w:val="12"/>
              </w:rPr>
            </w:pPr>
            <w:r w:rsidRPr="00483EBE">
              <w:rPr>
                <w:sz w:val="12"/>
                <w:szCs w:val="12"/>
              </w:rPr>
              <w:t xml:space="preserve">204 </w:t>
            </w:r>
          </w:p>
        </w:tc>
        <w:tc>
          <w:tcPr>
            <w:tcW w:w="0" w:type="auto"/>
            <w:tcBorders>
              <w:top w:val="nil"/>
              <w:left w:val="nil"/>
              <w:bottom w:val="single" w:sz="4" w:space="0" w:color="auto"/>
              <w:right w:val="single" w:sz="4" w:space="0" w:color="auto"/>
            </w:tcBorders>
            <w:shd w:val="clear" w:color="auto" w:fill="auto"/>
            <w:vAlign w:val="center"/>
            <w:hideMark/>
          </w:tcPr>
          <w:p w14:paraId="1105F9E2" w14:textId="77777777" w:rsidR="00572995" w:rsidRPr="00483EBE" w:rsidRDefault="00572995" w:rsidP="00E8324D">
            <w:pPr>
              <w:pStyle w:val="Tablas"/>
              <w:rPr>
                <w:sz w:val="12"/>
                <w:szCs w:val="12"/>
              </w:rPr>
            </w:pPr>
            <w:r w:rsidRPr="00483EBE">
              <w:rPr>
                <w:sz w:val="12"/>
                <w:szCs w:val="12"/>
              </w:rPr>
              <w:t>$925,590</w:t>
            </w:r>
          </w:p>
        </w:tc>
        <w:tc>
          <w:tcPr>
            <w:tcW w:w="0" w:type="auto"/>
            <w:tcBorders>
              <w:top w:val="nil"/>
              <w:left w:val="nil"/>
              <w:bottom w:val="single" w:sz="4" w:space="0" w:color="auto"/>
              <w:right w:val="single" w:sz="4" w:space="0" w:color="auto"/>
            </w:tcBorders>
            <w:shd w:val="clear" w:color="auto" w:fill="auto"/>
            <w:vAlign w:val="center"/>
            <w:hideMark/>
          </w:tcPr>
          <w:p w14:paraId="2D501005" w14:textId="77777777" w:rsidR="00572995" w:rsidRPr="00483EBE" w:rsidRDefault="00572995" w:rsidP="00E8324D">
            <w:pPr>
              <w:pStyle w:val="Tablas"/>
              <w:rPr>
                <w:sz w:val="12"/>
                <w:szCs w:val="12"/>
              </w:rPr>
            </w:pPr>
            <w:r w:rsidRPr="00483EBE">
              <w:rPr>
                <w:sz w:val="12"/>
                <w:szCs w:val="12"/>
              </w:rPr>
              <w:t>$4,537</w:t>
            </w:r>
          </w:p>
        </w:tc>
        <w:tc>
          <w:tcPr>
            <w:tcW w:w="0" w:type="auto"/>
            <w:tcBorders>
              <w:top w:val="nil"/>
              <w:left w:val="nil"/>
              <w:bottom w:val="single" w:sz="4" w:space="0" w:color="auto"/>
              <w:right w:val="single" w:sz="4" w:space="0" w:color="auto"/>
            </w:tcBorders>
            <w:shd w:val="clear" w:color="auto" w:fill="auto"/>
            <w:vAlign w:val="center"/>
            <w:hideMark/>
          </w:tcPr>
          <w:p w14:paraId="73835D24" w14:textId="77777777" w:rsidR="00572995" w:rsidRPr="00483EBE" w:rsidRDefault="00572995" w:rsidP="00E8324D">
            <w:pPr>
              <w:pStyle w:val="Tablas"/>
              <w:rPr>
                <w:sz w:val="12"/>
                <w:szCs w:val="12"/>
              </w:rPr>
            </w:pPr>
            <w:r w:rsidRPr="00483EBE">
              <w:rPr>
                <w:sz w:val="12"/>
                <w:szCs w:val="12"/>
              </w:rPr>
              <w:t>$378</w:t>
            </w:r>
          </w:p>
        </w:tc>
        <w:tc>
          <w:tcPr>
            <w:tcW w:w="0" w:type="auto"/>
            <w:tcBorders>
              <w:top w:val="nil"/>
              <w:left w:val="nil"/>
              <w:bottom w:val="single" w:sz="4" w:space="0" w:color="auto"/>
              <w:right w:val="single" w:sz="4" w:space="0" w:color="auto"/>
            </w:tcBorders>
            <w:shd w:val="clear" w:color="auto" w:fill="auto"/>
            <w:vAlign w:val="center"/>
            <w:hideMark/>
          </w:tcPr>
          <w:p w14:paraId="1199194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96C761D" w14:textId="77777777" w:rsidR="00572995" w:rsidRPr="00483EBE" w:rsidRDefault="00572995" w:rsidP="00E8324D">
            <w:pPr>
              <w:pStyle w:val="Tablas"/>
              <w:rPr>
                <w:sz w:val="12"/>
                <w:szCs w:val="12"/>
              </w:rPr>
            </w:pPr>
            <w:r w:rsidRPr="00483EBE">
              <w:rPr>
                <w:sz w:val="12"/>
                <w:szCs w:val="12"/>
              </w:rPr>
              <w:t>SEBD</w:t>
            </w:r>
          </w:p>
        </w:tc>
      </w:tr>
      <w:tr w:rsidR="00572995" w:rsidRPr="00483EBE" w14:paraId="13EA746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27A1420"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1062D05E" w14:textId="77777777" w:rsidR="00572995" w:rsidRPr="00483EBE" w:rsidRDefault="00572995" w:rsidP="00E8324D">
            <w:pPr>
              <w:pStyle w:val="Tablas"/>
              <w:rPr>
                <w:sz w:val="12"/>
                <w:szCs w:val="12"/>
              </w:rPr>
            </w:pPr>
            <w:r w:rsidRPr="00483EBE">
              <w:rPr>
                <w:sz w:val="12"/>
                <w:szCs w:val="12"/>
              </w:rPr>
              <w:t xml:space="preserve">178 </w:t>
            </w:r>
          </w:p>
        </w:tc>
        <w:tc>
          <w:tcPr>
            <w:tcW w:w="0" w:type="auto"/>
            <w:tcBorders>
              <w:top w:val="nil"/>
              <w:left w:val="nil"/>
              <w:bottom w:val="single" w:sz="4" w:space="0" w:color="auto"/>
              <w:right w:val="single" w:sz="4" w:space="0" w:color="auto"/>
            </w:tcBorders>
            <w:shd w:val="clear" w:color="auto" w:fill="auto"/>
            <w:vAlign w:val="center"/>
            <w:hideMark/>
          </w:tcPr>
          <w:p w14:paraId="39E0573A" w14:textId="77777777" w:rsidR="00572995" w:rsidRPr="00483EBE" w:rsidRDefault="00572995" w:rsidP="00E8324D">
            <w:pPr>
              <w:pStyle w:val="Tablas"/>
              <w:rPr>
                <w:sz w:val="12"/>
                <w:szCs w:val="12"/>
              </w:rPr>
            </w:pPr>
            <w:r w:rsidRPr="00483EBE">
              <w:rPr>
                <w:sz w:val="12"/>
                <w:szCs w:val="12"/>
              </w:rPr>
              <w:t>$769,796</w:t>
            </w:r>
          </w:p>
        </w:tc>
        <w:tc>
          <w:tcPr>
            <w:tcW w:w="0" w:type="auto"/>
            <w:tcBorders>
              <w:top w:val="nil"/>
              <w:left w:val="nil"/>
              <w:bottom w:val="single" w:sz="4" w:space="0" w:color="auto"/>
              <w:right w:val="single" w:sz="4" w:space="0" w:color="auto"/>
            </w:tcBorders>
            <w:shd w:val="clear" w:color="auto" w:fill="auto"/>
            <w:vAlign w:val="center"/>
            <w:hideMark/>
          </w:tcPr>
          <w:p w14:paraId="6E7F24EF" w14:textId="77777777" w:rsidR="00572995" w:rsidRPr="00483EBE" w:rsidRDefault="00572995" w:rsidP="00E8324D">
            <w:pPr>
              <w:pStyle w:val="Tablas"/>
              <w:rPr>
                <w:sz w:val="12"/>
                <w:szCs w:val="12"/>
              </w:rPr>
            </w:pPr>
            <w:r w:rsidRPr="00483EBE">
              <w:rPr>
                <w:sz w:val="12"/>
                <w:szCs w:val="12"/>
              </w:rPr>
              <w:t>$4,325</w:t>
            </w:r>
          </w:p>
        </w:tc>
        <w:tc>
          <w:tcPr>
            <w:tcW w:w="0" w:type="auto"/>
            <w:tcBorders>
              <w:top w:val="nil"/>
              <w:left w:val="nil"/>
              <w:bottom w:val="single" w:sz="4" w:space="0" w:color="auto"/>
              <w:right w:val="single" w:sz="4" w:space="0" w:color="auto"/>
            </w:tcBorders>
            <w:shd w:val="clear" w:color="auto" w:fill="auto"/>
            <w:vAlign w:val="center"/>
            <w:hideMark/>
          </w:tcPr>
          <w:p w14:paraId="1EB8CF00" w14:textId="77777777" w:rsidR="00572995" w:rsidRPr="00483EBE" w:rsidRDefault="00572995" w:rsidP="00E8324D">
            <w:pPr>
              <w:pStyle w:val="Tablas"/>
              <w:rPr>
                <w:sz w:val="12"/>
                <w:szCs w:val="12"/>
              </w:rPr>
            </w:pPr>
            <w:r w:rsidRPr="00483EBE">
              <w:rPr>
                <w:sz w:val="12"/>
                <w:szCs w:val="12"/>
              </w:rPr>
              <w:t>$360</w:t>
            </w:r>
          </w:p>
        </w:tc>
        <w:tc>
          <w:tcPr>
            <w:tcW w:w="0" w:type="auto"/>
            <w:tcBorders>
              <w:top w:val="nil"/>
              <w:left w:val="nil"/>
              <w:bottom w:val="single" w:sz="4" w:space="0" w:color="auto"/>
              <w:right w:val="single" w:sz="4" w:space="0" w:color="auto"/>
            </w:tcBorders>
            <w:shd w:val="clear" w:color="auto" w:fill="auto"/>
            <w:vAlign w:val="center"/>
            <w:hideMark/>
          </w:tcPr>
          <w:p w14:paraId="32E9F550"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474CE6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01E7B04"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4C621421" w14:textId="77777777" w:rsidR="00572995" w:rsidRPr="00483EBE" w:rsidRDefault="00572995" w:rsidP="00E8324D">
            <w:pPr>
              <w:pStyle w:val="Tablas"/>
              <w:rPr>
                <w:sz w:val="12"/>
                <w:szCs w:val="12"/>
              </w:rPr>
            </w:pPr>
            <w:r w:rsidRPr="00483EBE">
              <w:rPr>
                <w:sz w:val="12"/>
                <w:szCs w:val="12"/>
              </w:rPr>
              <w:t xml:space="preserve">236 </w:t>
            </w:r>
          </w:p>
        </w:tc>
        <w:tc>
          <w:tcPr>
            <w:tcW w:w="0" w:type="auto"/>
            <w:tcBorders>
              <w:top w:val="nil"/>
              <w:left w:val="nil"/>
              <w:bottom w:val="single" w:sz="4" w:space="0" w:color="auto"/>
              <w:right w:val="single" w:sz="4" w:space="0" w:color="auto"/>
            </w:tcBorders>
            <w:shd w:val="clear" w:color="auto" w:fill="auto"/>
            <w:vAlign w:val="center"/>
            <w:hideMark/>
          </w:tcPr>
          <w:p w14:paraId="69AB215C" w14:textId="77777777" w:rsidR="00572995" w:rsidRPr="00483EBE" w:rsidRDefault="00572995" w:rsidP="00E8324D">
            <w:pPr>
              <w:pStyle w:val="Tablas"/>
              <w:rPr>
                <w:sz w:val="12"/>
                <w:szCs w:val="12"/>
              </w:rPr>
            </w:pPr>
            <w:r w:rsidRPr="00483EBE">
              <w:rPr>
                <w:sz w:val="12"/>
                <w:szCs w:val="12"/>
              </w:rPr>
              <w:t>$1,028,293</w:t>
            </w:r>
          </w:p>
        </w:tc>
        <w:tc>
          <w:tcPr>
            <w:tcW w:w="0" w:type="auto"/>
            <w:tcBorders>
              <w:top w:val="nil"/>
              <w:left w:val="nil"/>
              <w:bottom w:val="single" w:sz="4" w:space="0" w:color="auto"/>
              <w:right w:val="single" w:sz="4" w:space="0" w:color="auto"/>
            </w:tcBorders>
            <w:shd w:val="clear" w:color="auto" w:fill="auto"/>
            <w:vAlign w:val="center"/>
            <w:hideMark/>
          </w:tcPr>
          <w:p w14:paraId="652BAB6C" w14:textId="77777777" w:rsidR="00572995" w:rsidRPr="00483EBE" w:rsidRDefault="00572995" w:rsidP="00E8324D">
            <w:pPr>
              <w:pStyle w:val="Tablas"/>
              <w:rPr>
                <w:sz w:val="12"/>
                <w:szCs w:val="12"/>
              </w:rPr>
            </w:pPr>
            <w:r w:rsidRPr="00483EBE">
              <w:rPr>
                <w:sz w:val="12"/>
                <w:szCs w:val="12"/>
              </w:rPr>
              <w:t>$4,357</w:t>
            </w:r>
          </w:p>
        </w:tc>
        <w:tc>
          <w:tcPr>
            <w:tcW w:w="0" w:type="auto"/>
            <w:tcBorders>
              <w:top w:val="nil"/>
              <w:left w:val="nil"/>
              <w:bottom w:val="single" w:sz="4" w:space="0" w:color="auto"/>
              <w:right w:val="single" w:sz="4" w:space="0" w:color="auto"/>
            </w:tcBorders>
            <w:shd w:val="clear" w:color="auto" w:fill="auto"/>
            <w:vAlign w:val="center"/>
            <w:hideMark/>
          </w:tcPr>
          <w:p w14:paraId="575C48BE" w14:textId="77777777" w:rsidR="00572995" w:rsidRPr="00483EBE" w:rsidRDefault="00572995" w:rsidP="00E8324D">
            <w:pPr>
              <w:pStyle w:val="Tablas"/>
              <w:rPr>
                <w:sz w:val="12"/>
                <w:szCs w:val="12"/>
              </w:rPr>
            </w:pPr>
            <w:r w:rsidRPr="00483EBE">
              <w:rPr>
                <w:sz w:val="12"/>
                <w:szCs w:val="12"/>
              </w:rPr>
              <w:t>$363</w:t>
            </w:r>
          </w:p>
        </w:tc>
        <w:tc>
          <w:tcPr>
            <w:tcW w:w="0" w:type="auto"/>
            <w:tcBorders>
              <w:top w:val="nil"/>
              <w:left w:val="nil"/>
              <w:bottom w:val="single" w:sz="4" w:space="0" w:color="auto"/>
              <w:right w:val="single" w:sz="4" w:space="0" w:color="auto"/>
            </w:tcBorders>
            <w:shd w:val="clear" w:color="auto" w:fill="auto"/>
            <w:vAlign w:val="center"/>
            <w:hideMark/>
          </w:tcPr>
          <w:p w14:paraId="0A5F7A3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BDF6320" w14:textId="77777777" w:rsidR="00572995" w:rsidRPr="00483EBE" w:rsidRDefault="00572995" w:rsidP="00E8324D">
            <w:pPr>
              <w:pStyle w:val="Tablas"/>
              <w:rPr>
                <w:sz w:val="12"/>
                <w:szCs w:val="12"/>
              </w:rPr>
            </w:pPr>
            <w:r w:rsidRPr="00483EBE">
              <w:rPr>
                <w:sz w:val="12"/>
                <w:szCs w:val="12"/>
              </w:rPr>
              <w:t>SEBD</w:t>
            </w:r>
          </w:p>
        </w:tc>
      </w:tr>
      <w:tr w:rsidR="00572995" w:rsidRPr="00483EBE" w14:paraId="5F37A35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7F7818"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492EF5CD" w14:textId="77777777" w:rsidR="00572995" w:rsidRPr="00483EBE" w:rsidRDefault="00572995" w:rsidP="00E8324D">
            <w:pPr>
              <w:pStyle w:val="Tablas"/>
              <w:rPr>
                <w:sz w:val="12"/>
                <w:szCs w:val="12"/>
              </w:rPr>
            </w:pPr>
            <w:r w:rsidRPr="00483EBE">
              <w:rPr>
                <w:sz w:val="12"/>
                <w:szCs w:val="12"/>
              </w:rPr>
              <w:t xml:space="preserve">186 </w:t>
            </w:r>
          </w:p>
        </w:tc>
        <w:tc>
          <w:tcPr>
            <w:tcW w:w="0" w:type="auto"/>
            <w:tcBorders>
              <w:top w:val="nil"/>
              <w:left w:val="nil"/>
              <w:bottom w:val="single" w:sz="4" w:space="0" w:color="auto"/>
              <w:right w:val="single" w:sz="4" w:space="0" w:color="auto"/>
            </w:tcBorders>
            <w:shd w:val="clear" w:color="auto" w:fill="auto"/>
            <w:vAlign w:val="center"/>
            <w:hideMark/>
          </w:tcPr>
          <w:p w14:paraId="2998A572" w14:textId="77777777" w:rsidR="00572995" w:rsidRPr="00483EBE" w:rsidRDefault="00572995" w:rsidP="00E8324D">
            <w:pPr>
              <w:pStyle w:val="Tablas"/>
              <w:rPr>
                <w:sz w:val="12"/>
                <w:szCs w:val="12"/>
              </w:rPr>
            </w:pPr>
            <w:r w:rsidRPr="00483EBE">
              <w:rPr>
                <w:sz w:val="12"/>
                <w:szCs w:val="12"/>
              </w:rPr>
              <w:t>$753,338</w:t>
            </w:r>
          </w:p>
        </w:tc>
        <w:tc>
          <w:tcPr>
            <w:tcW w:w="0" w:type="auto"/>
            <w:tcBorders>
              <w:top w:val="nil"/>
              <w:left w:val="nil"/>
              <w:bottom w:val="single" w:sz="4" w:space="0" w:color="auto"/>
              <w:right w:val="single" w:sz="4" w:space="0" w:color="auto"/>
            </w:tcBorders>
            <w:shd w:val="clear" w:color="auto" w:fill="auto"/>
            <w:vAlign w:val="center"/>
            <w:hideMark/>
          </w:tcPr>
          <w:p w14:paraId="600FD670" w14:textId="77777777" w:rsidR="00572995" w:rsidRPr="00483EBE" w:rsidRDefault="00572995" w:rsidP="00E8324D">
            <w:pPr>
              <w:pStyle w:val="Tablas"/>
              <w:rPr>
                <w:sz w:val="12"/>
                <w:szCs w:val="12"/>
              </w:rPr>
            </w:pPr>
            <w:r w:rsidRPr="00483EBE">
              <w:rPr>
                <w:sz w:val="12"/>
                <w:szCs w:val="12"/>
              </w:rPr>
              <w:t>$4,050</w:t>
            </w:r>
          </w:p>
        </w:tc>
        <w:tc>
          <w:tcPr>
            <w:tcW w:w="0" w:type="auto"/>
            <w:tcBorders>
              <w:top w:val="nil"/>
              <w:left w:val="nil"/>
              <w:bottom w:val="single" w:sz="4" w:space="0" w:color="auto"/>
              <w:right w:val="single" w:sz="4" w:space="0" w:color="auto"/>
            </w:tcBorders>
            <w:shd w:val="clear" w:color="auto" w:fill="auto"/>
            <w:vAlign w:val="center"/>
            <w:hideMark/>
          </w:tcPr>
          <w:p w14:paraId="5AA2603A" w14:textId="77777777" w:rsidR="00572995" w:rsidRPr="00483EBE" w:rsidRDefault="00572995" w:rsidP="00E8324D">
            <w:pPr>
              <w:pStyle w:val="Tablas"/>
              <w:rPr>
                <w:sz w:val="12"/>
                <w:szCs w:val="12"/>
              </w:rPr>
            </w:pPr>
            <w:r w:rsidRPr="00483EBE">
              <w:rPr>
                <w:sz w:val="12"/>
                <w:szCs w:val="12"/>
              </w:rPr>
              <w:t>$338</w:t>
            </w:r>
          </w:p>
        </w:tc>
        <w:tc>
          <w:tcPr>
            <w:tcW w:w="0" w:type="auto"/>
            <w:tcBorders>
              <w:top w:val="nil"/>
              <w:left w:val="nil"/>
              <w:bottom w:val="single" w:sz="4" w:space="0" w:color="auto"/>
              <w:right w:val="single" w:sz="4" w:space="0" w:color="auto"/>
            </w:tcBorders>
            <w:shd w:val="clear" w:color="auto" w:fill="auto"/>
            <w:vAlign w:val="center"/>
            <w:hideMark/>
          </w:tcPr>
          <w:p w14:paraId="22526D3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F355A4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D6556D"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55981070" w14:textId="77777777" w:rsidR="00572995" w:rsidRPr="00483EBE" w:rsidRDefault="00572995" w:rsidP="00E8324D">
            <w:pPr>
              <w:pStyle w:val="Tablas"/>
              <w:rPr>
                <w:sz w:val="12"/>
                <w:szCs w:val="12"/>
              </w:rPr>
            </w:pPr>
            <w:r w:rsidRPr="00483EBE">
              <w:rPr>
                <w:sz w:val="12"/>
                <w:szCs w:val="12"/>
              </w:rPr>
              <w:t xml:space="preserve">286 </w:t>
            </w:r>
          </w:p>
        </w:tc>
        <w:tc>
          <w:tcPr>
            <w:tcW w:w="0" w:type="auto"/>
            <w:tcBorders>
              <w:top w:val="nil"/>
              <w:left w:val="nil"/>
              <w:bottom w:val="single" w:sz="4" w:space="0" w:color="auto"/>
              <w:right w:val="single" w:sz="4" w:space="0" w:color="auto"/>
            </w:tcBorders>
            <w:shd w:val="clear" w:color="auto" w:fill="auto"/>
            <w:vAlign w:val="center"/>
            <w:hideMark/>
          </w:tcPr>
          <w:p w14:paraId="45BB6A5C" w14:textId="77777777" w:rsidR="00572995" w:rsidRPr="00483EBE" w:rsidRDefault="00572995" w:rsidP="00E8324D">
            <w:pPr>
              <w:pStyle w:val="Tablas"/>
              <w:rPr>
                <w:sz w:val="12"/>
                <w:szCs w:val="12"/>
              </w:rPr>
            </w:pPr>
            <w:r w:rsidRPr="00483EBE">
              <w:rPr>
                <w:sz w:val="12"/>
                <w:szCs w:val="12"/>
              </w:rPr>
              <w:t>$1,304,123</w:t>
            </w:r>
          </w:p>
        </w:tc>
        <w:tc>
          <w:tcPr>
            <w:tcW w:w="0" w:type="auto"/>
            <w:tcBorders>
              <w:top w:val="nil"/>
              <w:left w:val="nil"/>
              <w:bottom w:val="single" w:sz="4" w:space="0" w:color="auto"/>
              <w:right w:val="single" w:sz="4" w:space="0" w:color="auto"/>
            </w:tcBorders>
            <w:shd w:val="clear" w:color="auto" w:fill="auto"/>
            <w:vAlign w:val="center"/>
            <w:hideMark/>
          </w:tcPr>
          <w:p w14:paraId="41EC24D0" w14:textId="77777777" w:rsidR="00572995" w:rsidRPr="00483EBE" w:rsidRDefault="00572995" w:rsidP="00E8324D">
            <w:pPr>
              <w:pStyle w:val="Tablas"/>
              <w:rPr>
                <w:sz w:val="12"/>
                <w:szCs w:val="12"/>
              </w:rPr>
            </w:pPr>
            <w:r w:rsidRPr="00483EBE">
              <w:rPr>
                <w:sz w:val="12"/>
                <w:szCs w:val="12"/>
              </w:rPr>
              <w:t>$4,560</w:t>
            </w:r>
          </w:p>
        </w:tc>
        <w:tc>
          <w:tcPr>
            <w:tcW w:w="0" w:type="auto"/>
            <w:tcBorders>
              <w:top w:val="nil"/>
              <w:left w:val="nil"/>
              <w:bottom w:val="single" w:sz="4" w:space="0" w:color="auto"/>
              <w:right w:val="single" w:sz="4" w:space="0" w:color="auto"/>
            </w:tcBorders>
            <w:shd w:val="clear" w:color="auto" w:fill="auto"/>
            <w:vAlign w:val="center"/>
            <w:hideMark/>
          </w:tcPr>
          <w:p w14:paraId="1B4D0DCA" w14:textId="77777777" w:rsidR="00572995" w:rsidRPr="00483EBE" w:rsidRDefault="00572995" w:rsidP="00E8324D">
            <w:pPr>
              <w:pStyle w:val="Tablas"/>
              <w:rPr>
                <w:sz w:val="12"/>
                <w:szCs w:val="12"/>
              </w:rPr>
            </w:pPr>
            <w:r w:rsidRPr="00483EBE">
              <w:rPr>
                <w:sz w:val="12"/>
                <w:szCs w:val="12"/>
              </w:rPr>
              <w:t>$380</w:t>
            </w:r>
          </w:p>
        </w:tc>
        <w:tc>
          <w:tcPr>
            <w:tcW w:w="0" w:type="auto"/>
            <w:tcBorders>
              <w:top w:val="nil"/>
              <w:left w:val="nil"/>
              <w:bottom w:val="single" w:sz="4" w:space="0" w:color="auto"/>
              <w:right w:val="single" w:sz="4" w:space="0" w:color="auto"/>
            </w:tcBorders>
            <w:shd w:val="clear" w:color="auto" w:fill="auto"/>
            <w:vAlign w:val="center"/>
            <w:hideMark/>
          </w:tcPr>
          <w:p w14:paraId="7616CA22"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3556CB1" w14:textId="77777777" w:rsidR="00572995" w:rsidRPr="00483EBE" w:rsidRDefault="00572995" w:rsidP="00E8324D">
            <w:pPr>
              <w:pStyle w:val="Tablas"/>
              <w:rPr>
                <w:sz w:val="12"/>
                <w:szCs w:val="12"/>
              </w:rPr>
            </w:pPr>
            <w:r w:rsidRPr="00483EBE">
              <w:rPr>
                <w:sz w:val="12"/>
                <w:szCs w:val="12"/>
              </w:rPr>
              <w:t>SEBD</w:t>
            </w:r>
          </w:p>
        </w:tc>
      </w:tr>
      <w:tr w:rsidR="00572995" w:rsidRPr="00483EBE" w14:paraId="343F6ED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81D655"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34086EA5" w14:textId="77777777" w:rsidR="00572995" w:rsidRPr="00483EBE" w:rsidRDefault="00572995" w:rsidP="00E8324D">
            <w:pPr>
              <w:pStyle w:val="Tablas"/>
              <w:rPr>
                <w:sz w:val="12"/>
                <w:szCs w:val="12"/>
              </w:rPr>
            </w:pPr>
            <w:r w:rsidRPr="00483EBE">
              <w:rPr>
                <w:sz w:val="12"/>
                <w:szCs w:val="12"/>
              </w:rPr>
              <w:t xml:space="preserve">182 </w:t>
            </w:r>
          </w:p>
        </w:tc>
        <w:tc>
          <w:tcPr>
            <w:tcW w:w="0" w:type="auto"/>
            <w:tcBorders>
              <w:top w:val="nil"/>
              <w:left w:val="nil"/>
              <w:bottom w:val="single" w:sz="4" w:space="0" w:color="auto"/>
              <w:right w:val="single" w:sz="4" w:space="0" w:color="auto"/>
            </w:tcBorders>
            <w:shd w:val="clear" w:color="auto" w:fill="auto"/>
            <w:vAlign w:val="center"/>
            <w:hideMark/>
          </w:tcPr>
          <w:p w14:paraId="42897BD8" w14:textId="77777777" w:rsidR="00572995" w:rsidRPr="00483EBE" w:rsidRDefault="00572995" w:rsidP="00E8324D">
            <w:pPr>
              <w:pStyle w:val="Tablas"/>
              <w:rPr>
                <w:sz w:val="12"/>
                <w:szCs w:val="12"/>
              </w:rPr>
            </w:pPr>
            <w:r w:rsidRPr="00483EBE">
              <w:rPr>
                <w:sz w:val="12"/>
                <w:szCs w:val="12"/>
              </w:rPr>
              <w:t>$705,639</w:t>
            </w:r>
          </w:p>
        </w:tc>
        <w:tc>
          <w:tcPr>
            <w:tcW w:w="0" w:type="auto"/>
            <w:tcBorders>
              <w:top w:val="nil"/>
              <w:left w:val="nil"/>
              <w:bottom w:val="single" w:sz="4" w:space="0" w:color="auto"/>
              <w:right w:val="single" w:sz="4" w:space="0" w:color="auto"/>
            </w:tcBorders>
            <w:shd w:val="clear" w:color="auto" w:fill="auto"/>
            <w:vAlign w:val="center"/>
            <w:hideMark/>
          </w:tcPr>
          <w:p w14:paraId="2F60E762" w14:textId="77777777" w:rsidR="00572995" w:rsidRPr="00483EBE" w:rsidRDefault="00572995" w:rsidP="00E8324D">
            <w:pPr>
              <w:pStyle w:val="Tablas"/>
              <w:rPr>
                <w:sz w:val="12"/>
                <w:szCs w:val="12"/>
              </w:rPr>
            </w:pPr>
            <w:r w:rsidRPr="00483EBE">
              <w:rPr>
                <w:sz w:val="12"/>
                <w:szCs w:val="12"/>
              </w:rPr>
              <w:t>$3,877</w:t>
            </w:r>
          </w:p>
        </w:tc>
        <w:tc>
          <w:tcPr>
            <w:tcW w:w="0" w:type="auto"/>
            <w:tcBorders>
              <w:top w:val="nil"/>
              <w:left w:val="nil"/>
              <w:bottom w:val="single" w:sz="4" w:space="0" w:color="auto"/>
              <w:right w:val="single" w:sz="4" w:space="0" w:color="auto"/>
            </w:tcBorders>
            <w:shd w:val="clear" w:color="auto" w:fill="auto"/>
            <w:vAlign w:val="center"/>
            <w:hideMark/>
          </w:tcPr>
          <w:p w14:paraId="3399733E" w14:textId="77777777" w:rsidR="00572995" w:rsidRPr="00483EBE" w:rsidRDefault="00572995" w:rsidP="00E8324D">
            <w:pPr>
              <w:pStyle w:val="Tablas"/>
              <w:rPr>
                <w:sz w:val="12"/>
                <w:szCs w:val="12"/>
              </w:rPr>
            </w:pPr>
            <w:r w:rsidRPr="00483EBE">
              <w:rPr>
                <w:sz w:val="12"/>
                <w:szCs w:val="12"/>
              </w:rPr>
              <w:t>$323</w:t>
            </w:r>
          </w:p>
        </w:tc>
        <w:tc>
          <w:tcPr>
            <w:tcW w:w="0" w:type="auto"/>
            <w:tcBorders>
              <w:top w:val="nil"/>
              <w:left w:val="nil"/>
              <w:bottom w:val="single" w:sz="4" w:space="0" w:color="auto"/>
              <w:right w:val="single" w:sz="4" w:space="0" w:color="auto"/>
            </w:tcBorders>
            <w:shd w:val="clear" w:color="auto" w:fill="auto"/>
            <w:vAlign w:val="center"/>
            <w:hideMark/>
          </w:tcPr>
          <w:p w14:paraId="20E6E6CB"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530C85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82C690"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7308600C" w14:textId="77777777" w:rsidR="00572995" w:rsidRPr="00483EBE" w:rsidRDefault="00572995" w:rsidP="00E8324D">
            <w:pPr>
              <w:pStyle w:val="Tablas"/>
              <w:rPr>
                <w:sz w:val="12"/>
                <w:szCs w:val="12"/>
              </w:rPr>
            </w:pPr>
            <w:r w:rsidRPr="00483EBE">
              <w:rPr>
                <w:sz w:val="12"/>
                <w:szCs w:val="12"/>
              </w:rPr>
              <w:t xml:space="preserve">315 </w:t>
            </w:r>
          </w:p>
        </w:tc>
        <w:tc>
          <w:tcPr>
            <w:tcW w:w="0" w:type="auto"/>
            <w:tcBorders>
              <w:top w:val="nil"/>
              <w:left w:val="nil"/>
              <w:bottom w:val="single" w:sz="4" w:space="0" w:color="auto"/>
              <w:right w:val="single" w:sz="4" w:space="0" w:color="auto"/>
            </w:tcBorders>
            <w:shd w:val="clear" w:color="auto" w:fill="auto"/>
            <w:vAlign w:val="center"/>
            <w:hideMark/>
          </w:tcPr>
          <w:p w14:paraId="23598F1E" w14:textId="77777777" w:rsidR="00572995" w:rsidRPr="00483EBE" w:rsidRDefault="00572995" w:rsidP="00E8324D">
            <w:pPr>
              <w:pStyle w:val="Tablas"/>
              <w:rPr>
                <w:sz w:val="12"/>
                <w:szCs w:val="12"/>
              </w:rPr>
            </w:pPr>
            <w:r w:rsidRPr="00483EBE">
              <w:rPr>
                <w:sz w:val="12"/>
                <w:szCs w:val="12"/>
              </w:rPr>
              <w:t>$1,560,280</w:t>
            </w:r>
          </w:p>
        </w:tc>
        <w:tc>
          <w:tcPr>
            <w:tcW w:w="0" w:type="auto"/>
            <w:tcBorders>
              <w:top w:val="nil"/>
              <w:left w:val="nil"/>
              <w:bottom w:val="single" w:sz="4" w:space="0" w:color="auto"/>
              <w:right w:val="single" w:sz="4" w:space="0" w:color="auto"/>
            </w:tcBorders>
            <w:shd w:val="clear" w:color="auto" w:fill="auto"/>
            <w:vAlign w:val="center"/>
            <w:hideMark/>
          </w:tcPr>
          <w:p w14:paraId="3DD434F6" w14:textId="77777777" w:rsidR="00572995" w:rsidRPr="00483EBE" w:rsidRDefault="00572995" w:rsidP="00E8324D">
            <w:pPr>
              <w:pStyle w:val="Tablas"/>
              <w:rPr>
                <w:sz w:val="12"/>
                <w:szCs w:val="12"/>
              </w:rPr>
            </w:pPr>
            <w:r w:rsidRPr="00483EBE">
              <w:rPr>
                <w:sz w:val="12"/>
                <w:szCs w:val="12"/>
              </w:rPr>
              <w:t>$4,953</w:t>
            </w:r>
          </w:p>
        </w:tc>
        <w:tc>
          <w:tcPr>
            <w:tcW w:w="0" w:type="auto"/>
            <w:tcBorders>
              <w:top w:val="nil"/>
              <w:left w:val="nil"/>
              <w:bottom w:val="single" w:sz="4" w:space="0" w:color="auto"/>
              <w:right w:val="single" w:sz="4" w:space="0" w:color="auto"/>
            </w:tcBorders>
            <w:shd w:val="clear" w:color="auto" w:fill="auto"/>
            <w:vAlign w:val="center"/>
            <w:hideMark/>
          </w:tcPr>
          <w:p w14:paraId="11008AA6" w14:textId="77777777" w:rsidR="00572995" w:rsidRPr="00483EBE" w:rsidRDefault="00572995" w:rsidP="00E8324D">
            <w:pPr>
              <w:pStyle w:val="Tablas"/>
              <w:rPr>
                <w:sz w:val="12"/>
                <w:szCs w:val="12"/>
              </w:rPr>
            </w:pPr>
            <w:r w:rsidRPr="00483EBE">
              <w:rPr>
                <w:sz w:val="12"/>
                <w:szCs w:val="12"/>
              </w:rPr>
              <w:t>$413</w:t>
            </w:r>
          </w:p>
        </w:tc>
        <w:tc>
          <w:tcPr>
            <w:tcW w:w="0" w:type="auto"/>
            <w:tcBorders>
              <w:top w:val="nil"/>
              <w:left w:val="nil"/>
              <w:bottom w:val="single" w:sz="4" w:space="0" w:color="auto"/>
              <w:right w:val="single" w:sz="4" w:space="0" w:color="auto"/>
            </w:tcBorders>
            <w:shd w:val="clear" w:color="auto" w:fill="auto"/>
            <w:vAlign w:val="center"/>
            <w:hideMark/>
          </w:tcPr>
          <w:p w14:paraId="5CD3CE8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4A620A7" w14:textId="77777777" w:rsidR="00572995" w:rsidRPr="00483EBE" w:rsidRDefault="00572995" w:rsidP="00E8324D">
            <w:pPr>
              <w:pStyle w:val="Tablas"/>
              <w:rPr>
                <w:sz w:val="12"/>
                <w:szCs w:val="12"/>
              </w:rPr>
            </w:pPr>
            <w:r w:rsidRPr="00483EBE">
              <w:rPr>
                <w:sz w:val="12"/>
                <w:szCs w:val="12"/>
              </w:rPr>
              <w:t>SEBD</w:t>
            </w:r>
          </w:p>
        </w:tc>
      </w:tr>
      <w:tr w:rsidR="00572995" w:rsidRPr="00483EBE" w14:paraId="4B616AD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08B6B6C"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FA4CEBE" w14:textId="77777777" w:rsidR="00572995" w:rsidRPr="00483EBE" w:rsidRDefault="00572995" w:rsidP="00E8324D">
            <w:pPr>
              <w:pStyle w:val="Tablas"/>
              <w:rPr>
                <w:sz w:val="12"/>
                <w:szCs w:val="12"/>
              </w:rPr>
            </w:pPr>
            <w:r w:rsidRPr="00483EBE">
              <w:rPr>
                <w:sz w:val="12"/>
                <w:szCs w:val="12"/>
              </w:rPr>
              <w:t xml:space="preserve">112 </w:t>
            </w:r>
          </w:p>
        </w:tc>
        <w:tc>
          <w:tcPr>
            <w:tcW w:w="0" w:type="auto"/>
            <w:tcBorders>
              <w:top w:val="nil"/>
              <w:left w:val="nil"/>
              <w:bottom w:val="single" w:sz="4" w:space="0" w:color="auto"/>
              <w:right w:val="single" w:sz="4" w:space="0" w:color="auto"/>
            </w:tcBorders>
            <w:shd w:val="clear" w:color="auto" w:fill="auto"/>
            <w:vAlign w:val="center"/>
            <w:hideMark/>
          </w:tcPr>
          <w:p w14:paraId="709C5E49" w14:textId="77777777" w:rsidR="00572995" w:rsidRPr="00483EBE" w:rsidRDefault="00572995" w:rsidP="00E8324D">
            <w:pPr>
              <w:pStyle w:val="Tablas"/>
              <w:rPr>
                <w:sz w:val="12"/>
                <w:szCs w:val="12"/>
              </w:rPr>
            </w:pPr>
            <w:r w:rsidRPr="00483EBE">
              <w:rPr>
                <w:sz w:val="12"/>
                <w:szCs w:val="12"/>
              </w:rPr>
              <w:t>$431,769</w:t>
            </w:r>
          </w:p>
        </w:tc>
        <w:tc>
          <w:tcPr>
            <w:tcW w:w="0" w:type="auto"/>
            <w:tcBorders>
              <w:top w:val="nil"/>
              <w:left w:val="nil"/>
              <w:bottom w:val="single" w:sz="4" w:space="0" w:color="auto"/>
              <w:right w:val="single" w:sz="4" w:space="0" w:color="auto"/>
            </w:tcBorders>
            <w:shd w:val="clear" w:color="auto" w:fill="auto"/>
            <w:vAlign w:val="center"/>
            <w:hideMark/>
          </w:tcPr>
          <w:p w14:paraId="39DA074A" w14:textId="77777777" w:rsidR="00572995" w:rsidRPr="00483EBE" w:rsidRDefault="00572995" w:rsidP="00E8324D">
            <w:pPr>
              <w:pStyle w:val="Tablas"/>
              <w:rPr>
                <w:sz w:val="12"/>
                <w:szCs w:val="12"/>
              </w:rPr>
            </w:pPr>
            <w:r w:rsidRPr="00483EBE">
              <w:rPr>
                <w:sz w:val="12"/>
                <w:szCs w:val="12"/>
              </w:rPr>
              <w:t>$3,855</w:t>
            </w:r>
          </w:p>
        </w:tc>
        <w:tc>
          <w:tcPr>
            <w:tcW w:w="0" w:type="auto"/>
            <w:tcBorders>
              <w:top w:val="nil"/>
              <w:left w:val="nil"/>
              <w:bottom w:val="single" w:sz="4" w:space="0" w:color="auto"/>
              <w:right w:val="single" w:sz="4" w:space="0" w:color="auto"/>
            </w:tcBorders>
            <w:shd w:val="clear" w:color="auto" w:fill="auto"/>
            <w:vAlign w:val="center"/>
            <w:hideMark/>
          </w:tcPr>
          <w:p w14:paraId="7C566397" w14:textId="77777777" w:rsidR="00572995" w:rsidRPr="00483EBE" w:rsidRDefault="00572995" w:rsidP="00E8324D">
            <w:pPr>
              <w:pStyle w:val="Tablas"/>
              <w:rPr>
                <w:sz w:val="12"/>
                <w:szCs w:val="12"/>
              </w:rPr>
            </w:pPr>
            <w:r w:rsidRPr="00483EBE">
              <w:rPr>
                <w:sz w:val="12"/>
                <w:szCs w:val="12"/>
              </w:rPr>
              <w:t>$321</w:t>
            </w:r>
          </w:p>
        </w:tc>
        <w:tc>
          <w:tcPr>
            <w:tcW w:w="0" w:type="auto"/>
            <w:tcBorders>
              <w:top w:val="nil"/>
              <w:left w:val="nil"/>
              <w:bottom w:val="single" w:sz="4" w:space="0" w:color="auto"/>
              <w:right w:val="single" w:sz="4" w:space="0" w:color="auto"/>
            </w:tcBorders>
            <w:shd w:val="clear" w:color="auto" w:fill="auto"/>
            <w:vAlign w:val="center"/>
            <w:hideMark/>
          </w:tcPr>
          <w:p w14:paraId="1937A386"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689155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4044CEC"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4407DAEB" w14:textId="77777777" w:rsidR="00572995" w:rsidRPr="00483EBE" w:rsidRDefault="00572995" w:rsidP="00E8324D">
            <w:pPr>
              <w:pStyle w:val="Tablas"/>
              <w:rPr>
                <w:sz w:val="12"/>
                <w:szCs w:val="12"/>
              </w:rPr>
            </w:pPr>
            <w:r w:rsidRPr="00483EBE">
              <w:rPr>
                <w:sz w:val="12"/>
                <w:szCs w:val="12"/>
              </w:rPr>
              <w:t xml:space="preserve">342 </w:t>
            </w:r>
          </w:p>
        </w:tc>
        <w:tc>
          <w:tcPr>
            <w:tcW w:w="0" w:type="auto"/>
            <w:tcBorders>
              <w:top w:val="nil"/>
              <w:left w:val="nil"/>
              <w:bottom w:val="single" w:sz="4" w:space="0" w:color="auto"/>
              <w:right w:val="single" w:sz="4" w:space="0" w:color="auto"/>
            </w:tcBorders>
            <w:shd w:val="clear" w:color="auto" w:fill="auto"/>
            <w:vAlign w:val="center"/>
            <w:hideMark/>
          </w:tcPr>
          <w:p w14:paraId="7C663366" w14:textId="77777777" w:rsidR="00572995" w:rsidRPr="00483EBE" w:rsidRDefault="00572995" w:rsidP="00E8324D">
            <w:pPr>
              <w:pStyle w:val="Tablas"/>
              <w:rPr>
                <w:sz w:val="12"/>
                <w:szCs w:val="12"/>
              </w:rPr>
            </w:pPr>
            <w:r w:rsidRPr="00483EBE">
              <w:rPr>
                <w:sz w:val="12"/>
                <w:szCs w:val="12"/>
              </w:rPr>
              <w:t>$1,546,323</w:t>
            </w:r>
          </w:p>
        </w:tc>
        <w:tc>
          <w:tcPr>
            <w:tcW w:w="0" w:type="auto"/>
            <w:tcBorders>
              <w:top w:val="nil"/>
              <w:left w:val="nil"/>
              <w:bottom w:val="single" w:sz="4" w:space="0" w:color="auto"/>
              <w:right w:val="single" w:sz="4" w:space="0" w:color="auto"/>
            </w:tcBorders>
            <w:shd w:val="clear" w:color="auto" w:fill="auto"/>
            <w:vAlign w:val="center"/>
            <w:hideMark/>
          </w:tcPr>
          <w:p w14:paraId="77CEBB93" w14:textId="77777777" w:rsidR="00572995" w:rsidRPr="00483EBE" w:rsidRDefault="00572995" w:rsidP="00E8324D">
            <w:pPr>
              <w:pStyle w:val="Tablas"/>
              <w:rPr>
                <w:sz w:val="12"/>
                <w:szCs w:val="12"/>
              </w:rPr>
            </w:pPr>
            <w:r w:rsidRPr="00483EBE">
              <w:rPr>
                <w:sz w:val="12"/>
                <w:szCs w:val="12"/>
              </w:rPr>
              <w:t>$4,521</w:t>
            </w:r>
          </w:p>
        </w:tc>
        <w:tc>
          <w:tcPr>
            <w:tcW w:w="0" w:type="auto"/>
            <w:tcBorders>
              <w:top w:val="nil"/>
              <w:left w:val="nil"/>
              <w:bottom w:val="single" w:sz="4" w:space="0" w:color="auto"/>
              <w:right w:val="single" w:sz="4" w:space="0" w:color="auto"/>
            </w:tcBorders>
            <w:shd w:val="clear" w:color="auto" w:fill="auto"/>
            <w:vAlign w:val="center"/>
            <w:hideMark/>
          </w:tcPr>
          <w:p w14:paraId="50FEE96B" w14:textId="77777777" w:rsidR="00572995" w:rsidRPr="00483EBE" w:rsidRDefault="00572995" w:rsidP="00E8324D">
            <w:pPr>
              <w:pStyle w:val="Tablas"/>
              <w:rPr>
                <w:sz w:val="12"/>
                <w:szCs w:val="12"/>
              </w:rPr>
            </w:pPr>
            <w:r w:rsidRPr="00483EBE">
              <w:rPr>
                <w:sz w:val="12"/>
                <w:szCs w:val="12"/>
              </w:rPr>
              <w:t>$377</w:t>
            </w:r>
          </w:p>
        </w:tc>
        <w:tc>
          <w:tcPr>
            <w:tcW w:w="0" w:type="auto"/>
            <w:tcBorders>
              <w:top w:val="nil"/>
              <w:left w:val="nil"/>
              <w:bottom w:val="single" w:sz="4" w:space="0" w:color="auto"/>
              <w:right w:val="single" w:sz="4" w:space="0" w:color="auto"/>
            </w:tcBorders>
            <w:shd w:val="clear" w:color="auto" w:fill="auto"/>
            <w:vAlign w:val="center"/>
            <w:hideMark/>
          </w:tcPr>
          <w:p w14:paraId="5E4D80D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E53AEAF" w14:textId="77777777" w:rsidR="00572995" w:rsidRPr="00483EBE" w:rsidRDefault="00572995" w:rsidP="00E8324D">
            <w:pPr>
              <w:pStyle w:val="Tablas"/>
              <w:rPr>
                <w:sz w:val="12"/>
                <w:szCs w:val="12"/>
              </w:rPr>
            </w:pPr>
            <w:r w:rsidRPr="00483EBE">
              <w:rPr>
                <w:sz w:val="12"/>
                <w:szCs w:val="12"/>
              </w:rPr>
              <w:t>SEBD</w:t>
            </w:r>
          </w:p>
        </w:tc>
      </w:tr>
      <w:tr w:rsidR="00572995" w:rsidRPr="00483EBE" w14:paraId="1832397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4C3F7F"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4F2CEE56" w14:textId="77777777" w:rsidR="00572995" w:rsidRPr="00483EBE" w:rsidRDefault="00572995" w:rsidP="00E8324D">
            <w:pPr>
              <w:pStyle w:val="Tablas"/>
              <w:rPr>
                <w:sz w:val="12"/>
                <w:szCs w:val="12"/>
              </w:rPr>
            </w:pPr>
            <w:r w:rsidRPr="00483EBE">
              <w:rPr>
                <w:sz w:val="12"/>
                <w:szCs w:val="12"/>
              </w:rPr>
              <w:t xml:space="preserve">83 </w:t>
            </w:r>
          </w:p>
        </w:tc>
        <w:tc>
          <w:tcPr>
            <w:tcW w:w="0" w:type="auto"/>
            <w:tcBorders>
              <w:top w:val="nil"/>
              <w:left w:val="nil"/>
              <w:bottom w:val="single" w:sz="4" w:space="0" w:color="auto"/>
              <w:right w:val="single" w:sz="4" w:space="0" w:color="auto"/>
            </w:tcBorders>
            <w:shd w:val="clear" w:color="auto" w:fill="auto"/>
            <w:vAlign w:val="center"/>
            <w:hideMark/>
          </w:tcPr>
          <w:p w14:paraId="09C0352F" w14:textId="77777777" w:rsidR="00572995" w:rsidRPr="00483EBE" w:rsidRDefault="00572995" w:rsidP="00E8324D">
            <w:pPr>
              <w:pStyle w:val="Tablas"/>
              <w:rPr>
                <w:sz w:val="12"/>
                <w:szCs w:val="12"/>
              </w:rPr>
            </w:pPr>
            <w:r w:rsidRPr="00483EBE">
              <w:rPr>
                <w:sz w:val="12"/>
                <w:szCs w:val="12"/>
              </w:rPr>
              <w:t>$263,295</w:t>
            </w:r>
          </w:p>
        </w:tc>
        <w:tc>
          <w:tcPr>
            <w:tcW w:w="0" w:type="auto"/>
            <w:tcBorders>
              <w:top w:val="nil"/>
              <w:left w:val="nil"/>
              <w:bottom w:val="single" w:sz="4" w:space="0" w:color="auto"/>
              <w:right w:val="single" w:sz="4" w:space="0" w:color="auto"/>
            </w:tcBorders>
            <w:shd w:val="clear" w:color="auto" w:fill="auto"/>
            <w:vAlign w:val="center"/>
            <w:hideMark/>
          </w:tcPr>
          <w:p w14:paraId="2DC4FAAE" w14:textId="77777777" w:rsidR="00572995" w:rsidRPr="00483EBE" w:rsidRDefault="00572995" w:rsidP="00E8324D">
            <w:pPr>
              <w:pStyle w:val="Tablas"/>
              <w:rPr>
                <w:sz w:val="12"/>
                <w:szCs w:val="12"/>
              </w:rPr>
            </w:pPr>
            <w:r w:rsidRPr="00483EBE">
              <w:rPr>
                <w:sz w:val="12"/>
                <w:szCs w:val="12"/>
              </w:rPr>
              <w:t>$3,172</w:t>
            </w:r>
          </w:p>
        </w:tc>
        <w:tc>
          <w:tcPr>
            <w:tcW w:w="0" w:type="auto"/>
            <w:tcBorders>
              <w:top w:val="nil"/>
              <w:left w:val="nil"/>
              <w:bottom w:val="single" w:sz="4" w:space="0" w:color="auto"/>
              <w:right w:val="single" w:sz="4" w:space="0" w:color="auto"/>
            </w:tcBorders>
            <w:shd w:val="clear" w:color="auto" w:fill="auto"/>
            <w:vAlign w:val="center"/>
            <w:hideMark/>
          </w:tcPr>
          <w:p w14:paraId="78D1BE4C"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217E68B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983042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243FCD5"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054719A0" w14:textId="77777777" w:rsidR="00572995" w:rsidRPr="00483EBE" w:rsidRDefault="00572995" w:rsidP="00E8324D">
            <w:pPr>
              <w:pStyle w:val="Tablas"/>
              <w:rPr>
                <w:sz w:val="12"/>
                <w:szCs w:val="12"/>
              </w:rPr>
            </w:pPr>
            <w:r w:rsidRPr="00483EBE">
              <w:rPr>
                <w:sz w:val="12"/>
                <w:szCs w:val="12"/>
              </w:rPr>
              <w:t xml:space="preserve">352 </w:t>
            </w:r>
          </w:p>
        </w:tc>
        <w:tc>
          <w:tcPr>
            <w:tcW w:w="0" w:type="auto"/>
            <w:tcBorders>
              <w:top w:val="nil"/>
              <w:left w:val="nil"/>
              <w:bottom w:val="single" w:sz="4" w:space="0" w:color="auto"/>
              <w:right w:val="single" w:sz="4" w:space="0" w:color="auto"/>
            </w:tcBorders>
            <w:shd w:val="clear" w:color="auto" w:fill="auto"/>
            <w:vAlign w:val="center"/>
            <w:hideMark/>
          </w:tcPr>
          <w:p w14:paraId="13AEC2FB" w14:textId="77777777" w:rsidR="00572995" w:rsidRPr="00483EBE" w:rsidRDefault="00572995" w:rsidP="00E8324D">
            <w:pPr>
              <w:pStyle w:val="Tablas"/>
              <w:rPr>
                <w:sz w:val="12"/>
                <w:szCs w:val="12"/>
              </w:rPr>
            </w:pPr>
            <w:r w:rsidRPr="00483EBE">
              <w:rPr>
                <w:sz w:val="12"/>
                <w:szCs w:val="12"/>
              </w:rPr>
              <w:t>$1,743,102</w:t>
            </w:r>
          </w:p>
        </w:tc>
        <w:tc>
          <w:tcPr>
            <w:tcW w:w="0" w:type="auto"/>
            <w:tcBorders>
              <w:top w:val="nil"/>
              <w:left w:val="nil"/>
              <w:bottom w:val="single" w:sz="4" w:space="0" w:color="auto"/>
              <w:right w:val="single" w:sz="4" w:space="0" w:color="auto"/>
            </w:tcBorders>
            <w:shd w:val="clear" w:color="auto" w:fill="auto"/>
            <w:vAlign w:val="center"/>
            <w:hideMark/>
          </w:tcPr>
          <w:p w14:paraId="327AD5F7" w14:textId="77777777" w:rsidR="00572995" w:rsidRPr="00483EBE" w:rsidRDefault="00572995" w:rsidP="00E8324D">
            <w:pPr>
              <w:pStyle w:val="Tablas"/>
              <w:rPr>
                <w:sz w:val="12"/>
                <w:szCs w:val="12"/>
              </w:rPr>
            </w:pPr>
            <w:r w:rsidRPr="00483EBE">
              <w:rPr>
                <w:sz w:val="12"/>
                <w:szCs w:val="12"/>
              </w:rPr>
              <w:t>$4,952</w:t>
            </w:r>
          </w:p>
        </w:tc>
        <w:tc>
          <w:tcPr>
            <w:tcW w:w="0" w:type="auto"/>
            <w:tcBorders>
              <w:top w:val="nil"/>
              <w:left w:val="nil"/>
              <w:bottom w:val="single" w:sz="4" w:space="0" w:color="auto"/>
              <w:right w:val="single" w:sz="4" w:space="0" w:color="auto"/>
            </w:tcBorders>
            <w:shd w:val="clear" w:color="auto" w:fill="auto"/>
            <w:vAlign w:val="center"/>
            <w:hideMark/>
          </w:tcPr>
          <w:p w14:paraId="2D6F3791" w14:textId="77777777" w:rsidR="00572995" w:rsidRPr="00483EBE" w:rsidRDefault="00572995" w:rsidP="00E8324D">
            <w:pPr>
              <w:pStyle w:val="Tablas"/>
              <w:rPr>
                <w:sz w:val="12"/>
                <w:szCs w:val="12"/>
              </w:rPr>
            </w:pPr>
            <w:r w:rsidRPr="00483EBE">
              <w:rPr>
                <w:sz w:val="12"/>
                <w:szCs w:val="12"/>
              </w:rPr>
              <w:t>$413</w:t>
            </w:r>
          </w:p>
        </w:tc>
        <w:tc>
          <w:tcPr>
            <w:tcW w:w="0" w:type="auto"/>
            <w:tcBorders>
              <w:top w:val="nil"/>
              <w:left w:val="nil"/>
              <w:bottom w:val="single" w:sz="4" w:space="0" w:color="auto"/>
              <w:right w:val="single" w:sz="4" w:space="0" w:color="auto"/>
            </w:tcBorders>
            <w:shd w:val="clear" w:color="auto" w:fill="auto"/>
            <w:vAlign w:val="center"/>
            <w:hideMark/>
          </w:tcPr>
          <w:p w14:paraId="1EB374C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594CABA" w14:textId="77777777" w:rsidR="00572995" w:rsidRPr="00483EBE" w:rsidRDefault="00572995" w:rsidP="00E8324D">
            <w:pPr>
              <w:pStyle w:val="Tablas"/>
              <w:rPr>
                <w:sz w:val="12"/>
                <w:szCs w:val="12"/>
              </w:rPr>
            </w:pPr>
            <w:r w:rsidRPr="00483EBE">
              <w:rPr>
                <w:sz w:val="12"/>
                <w:szCs w:val="12"/>
              </w:rPr>
              <w:t>SEBD</w:t>
            </w:r>
          </w:p>
        </w:tc>
      </w:tr>
      <w:tr w:rsidR="00572995" w:rsidRPr="00483EBE" w14:paraId="44CC8A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D478EE"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47301A5A" w14:textId="77777777" w:rsidR="00572995" w:rsidRPr="00483EBE" w:rsidRDefault="00572995" w:rsidP="00E8324D">
            <w:pPr>
              <w:pStyle w:val="Tablas"/>
              <w:rPr>
                <w:sz w:val="12"/>
                <w:szCs w:val="12"/>
              </w:rPr>
            </w:pPr>
            <w:r w:rsidRPr="00483EBE">
              <w:rPr>
                <w:sz w:val="12"/>
                <w:szCs w:val="12"/>
              </w:rPr>
              <w:t xml:space="preserve">76 </w:t>
            </w:r>
          </w:p>
        </w:tc>
        <w:tc>
          <w:tcPr>
            <w:tcW w:w="0" w:type="auto"/>
            <w:tcBorders>
              <w:top w:val="nil"/>
              <w:left w:val="nil"/>
              <w:bottom w:val="single" w:sz="4" w:space="0" w:color="auto"/>
              <w:right w:val="single" w:sz="4" w:space="0" w:color="auto"/>
            </w:tcBorders>
            <w:shd w:val="clear" w:color="auto" w:fill="auto"/>
            <w:vAlign w:val="center"/>
            <w:hideMark/>
          </w:tcPr>
          <w:p w14:paraId="1B6FCB02" w14:textId="77777777" w:rsidR="00572995" w:rsidRPr="00483EBE" w:rsidRDefault="00572995" w:rsidP="00E8324D">
            <w:pPr>
              <w:pStyle w:val="Tablas"/>
              <w:rPr>
                <w:sz w:val="12"/>
                <w:szCs w:val="12"/>
              </w:rPr>
            </w:pPr>
            <w:r w:rsidRPr="00483EBE">
              <w:rPr>
                <w:sz w:val="12"/>
                <w:szCs w:val="12"/>
              </w:rPr>
              <w:t>$279,040</w:t>
            </w:r>
          </w:p>
        </w:tc>
        <w:tc>
          <w:tcPr>
            <w:tcW w:w="0" w:type="auto"/>
            <w:tcBorders>
              <w:top w:val="nil"/>
              <w:left w:val="nil"/>
              <w:bottom w:val="single" w:sz="4" w:space="0" w:color="auto"/>
              <w:right w:val="single" w:sz="4" w:space="0" w:color="auto"/>
            </w:tcBorders>
            <w:shd w:val="clear" w:color="auto" w:fill="auto"/>
            <w:vAlign w:val="center"/>
            <w:hideMark/>
          </w:tcPr>
          <w:p w14:paraId="2ACBDD2D" w14:textId="77777777" w:rsidR="00572995" w:rsidRPr="00483EBE" w:rsidRDefault="00572995" w:rsidP="00E8324D">
            <w:pPr>
              <w:pStyle w:val="Tablas"/>
              <w:rPr>
                <w:sz w:val="12"/>
                <w:szCs w:val="12"/>
              </w:rPr>
            </w:pPr>
            <w:r w:rsidRPr="00483EBE">
              <w:rPr>
                <w:sz w:val="12"/>
                <w:szCs w:val="12"/>
              </w:rPr>
              <w:t>$3,672</w:t>
            </w:r>
          </w:p>
        </w:tc>
        <w:tc>
          <w:tcPr>
            <w:tcW w:w="0" w:type="auto"/>
            <w:tcBorders>
              <w:top w:val="nil"/>
              <w:left w:val="nil"/>
              <w:bottom w:val="single" w:sz="4" w:space="0" w:color="auto"/>
              <w:right w:val="single" w:sz="4" w:space="0" w:color="auto"/>
            </w:tcBorders>
            <w:shd w:val="clear" w:color="auto" w:fill="auto"/>
            <w:vAlign w:val="center"/>
            <w:hideMark/>
          </w:tcPr>
          <w:p w14:paraId="69F0CBD4" w14:textId="77777777" w:rsidR="00572995" w:rsidRPr="00483EBE" w:rsidRDefault="00572995" w:rsidP="00E8324D">
            <w:pPr>
              <w:pStyle w:val="Tablas"/>
              <w:rPr>
                <w:sz w:val="12"/>
                <w:szCs w:val="12"/>
              </w:rPr>
            </w:pPr>
            <w:r w:rsidRPr="00483EBE">
              <w:rPr>
                <w:sz w:val="12"/>
                <w:szCs w:val="12"/>
              </w:rPr>
              <w:t>$306</w:t>
            </w:r>
          </w:p>
        </w:tc>
        <w:tc>
          <w:tcPr>
            <w:tcW w:w="0" w:type="auto"/>
            <w:tcBorders>
              <w:top w:val="nil"/>
              <w:left w:val="nil"/>
              <w:bottom w:val="single" w:sz="4" w:space="0" w:color="auto"/>
              <w:right w:val="single" w:sz="4" w:space="0" w:color="auto"/>
            </w:tcBorders>
            <w:shd w:val="clear" w:color="auto" w:fill="auto"/>
            <w:vAlign w:val="center"/>
            <w:hideMark/>
          </w:tcPr>
          <w:p w14:paraId="55C884F7"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8A1E8B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669D7C0"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6586B2B8" w14:textId="77777777" w:rsidR="00572995" w:rsidRPr="00483EBE" w:rsidRDefault="00572995" w:rsidP="00E8324D">
            <w:pPr>
              <w:pStyle w:val="Tablas"/>
              <w:rPr>
                <w:sz w:val="12"/>
                <w:szCs w:val="12"/>
              </w:rPr>
            </w:pPr>
            <w:r w:rsidRPr="00483EBE">
              <w:rPr>
                <w:sz w:val="12"/>
                <w:szCs w:val="12"/>
              </w:rPr>
              <w:t xml:space="preserve">402 </w:t>
            </w:r>
          </w:p>
        </w:tc>
        <w:tc>
          <w:tcPr>
            <w:tcW w:w="0" w:type="auto"/>
            <w:tcBorders>
              <w:top w:val="nil"/>
              <w:left w:val="nil"/>
              <w:bottom w:val="single" w:sz="4" w:space="0" w:color="auto"/>
              <w:right w:val="single" w:sz="4" w:space="0" w:color="auto"/>
            </w:tcBorders>
            <w:shd w:val="clear" w:color="auto" w:fill="auto"/>
            <w:vAlign w:val="center"/>
            <w:hideMark/>
          </w:tcPr>
          <w:p w14:paraId="7B83321A" w14:textId="77777777" w:rsidR="00572995" w:rsidRPr="00483EBE" w:rsidRDefault="00572995" w:rsidP="00E8324D">
            <w:pPr>
              <w:pStyle w:val="Tablas"/>
              <w:rPr>
                <w:sz w:val="12"/>
                <w:szCs w:val="12"/>
              </w:rPr>
            </w:pPr>
            <w:r w:rsidRPr="00483EBE">
              <w:rPr>
                <w:sz w:val="12"/>
                <w:szCs w:val="12"/>
              </w:rPr>
              <w:t>$1,881,616</w:t>
            </w:r>
          </w:p>
        </w:tc>
        <w:tc>
          <w:tcPr>
            <w:tcW w:w="0" w:type="auto"/>
            <w:tcBorders>
              <w:top w:val="nil"/>
              <w:left w:val="nil"/>
              <w:bottom w:val="single" w:sz="4" w:space="0" w:color="auto"/>
              <w:right w:val="single" w:sz="4" w:space="0" w:color="auto"/>
            </w:tcBorders>
            <w:shd w:val="clear" w:color="auto" w:fill="auto"/>
            <w:vAlign w:val="center"/>
            <w:hideMark/>
          </w:tcPr>
          <w:p w14:paraId="732619E9" w14:textId="77777777" w:rsidR="00572995" w:rsidRPr="00483EBE" w:rsidRDefault="00572995" w:rsidP="00E8324D">
            <w:pPr>
              <w:pStyle w:val="Tablas"/>
              <w:rPr>
                <w:sz w:val="12"/>
                <w:szCs w:val="12"/>
              </w:rPr>
            </w:pPr>
            <w:r w:rsidRPr="00483EBE">
              <w:rPr>
                <w:sz w:val="12"/>
                <w:szCs w:val="12"/>
              </w:rPr>
              <w:t>$4,681</w:t>
            </w:r>
          </w:p>
        </w:tc>
        <w:tc>
          <w:tcPr>
            <w:tcW w:w="0" w:type="auto"/>
            <w:tcBorders>
              <w:top w:val="nil"/>
              <w:left w:val="nil"/>
              <w:bottom w:val="single" w:sz="4" w:space="0" w:color="auto"/>
              <w:right w:val="single" w:sz="4" w:space="0" w:color="auto"/>
            </w:tcBorders>
            <w:shd w:val="clear" w:color="auto" w:fill="auto"/>
            <w:vAlign w:val="center"/>
            <w:hideMark/>
          </w:tcPr>
          <w:p w14:paraId="17BCF343" w14:textId="77777777" w:rsidR="00572995" w:rsidRPr="00483EBE" w:rsidRDefault="00572995" w:rsidP="00E8324D">
            <w:pPr>
              <w:pStyle w:val="Tablas"/>
              <w:rPr>
                <w:sz w:val="12"/>
                <w:szCs w:val="12"/>
              </w:rPr>
            </w:pPr>
            <w:r w:rsidRPr="00483EBE">
              <w:rPr>
                <w:sz w:val="12"/>
                <w:szCs w:val="12"/>
              </w:rPr>
              <w:t>$390</w:t>
            </w:r>
          </w:p>
        </w:tc>
        <w:tc>
          <w:tcPr>
            <w:tcW w:w="0" w:type="auto"/>
            <w:tcBorders>
              <w:top w:val="nil"/>
              <w:left w:val="nil"/>
              <w:bottom w:val="single" w:sz="4" w:space="0" w:color="auto"/>
              <w:right w:val="single" w:sz="4" w:space="0" w:color="auto"/>
            </w:tcBorders>
            <w:shd w:val="clear" w:color="auto" w:fill="auto"/>
            <w:vAlign w:val="center"/>
            <w:hideMark/>
          </w:tcPr>
          <w:p w14:paraId="46CD0F4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3D1057E" w14:textId="77777777" w:rsidR="00572995" w:rsidRPr="00483EBE" w:rsidRDefault="00572995" w:rsidP="00E8324D">
            <w:pPr>
              <w:pStyle w:val="Tablas"/>
              <w:rPr>
                <w:sz w:val="12"/>
                <w:szCs w:val="12"/>
              </w:rPr>
            </w:pPr>
            <w:r w:rsidRPr="00483EBE">
              <w:rPr>
                <w:sz w:val="12"/>
                <w:szCs w:val="12"/>
              </w:rPr>
              <w:t>SEBD</w:t>
            </w:r>
          </w:p>
        </w:tc>
      </w:tr>
      <w:tr w:rsidR="00572995" w:rsidRPr="00483EBE" w14:paraId="2B01614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F07811"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53B1BFD" w14:textId="77777777" w:rsidR="00572995" w:rsidRPr="00483EBE" w:rsidRDefault="00572995" w:rsidP="00E8324D">
            <w:pPr>
              <w:pStyle w:val="Tablas"/>
              <w:rPr>
                <w:sz w:val="12"/>
                <w:szCs w:val="12"/>
              </w:rPr>
            </w:pPr>
            <w:r w:rsidRPr="00483EBE">
              <w:rPr>
                <w:sz w:val="12"/>
                <w:szCs w:val="12"/>
              </w:rPr>
              <w:t xml:space="preserve">58 </w:t>
            </w:r>
          </w:p>
        </w:tc>
        <w:tc>
          <w:tcPr>
            <w:tcW w:w="0" w:type="auto"/>
            <w:tcBorders>
              <w:top w:val="nil"/>
              <w:left w:val="nil"/>
              <w:bottom w:val="single" w:sz="4" w:space="0" w:color="auto"/>
              <w:right w:val="single" w:sz="4" w:space="0" w:color="auto"/>
            </w:tcBorders>
            <w:shd w:val="clear" w:color="auto" w:fill="auto"/>
            <w:vAlign w:val="center"/>
            <w:hideMark/>
          </w:tcPr>
          <w:p w14:paraId="67AD7D78" w14:textId="77777777" w:rsidR="00572995" w:rsidRPr="00483EBE" w:rsidRDefault="00572995" w:rsidP="00E8324D">
            <w:pPr>
              <w:pStyle w:val="Tablas"/>
              <w:rPr>
                <w:sz w:val="12"/>
                <w:szCs w:val="12"/>
              </w:rPr>
            </w:pPr>
            <w:r w:rsidRPr="00483EBE">
              <w:rPr>
                <w:sz w:val="12"/>
                <w:szCs w:val="12"/>
              </w:rPr>
              <w:t>$187,784</w:t>
            </w:r>
          </w:p>
        </w:tc>
        <w:tc>
          <w:tcPr>
            <w:tcW w:w="0" w:type="auto"/>
            <w:tcBorders>
              <w:top w:val="nil"/>
              <w:left w:val="nil"/>
              <w:bottom w:val="single" w:sz="4" w:space="0" w:color="auto"/>
              <w:right w:val="single" w:sz="4" w:space="0" w:color="auto"/>
            </w:tcBorders>
            <w:shd w:val="clear" w:color="auto" w:fill="auto"/>
            <w:vAlign w:val="center"/>
            <w:hideMark/>
          </w:tcPr>
          <w:p w14:paraId="05B34627" w14:textId="77777777" w:rsidR="00572995" w:rsidRPr="00483EBE" w:rsidRDefault="00572995" w:rsidP="00E8324D">
            <w:pPr>
              <w:pStyle w:val="Tablas"/>
              <w:rPr>
                <w:sz w:val="12"/>
                <w:szCs w:val="12"/>
              </w:rPr>
            </w:pPr>
            <w:r w:rsidRPr="00483EBE">
              <w:rPr>
                <w:sz w:val="12"/>
                <w:szCs w:val="12"/>
              </w:rPr>
              <w:t>$3,238</w:t>
            </w:r>
          </w:p>
        </w:tc>
        <w:tc>
          <w:tcPr>
            <w:tcW w:w="0" w:type="auto"/>
            <w:tcBorders>
              <w:top w:val="nil"/>
              <w:left w:val="nil"/>
              <w:bottom w:val="single" w:sz="4" w:space="0" w:color="auto"/>
              <w:right w:val="single" w:sz="4" w:space="0" w:color="auto"/>
            </w:tcBorders>
            <w:shd w:val="clear" w:color="auto" w:fill="auto"/>
            <w:vAlign w:val="center"/>
            <w:hideMark/>
          </w:tcPr>
          <w:p w14:paraId="49970CAD"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42CE1FC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8A570A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DF9752"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05BD3149" w14:textId="77777777" w:rsidR="00572995" w:rsidRPr="00483EBE" w:rsidRDefault="00572995" w:rsidP="00E8324D">
            <w:pPr>
              <w:pStyle w:val="Tablas"/>
              <w:rPr>
                <w:sz w:val="12"/>
                <w:szCs w:val="12"/>
              </w:rPr>
            </w:pPr>
            <w:r w:rsidRPr="00483EBE">
              <w:rPr>
                <w:sz w:val="12"/>
                <w:szCs w:val="12"/>
              </w:rPr>
              <w:t xml:space="preserve">406 </w:t>
            </w:r>
          </w:p>
        </w:tc>
        <w:tc>
          <w:tcPr>
            <w:tcW w:w="0" w:type="auto"/>
            <w:tcBorders>
              <w:top w:val="nil"/>
              <w:left w:val="nil"/>
              <w:bottom w:val="single" w:sz="4" w:space="0" w:color="auto"/>
              <w:right w:val="single" w:sz="4" w:space="0" w:color="auto"/>
            </w:tcBorders>
            <w:shd w:val="clear" w:color="auto" w:fill="auto"/>
            <w:vAlign w:val="center"/>
            <w:hideMark/>
          </w:tcPr>
          <w:p w14:paraId="461860D0" w14:textId="77777777" w:rsidR="00572995" w:rsidRPr="00483EBE" w:rsidRDefault="00572995" w:rsidP="00E8324D">
            <w:pPr>
              <w:pStyle w:val="Tablas"/>
              <w:rPr>
                <w:sz w:val="12"/>
                <w:szCs w:val="12"/>
              </w:rPr>
            </w:pPr>
            <w:r w:rsidRPr="00483EBE">
              <w:rPr>
                <w:sz w:val="12"/>
                <w:szCs w:val="12"/>
              </w:rPr>
              <w:t>$1,857,798</w:t>
            </w:r>
          </w:p>
        </w:tc>
        <w:tc>
          <w:tcPr>
            <w:tcW w:w="0" w:type="auto"/>
            <w:tcBorders>
              <w:top w:val="nil"/>
              <w:left w:val="nil"/>
              <w:bottom w:val="single" w:sz="4" w:space="0" w:color="auto"/>
              <w:right w:val="single" w:sz="4" w:space="0" w:color="auto"/>
            </w:tcBorders>
            <w:shd w:val="clear" w:color="auto" w:fill="auto"/>
            <w:vAlign w:val="center"/>
            <w:hideMark/>
          </w:tcPr>
          <w:p w14:paraId="3046D43F" w14:textId="77777777" w:rsidR="00572995" w:rsidRPr="00483EBE" w:rsidRDefault="00572995" w:rsidP="00E8324D">
            <w:pPr>
              <w:pStyle w:val="Tablas"/>
              <w:rPr>
                <w:sz w:val="12"/>
                <w:szCs w:val="12"/>
              </w:rPr>
            </w:pPr>
            <w:r w:rsidRPr="00483EBE">
              <w:rPr>
                <w:sz w:val="12"/>
                <w:szCs w:val="12"/>
              </w:rPr>
              <w:t>$4,576</w:t>
            </w:r>
          </w:p>
        </w:tc>
        <w:tc>
          <w:tcPr>
            <w:tcW w:w="0" w:type="auto"/>
            <w:tcBorders>
              <w:top w:val="nil"/>
              <w:left w:val="nil"/>
              <w:bottom w:val="single" w:sz="4" w:space="0" w:color="auto"/>
              <w:right w:val="single" w:sz="4" w:space="0" w:color="auto"/>
            </w:tcBorders>
            <w:shd w:val="clear" w:color="auto" w:fill="auto"/>
            <w:vAlign w:val="center"/>
            <w:hideMark/>
          </w:tcPr>
          <w:p w14:paraId="28492FB5" w14:textId="77777777" w:rsidR="00572995" w:rsidRPr="00483EBE" w:rsidRDefault="00572995" w:rsidP="00E8324D">
            <w:pPr>
              <w:pStyle w:val="Tablas"/>
              <w:rPr>
                <w:sz w:val="12"/>
                <w:szCs w:val="12"/>
              </w:rPr>
            </w:pPr>
            <w:r w:rsidRPr="00483EBE">
              <w:rPr>
                <w:sz w:val="12"/>
                <w:szCs w:val="12"/>
              </w:rPr>
              <w:t>$381</w:t>
            </w:r>
          </w:p>
        </w:tc>
        <w:tc>
          <w:tcPr>
            <w:tcW w:w="0" w:type="auto"/>
            <w:tcBorders>
              <w:top w:val="nil"/>
              <w:left w:val="nil"/>
              <w:bottom w:val="single" w:sz="4" w:space="0" w:color="auto"/>
              <w:right w:val="single" w:sz="4" w:space="0" w:color="auto"/>
            </w:tcBorders>
            <w:shd w:val="clear" w:color="auto" w:fill="auto"/>
            <w:vAlign w:val="center"/>
            <w:hideMark/>
          </w:tcPr>
          <w:p w14:paraId="1AB7FCC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F69702E" w14:textId="77777777" w:rsidR="00572995" w:rsidRPr="00483EBE" w:rsidRDefault="00572995" w:rsidP="00E8324D">
            <w:pPr>
              <w:pStyle w:val="Tablas"/>
              <w:rPr>
                <w:sz w:val="12"/>
                <w:szCs w:val="12"/>
              </w:rPr>
            </w:pPr>
            <w:r w:rsidRPr="00483EBE">
              <w:rPr>
                <w:sz w:val="12"/>
                <w:szCs w:val="12"/>
              </w:rPr>
              <w:t>SEBD</w:t>
            </w:r>
          </w:p>
        </w:tc>
      </w:tr>
      <w:tr w:rsidR="00572995" w:rsidRPr="00483EBE" w14:paraId="78904E9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FE1FC8"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6163BEF" w14:textId="77777777" w:rsidR="00572995" w:rsidRPr="00483EBE" w:rsidRDefault="00572995" w:rsidP="00E8324D">
            <w:pPr>
              <w:pStyle w:val="Tablas"/>
              <w:rPr>
                <w:sz w:val="12"/>
                <w:szCs w:val="12"/>
              </w:rPr>
            </w:pPr>
            <w:r w:rsidRPr="00483EBE">
              <w:rPr>
                <w:sz w:val="12"/>
                <w:szCs w:val="12"/>
              </w:rPr>
              <w:t xml:space="preserve">62 </w:t>
            </w:r>
          </w:p>
        </w:tc>
        <w:tc>
          <w:tcPr>
            <w:tcW w:w="0" w:type="auto"/>
            <w:tcBorders>
              <w:top w:val="nil"/>
              <w:left w:val="nil"/>
              <w:bottom w:val="single" w:sz="4" w:space="0" w:color="auto"/>
              <w:right w:val="single" w:sz="4" w:space="0" w:color="auto"/>
            </w:tcBorders>
            <w:shd w:val="clear" w:color="auto" w:fill="auto"/>
            <w:vAlign w:val="center"/>
            <w:hideMark/>
          </w:tcPr>
          <w:p w14:paraId="3E061877" w14:textId="77777777" w:rsidR="00572995" w:rsidRPr="00483EBE" w:rsidRDefault="00572995" w:rsidP="00E8324D">
            <w:pPr>
              <w:pStyle w:val="Tablas"/>
              <w:rPr>
                <w:sz w:val="12"/>
                <w:szCs w:val="12"/>
              </w:rPr>
            </w:pPr>
            <w:r w:rsidRPr="00483EBE">
              <w:rPr>
                <w:sz w:val="12"/>
                <w:szCs w:val="12"/>
              </w:rPr>
              <w:t>$210,847</w:t>
            </w:r>
          </w:p>
        </w:tc>
        <w:tc>
          <w:tcPr>
            <w:tcW w:w="0" w:type="auto"/>
            <w:tcBorders>
              <w:top w:val="nil"/>
              <w:left w:val="nil"/>
              <w:bottom w:val="single" w:sz="4" w:space="0" w:color="auto"/>
              <w:right w:val="single" w:sz="4" w:space="0" w:color="auto"/>
            </w:tcBorders>
            <w:shd w:val="clear" w:color="auto" w:fill="auto"/>
            <w:vAlign w:val="center"/>
            <w:hideMark/>
          </w:tcPr>
          <w:p w14:paraId="0AE56281" w14:textId="77777777" w:rsidR="00572995" w:rsidRPr="00483EBE" w:rsidRDefault="00572995" w:rsidP="00E8324D">
            <w:pPr>
              <w:pStyle w:val="Tablas"/>
              <w:rPr>
                <w:sz w:val="12"/>
                <w:szCs w:val="12"/>
              </w:rPr>
            </w:pPr>
            <w:r w:rsidRPr="00483EBE">
              <w:rPr>
                <w:sz w:val="12"/>
                <w:szCs w:val="12"/>
              </w:rPr>
              <w:t>$3,401</w:t>
            </w:r>
          </w:p>
        </w:tc>
        <w:tc>
          <w:tcPr>
            <w:tcW w:w="0" w:type="auto"/>
            <w:tcBorders>
              <w:top w:val="nil"/>
              <w:left w:val="nil"/>
              <w:bottom w:val="single" w:sz="4" w:space="0" w:color="auto"/>
              <w:right w:val="single" w:sz="4" w:space="0" w:color="auto"/>
            </w:tcBorders>
            <w:shd w:val="clear" w:color="auto" w:fill="auto"/>
            <w:vAlign w:val="center"/>
            <w:hideMark/>
          </w:tcPr>
          <w:p w14:paraId="1D00971A" w14:textId="77777777" w:rsidR="00572995" w:rsidRPr="00483EBE" w:rsidRDefault="00572995" w:rsidP="00E8324D">
            <w:pPr>
              <w:pStyle w:val="Tablas"/>
              <w:rPr>
                <w:sz w:val="12"/>
                <w:szCs w:val="12"/>
              </w:rPr>
            </w:pPr>
            <w:r w:rsidRPr="00483EBE">
              <w:rPr>
                <w:sz w:val="12"/>
                <w:szCs w:val="12"/>
              </w:rPr>
              <w:t>$283</w:t>
            </w:r>
          </w:p>
        </w:tc>
        <w:tc>
          <w:tcPr>
            <w:tcW w:w="0" w:type="auto"/>
            <w:tcBorders>
              <w:top w:val="nil"/>
              <w:left w:val="nil"/>
              <w:bottom w:val="single" w:sz="4" w:space="0" w:color="auto"/>
              <w:right w:val="single" w:sz="4" w:space="0" w:color="auto"/>
            </w:tcBorders>
            <w:shd w:val="clear" w:color="auto" w:fill="auto"/>
            <w:vAlign w:val="center"/>
            <w:hideMark/>
          </w:tcPr>
          <w:p w14:paraId="3AB188A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7D5329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0260E2"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B4BA760" w14:textId="77777777" w:rsidR="00572995" w:rsidRPr="00483EBE" w:rsidRDefault="00572995" w:rsidP="00E8324D">
            <w:pPr>
              <w:pStyle w:val="Tablas"/>
              <w:rPr>
                <w:sz w:val="12"/>
                <w:szCs w:val="12"/>
              </w:rPr>
            </w:pPr>
            <w:r w:rsidRPr="00483EBE">
              <w:rPr>
                <w:sz w:val="12"/>
                <w:szCs w:val="12"/>
              </w:rPr>
              <w:t xml:space="preserve">376 </w:t>
            </w:r>
          </w:p>
        </w:tc>
        <w:tc>
          <w:tcPr>
            <w:tcW w:w="0" w:type="auto"/>
            <w:tcBorders>
              <w:top w:val="nil"/>
              <w:left w:val="nil"/>
              <w:bottom w:val="single" w:sz="4" w:space="0" w:color="auto"/>
              <w:right w:val="single" w:sz="4" w:space="0" w:color="auto"/>
            </w:tcBorders>
            <w:shd w:val="clear" w:color="auto" w:fill="auto"/>
            <w:vAlign w:val="center"/>
            <w:hideMark/>
          </w:tcPr>
          <w:p w14:paraId="3060EF95" w14:textId="77777777" w:rsidR="00572995" w:rsidRPr="00483EBE" w:rsidRDefault="00572995" w:rsidP="00E8324D">
            <w:pPr>
              <w:pStyle w:val="Tablas"/>
              <w:rPr>
                <w:sz w:val="12"/>
                <w:szCs w:val="12"/>
              </w:rPr>
            </w:pPr>
            <w:r w:rsidRPr="00483EBE">
              <w:rPr>
                <w:sz w:val="12"/>
                <w:szCs w:val="12"/>
              </w:rPr>
              <w:t>$1,785,625</w:t>
            </w:r>
          </w:p>
        </w:tc>
        <w:tc>
          <w:tcPr>
            <w:tcW w:w="0" w:type="auto"/>
            <w:tcBorders>
              <w:top w:val="nil"/>
              <w:left w:val="nil"/>
              <w:bottom w:val="single" w:sz="4" w:space="0" w:color="auto"/>
              <w:right w:val="single" w:sz="4" w:space="0" w:color="auto"/>
            </w:tcBorders>
            <w:shd w:val="clear" w:color="auto" w:fill="auto"/>
            <w:vAlign w:val="center"/>
            <w:hideMark/>
          </w:tcPr>
          <w:p w14:paraId="11D3FB94" w14:textId="77777777" w:rsidR="00572995" w:rsidRPr="00483EBE" w:rsidRDefault="00572995" w:rsidP="00E8324D">
            <w:pPr>
              <w:pStyle w:val="Tablas"/>
              <w:rPr>
                <w:sz w:val="12"/>
                <w:szCs w:val="12"/>
              </w:rPr>
            </w:pPr>
            <w:r w:rsidRPr="00483EBE">
              <w:rPr>
                <w:sz w:val="12"/>
                <w:szCs w:val="12"/>
              </w:rPr>
              <w:t>$4,749</w:t>
            </w:r>
          </w:p>
        </w:tc>
        <w:tc>
          <w:tcPr>
            <w:tcW w:w="0" w:type="auto"/>
            <w:tcBorders>
              <w:top w:val="nil"/>
              <w:left w:val="nil"/>
              <w:bottom w:val="single" w:sz="4" w:space="0" w:color="auto"/>
              <w:right w:val="single" w:sz="4" w:space="0" w:color="auto"/>
            </w:tcBorders>
            <w:shd w:val="clear" w:color="auto" w:fill="auto"/>
            <w:vAlign w:val="center"/>
            <w:hideMark/>
          </w:tcPr>
          <w:p w14:paraId="0C670515" w14:textId="77777777" w:rsidR="00572995" w:rsidRPr="00483EBE" w:rsidRDefault="00572995" w:rsidP="00E8324D">
            <w:pPr>
              <w:pStyle w:val="Tablas"/>
              <w:rPr>
                <w:sz w:val="12"/>
                <w:szCs w:val="12"/>
              </w:rPr>
            </w:pPr>
            <w:r w:rsidRPr="00483EBE">
              <w:rPr>
                <w:sz w:val="12"/>
                <w:szCs w:val="12"/>
              </w:rPr>
              <w:t>$396</w:t>
            </w:r>
          </w:p>
        </w:tc>
        <w:tc>
          <w:tcPr>
            <w:tcW w:w="0" w:type="auto"/>
            <w:tcBorders>
              <w:top w:val="nil"/>
              <w:left w:val="nil"/>
              <w:bottom w:val="single" w:sz="4" w:space="0" w:color="auto"/>
              <w:right w:val="single" w:sz="4" w:space="0" w:color="auto"/>
            </w:tcBorders>
            <w:shd w:val="clear" w:color="auto" w:fill="auto"/>
            <w:vAlign w:val="center"/>
            <w:hideMark/>
          </w:tcPr>
          <w:p w14:paraId="673A9F7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F0471D8" w14:textId="77777777" w:rsidR="00572995" w:rsidRPr="00483EBE" w:rsidRDefault="00572995" w:rsidP="00E8324D">
            <w:pPr>
              <w:pStyle w:val="Tablas"/>
              <w:rPr>
                <w:sz w:val="12"/>
                <w:szCs w:val="12"/>
              </w:rPr>
            </w:pPr>
            <w:r w:rsidRPr="00483EBE">
              <w:rPr>
                <w:sz w:val="12"/>
                <w:szCs w:val="12"/>
              </w:rPr>
              <w:t>SEBD</w:t>
            </w:r>
          </w:p>
        </w:tc>
      </w:tr>
      <w:tr w:rsidR="00572995" w:rsidRPr="00483EBE" w14:paraId="370DE80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242955"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2D52957F" w14:textId="77777777" w:rsidR="00572995" w:rsidRPr="00483EBE" w:rsidRDefault="00572995" w:rsidP="00E8324D">
            <w:pPr>
              <w:pStyle w:val="Tablas"/>
              <w:rPr>
                <w:sz w:val="12"/>
                <w:szCs w:val="12"/>
              </w:rPr>
            </w:pPr>
            <w:r w:rsidRPr="00483EBE">
              <w:rPr>
                <w:sz w:val="12"/>
                <w:szCs w:val="12"/>
              </w:rPr>
              <w:t xml:space="preserve">48 </w:t>
            </w:r>
          </w:p>
        </w:tc>
        <w:tc>
          <w:tcPr>
            <w:tcW w:w="0" w:type="auto"/>
            <w:tcBorders>
              <w:top w:val="nil"/>
              <w:left w:val="nil"/>
              <w:bottom w:val="single" w:sz="4" w:space="0" w:color="auto"/>
              <w:right w:val="single" w:sz="4" w:space="0" w:color="auto"/>
            </w:tcBorders>
            <w:shd w:val="clear" w:color="auto" w:fill="auto"/>
            <w:vAlign w:val="center"/>
            <w:hideMark/>
          </w:tcPr>
          <w:p w14:paraId="543DE707" w14:textId="77777777" w:rsidR="00572995" w:rsidRPr="00483EBE" w:rsidRDefault="00572995" w:rsidP="00E8324D">
            <w:pPr>
              <w:pStyle w:val="Tablas"/>
              <w:rPr>
                <w:sz w:val="12"/>
                <w:szCs w:val="12"/>
              </w:rPr>
            </w:pPr>
            <w:r w:rsidRPr="00483EBE">
              <w:rPr>
                <w:sz w:val="12"/>
                <w:szCs w:val="12"/>
              </w:rPr>
              <w:t>$182,826</w:t>
            </w:r>
          </w:p>
        </w:tc>
        <w:tc>
          <w:tcPr>
            <w:tcW w:w="0" w:type="auto"/>
            <w:tcBorders>
              <w:top w:val="nil"/>
              <w:left w:val="nil"/>
              <w:bottom w:val="single" w:sz="4" w:space="0" w:color="auto"/>
              <w:right w:val="single" w:sz="4" w:space="0" w:color="auto"/>
            </w:tcBorders>
            <w:shd w:val="clear" w:color="auto" w:fill="auto"/>
            <w:vAlign w:val="center"/>
            <w:hideMark/>
          </w:tcPr>
          <w:p w14:paraId="65D4D2BB" w14:textId="77777777" w:rsidR="00572995" w:rsidRPr="00483EBE" w:rsidRDefault="00572995" w:rsidP="00E8324D">
            <w:pPr>
              <w:pStyle w:val="Tablas"/>
              <w:rPr>
                <w:sz w:val="12"/>
                <w:szCs w:val="12"/>
              </w:rPr>
            </w:pPr>
            <w:r w:rsidRPr="00483EBE">
              <w:rPr>
                <w:sz w:val="12"/>
                <w:szCs w:val="12"/>
              </w:rPr>
              <w:t>$3,809</w:t>
            </w:r>
          </w:p>
        </w:tc>
        <w:tc>
          <w:tcPr>
            <w:tcW w:w="0" w:type="auto"/>
            <w:tcBorders>
              <w:top w:val="nil"/>
              <w:left w:val="nil"/>
              <w:bottom w:val="single" w:sz="4" w:space="0" w:color="auto"/>
              <w:right w:val="single" w:sz="4" w:space="0" w:color="auto"/>
            </w:tcBorders>
            <w:shd w:val="clear" w:color="auto" w:fill="auto"/>
            <w:vAlign w:val="center"/>
            <w:hideMark/>
          </w:tcPr>
          <w:p w14:paraId="30A52BF2" w14:textId="77777777" w:rsidR="00572995" w:rsidRPr="00483EBE" w:rsidRDefault="00572995" w:rsidP="00E8324D">
            <w:pPr>
              <w:pStyle w:val="Tablas"/>
              <w:rPr>
                <w:sz w:val="12"/>
                <w:szCs w:val="12"/>
              </w:rPr>
            </w:pPr>
            <w:r w:rsidRPr="00483EBE">
              <w:rPr>
                <w:sz w:val="12"/>
                <w:szCs w:val="12"/>
              </w:rPr>
              <w:t>$317</w:t>
            </w:r>
          </w:p>
        </w:tc>
        <w:tc>
          <w:tcPr>
            <w:tcW w:w="0" w:type="auto"/>
            <w:tcBorders>
              <w:top w:val="nil"/>
              <w:left w:val="nil"/>
              <w:bottom w:val="single" w:sz="4" w:space="0" w:color="auto"/>
              <w:right w:val="single" w:sz="4" w:space="0" w:color="auto"/>
            </w:tcBorders>
            <w:shd w:val="clear" w:color="auto" w:fill="auto"/>
            <w:vAlign w:val="center"/>
            <w:hideMark/>
          </w:tcPr>
          <w:p w14:paraId="4B93BED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E0D862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E0D258"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6F2791F" w14:textId="77777777" w:rsidR="00572995" w:rsidRPr="00483EBE" w:rsidRDefault="00572995" w:rsidP="00E8324D">
            <w:pPr>
              <w:pStyle w:val="Tablas"/>
              <w:rPr>
                <w:sz w:val="12"/>
                <w:szCs w:val="12"/>
              </w:rPr>
            </w:pPr>
            <w:r w:rsidRPr="00483EBE">
              <w:rPr>
                <w:sz w:val="12"/>
                <w:szCs w:val="12"/>
              </w:rPr>
              <w:t xml:space="preserve">392 </w:t>
            </w:r>
          </w:p>
        </w:tc>
        <w:tc>
          <w:tcPr>
            <w:tcW w:w="0" w:type="auto"/>
            <w:tcBorders>
              <w:top w:val="nil"/>
              <w:left w:val="nil"/>
              <w:bottom w:val="single" w:sz="4" w:space="0" w:color="auto"/>
              <w:right w:val="single" w:sz="4" w:space="0" w:color="auto"/>
            </w:tcBorders>
            <w:shd w:val="clear" w:color="auto" w:fill="auto"/>
            <w:vAlign w:val="center"/>
            <w:hideMark/>
          </w:tcPr>
          <w:p w14:paraId="0F1D7D78" w14:textId="77777777" w:rsidR="00572995" w:rsidRPr="00483EBE" w:rsidRDefault="00572995" w:rsidP="00E8324D">
            <w:pPr>
              <w:pStyle w:val="Tablas"/>
              <w:rPr>
                <w:sz w:val="12"/>
                <w:szCs w:val="12"/>
              </w:rPr>
            </w:pPr>
            <w:r w:rsidRPr="00483EBE">
              <w:rPr>
                <w:sz w:val="12"/>
                <w:szCs w:val="12"/>
              </w:rPr>
              <w:t>$1,838,856</w:t>
            </w:r>
          </w:p>
        </w:tc>
        <w:tc>
          <w:tcPr>
            <w:tcW w:w="0" w:type="auto"/>
            <w:tcBorders>
              <w:top w:val="nil"/>
              <w:left w:val="nil"/>
              <w:bottom w:val="single" w:sz="4" w:space="0" w:color="auto"/>
              <w:right w:val="single" w:sz="4" w:space="0" w:color="auto"/>
            </w:tcBorders>
            <w:shd w:val="clear" w:color="auto" w:fill="auto"/>
            <w:vAlign w:val="center"/>
            <w:hideMark/>
          </w:tcPr>
          <w:p w14:paraId="79632AF3" w14:textId="77777777" w:rsidR="00572995" w:rsidRPr="00483EBE" w:rsidRDefault="00572995" w:rsidP="00E8324D">
            <w:pPr>
              <w:pStyle w:val="Tablas"/>
              <w:rPr>
                <w:sz w:val="12"/>
                <w:szCs w:val="12"/>
              </w:rPr>
            </w:pPr>
            <w:r w:rsidRPr="00483EBE">
              <w:rPr>
                <w:sz w:val="12"/>
                <w:szCs w:val="12"/>
              </w:rPr>
              <w:t>$4,691</w:t>
            </w:r>
          </w:p>
        </w:tc>
        <w:tc>
          <w:tcPr>
            <w:tcW w:w="0" w:type="auto"/>
            <w:tcBorders>
              <w:top w:val="nil"/>
              <w:left w:val="nil"/>
              <w:bottom w:val="single" w:sz="4" w:space="0" w:color="auto"/>
              <w:right w:val="single" w:sz="4" w:space="0" w:color="auto"/>
            </w:tcBorders>
            <w:shd w:val="clear" w:color="auto" w:fill="auto"/>
            <w:vAlign w:val="center"/>
            <w:hideMark/>
          </w:tcPr>
          <w:p w14:paraId="6C739B9E" w14:textId="77777777" w:rsidR="00572995" w:rsidRPr="00483EBE" w:rsidRDefault="00572995" w:rsidP="00E8324D">
            <w:pPr>
              <w:pStyle w:val="Tablas"/>
              <w:rPr>
                <w:sz w:val="12"/>
                <w:szCs w:val="12"/>
              </w:rPr>
            </w:pPr>
            <w:r w:rsidRPr="00483EBE">
              <w:rPr>
                <w:sz w:val="12"/>
                <w:szCs w:val="12"/>
              </w:rPr>
              <w:t>$391</w:t>
            </w:r>
          </w:p>
        </w:tc>
        <w:tc>
          <w:tcPr>
            <w:tcW w:w="0" w:type="auto"/>
            <w:tcBorders>
              <w:top w:val="nil"/>
              <w:left w:val="nil"/>
              <w:bottom w:val="single" w:sz="4" w:space="0" w:color="auto"/>
              <w:right w:val="single" w:sz="4" w:space="0" w:color="auto"/>
            </w:tcBorders>
            <w:shd w:val="clear" w:color="auto" w:fill="auto"/>
            <w:vAlign w:val="center"/>
            <w:hideMark/>
          </w:tcPr>
          <w:p w14:paraId="2A25F99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DE576DE" w14:textId="77777777" w:rsidR="00572995" w:rsidRPr="00483EBE" w:rsidRDefault="00572995" w:rsidP="00E8324D">
            <w:pPr>
              <w:pStyle w:val="Tablas"/>
              <w:rPr>
                <w:sz w:val="12"/>
                <w:szCs w:val="12"/>
              </w:rPr>
            </w:pPr>
            <w:r w:rsidRPr="00483EBE">
              <w:rPr>
                <w:sz w:val="12"/>
                <w:szCs w:val="12"/>
              </w:rPr>
              <w:t>SEBD</w:t>
            </w:r>
          </w:p>
        </w:tc>
      </w:tr>
      <w:tr w:rsidR="00572995" w:rsidRPr="00483EBE" w14:paraId="755703F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8B5C64"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1C6427DF"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495A4AB0" w14:textId="77777777" w:rsidR="00572995" w:rsidRPr="00483EBE" w:rsidRDefault="00572995" w:rsidP="00E8324D">
            <w:pPr>
              <w:pStyle w:val="Tablas"/>
              <w:rPr>
                <w:sz w:val="12"/>
                <w:szCs w:val="12"/>
              </w:rPr>
            </w:pPr>
            <w:r w:rsidRPr="00483EBE">
              <w:rPr>
                <w:sz w:val="12"/>
                <w:szCs w:val="12"/>
              </w:rPr>
              <w:t>$138,353</w:t>
            </w:r>
          </w:p>
        </w:tc>
        <w:tc>
          <w:tcPr>
            <w:tcW w:w="0" w:type="auto"/>
            <w:tcBorders>
              <w:top w:val="nil"/>
              <w:left w:val="nil"/>
              <w:bottom w:val="single" w:sz="4" w:space="0" w:color="auto"/>
              <w:right w:val="single" w:sz="4" w:space="0" w:color="auto"/>
            </w:tcBorders>
            <w:shd w:val="clear" w:color="auto" w:fill="auto"/>
            <w:vAlign w:val="center"/>
            <w:hideMark/>
          </w:tcPr>
          <w:p w14:paraId="27F01004" w14:textId="77777777" w:rsidR="00572995" w:rsidRPr="00483EBE" w:rsidRDefault="00572995" w:rsidP="00E8324D">
            <w:pPr>
              <w:pStyle w:val="Tablas"/>
              <w:rPr>
                <w:sz w:val="12"/>
                <w:szCs w:val="12"/>
              </w:rPr>
            </w:pPr>
            <w:r w:rsidRPr="00483EBE">
              <w:rPr>
                <w:sz w:val="12"/>
                <w:szCs w:val="12"/>
              </w:rPr>
              <w:t>$3,374</w:t>
            </w:r>
          </w:p>
        </w:tc>
        <w:tc>
          <w:tcPr>
            <w:tcW w:w="0" w:type="auto"/>
            <w:tcBorders>
              <w:top w:val="nil"/>
              <w:left w:val="nil"/>
              <w:bottom w:val="single" w:sz="4" w:space="0" w:color="auto"/>
              <w:right w:val="single" w:sz="4" w:space="0" w:color="auto"/>
            </w:tcBorders>
            <w:shd w:val="clear" w:color="auto" w:fill="auto"/>
            <w:vAlign w:val="center"/>
            <w:hideMark/>
          </w:tcPr>
          <w:p w14:paraId="3FA32745" w14:textId="77777777" w:rsidR="00572995" w:rsidRPr="00483EBE" w:rsidRDefault="00572995" w:rsidP="00E8324D">
            <w:pPr>
              <w:pStyle w:val="Tablas"/>
              <w:rPr>
                <w:sz w:val="12"/>
                <w:szCs w:val="12"/>
              </w:rPr>
            </w:pPr>
            <w:r w:rsidRPr="00483EBE">
              <w:rPr>
                <w:sz w:val="12"/>
                <w:szCs w:val="12"/>
              </w:rPr>
              <w:t>$281</w:t>
            </w:r>
          </w:p>
        </w:tc>
        <w:tc>
          <w:tcPr>
            <w:tcW w:w="0" w:type="auto"/>
            <w:tcBorders>
              <w:top w:val="nil"/>
              <w:left w:val="nil"/>
              <w:bottom w:val="single" w:sz="4" w:space="0" w:color="auto"/>
              <w:right w:val="single" w:sz="4" w:space="0" w:color="auto"/>
            </w:tcBorders>
            <w:shd w:val="clear" w:color="auto" w:fill="auto"/>
            <w:vAlign w:val="center"/>
            <w:hideMark/>
          </w:tcPr>
          <w:p w14:paraId="7126564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6C90EA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A43F84E"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2C99A7CC" w14:textId="77777777" w:rsidR="00572995" w:rsidRPr="00483EBE" w:rsidRDefault="00572995" w:rsidP="00E8324D">
            <w:pPr>
              <w:pStyle w:val="Tablas"/>
              <w:rPr>
                <w:sz w:val="12"/>
                <w:szCs w:val="12"/>
              </w:rPr>
            </w:pPr>
            <w:r w:rsidRPr="00483EBE">
              <w:rPr>
                <w:sz w:val="12"/>
                <w:szCs w:val="12"/>
              </w:rPr>
              <w:t xml:space="preserve">370 </w:t>
            </w:r>
          </w:p>
        </w:tc>
        <w:tc>
          <w:tcPr>
            <w:tcW w:w="0" w:type="auto"/>
            <w:tcBorders>
              <w:top w:val="nil"/>
              <w:left w:val="nil"/>
              <w:bottom w:val="single" w:sz="4" w:space="0" w:color="auto"/>
              <w:right w:val="single" w:sz="4" w:space="0" w:color="auto"/>
            </w:tcBorders>
            <w:shd w:val="clear" w:color="auto" w:fill="auto"/>
            <w:vAlign w:val="center"/>
            <w:hideMark/>
          </w:tcPr>
          <w:p w14:paraId="1DC70053" w14:textId="77777777" w:rsidR="00572995" w:rsidRPr="00483EBE" w:rsidRDefault="00572995" w:rsidP="00E8324D">
            <w:pPr>
              <w:pStyle w:val="Tablas"/>
              <w:rPr>
                <w:sz w:val="12"/>
                <w:szCs w:val="12"/>
              </w:rPr>
            </w:pPr>
            <w:r w:rsidRPr="00483EBE">
              <w:rPr>
                <w:sz w:val="12"/>
                <w:szCs w:val="12"/>
              </w:rPr>
              <w:t>$1,631,768</w:t>
            </w:r>
          </w:p>
        </w:tc>
        <w:tc>
          <w:tcPr>
            <w:tcW w:w="0" w:type="auto"/>
            <w:tcBorders>
              <w:top w:val="nil"/>
              <w:left w:val="nil"/>
              <w:bottom w:val="single" w:sz="4" w:space="0" w:color="auto"/>
              <w:right w:val="single" w:sz="4" w:space="0" w:color="auto"/>
            </w:tcBorders>
            <w:shd w:val="clear" w:color="auto" w:fill="auto"/>
            <w:vAlign w:val="center"/>
            <w:hideMark/>
          </w:tcPr>
          <w:p w14:paraId="76642101" w14:textId="77777777" w:rsidR="00572995" w:rsidRPr="00483EBE" w:rsidRDefault="00572995" w:rsidP="00E8324D">
            <w:pPr>
              <w:pStyle w:val="Tablas"/>
              <w:rPr>
                <w:sz w:val="12"/>
                <w:szCs w:val="12"/>
              </w:rPr>
            </w:pPr>
            <w:r w:rsidRPr="00483EBE">
              <w:rPr>
                <w:sz w:val="12"/>
                <w:szCs w:val="12"/>
              </w:rPr>
              <w:t>$4,410</w:t>
            </w:r>
          </w:p>
        </w:tc>
        <w:tc>
          <w:tcPr>
            <w:tcW w:w="0" w:type="auto"/>
            <w:tcBorders>
              <w:top w:val="nil"/>
              <w:left w:val="nil"/>
              <w:bottom w:val="single" w:sz="4" w:space="0" w:color="auto"/>
              <w:right w:val="single" w:sz="4" w:space="0" w:color="auto"/>
            </w:tcBorders>
            <w:shd w:val="clear" w:color="auto" w:fill="auto"/>
            <w:vAlign w:val="center"/>
            <w:hideMark/>
          </w:tcPr>
          <w:p w14:paraId="7A530DAF" w14:textId="77777777" w:rsidR="00572995" w:rsidRPr="00483EBE" w:rsidRDefault="00572995" w:rsidP="00E8324D">
            <w:pPr>
              <w:pStyle w:val="Tablas"/>
              <w:rPr>
                <w:sz w:val="12"/>
                <w:szCs w:val="12"/>
              </w:rPr>
            </w:pPr>
            <w:r w:rsidRPr="00483EBE">
              <w:rPr>
                <w:sz w:val="12"/>
                <w:szCs w:val="12"/>
              </w:rPr>
              <w:t>$368</w:t>
            </w:r>
          </w:p>
        </w:tc>
        <w:tc>
          <w:tcPr>
            <w:tcW w:w="0" w:type="auto"/>
            <w:tcBorders>
              <w:top w:val="nil"/>
              <w:left w:val="nil"/>
              <w:bottom w:val="single" w:sz="4" w:space="0" w:color="auto"/>
              <w:right w:val="single" w:sz="4" w:space="0" w:color="auto"/>
            </w:tcBorders>
            <w:shd w:val="clear" w:color="auto" w:fill="auto"/>
            <w:vAlign w:val="center"/>
            <w:hideMark/>
          </w:tcPr>
          <w:p w14:paraId="5F40E92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83E9E98" w14:textId="77777777" w:rsidR="00572995" w:rsidRPr="00483EBE" w:rsidRDefault="00572995" w:rsidP="00E8324D">
            <w:pPr>
              <w:pStyle w:val="Tablas"/>
              <w:rPr>
                <w:sz w:val="12"/>
                <w:szCs w:val="12"/>
              </w:rPr>
            </w:pPr>
            <w:r w:rsidRPr="00483EBE">
              <w:rPr>
                <w:sz w:val="12"/>
                <w:szCs w:val="12"/>
              </w:rPr>
              <w:t>SEBD</w:t>
            </w:r>
          </w:p>
        </w:tc>
      </w:tr>
      <w:tr w:rsidR="00572995" w:rsidRPr="00483EBE" w14:paraId="62E13F2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640C16D"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1D493536"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1C8B1E74" w14:textId="77777777" w:rsidR="00572995" w:rsidRPr="00483EBE" w:rsidRDefault="00572995" w:rsidP="00E8324D">
            <w:pPr>
              <w:pStyle w:val="Tablas"/>
              <w:rPr>
                <w:sz w:val="12"/>
                <w:szCs w:val="12"/>
              </w:rPr>
            </w:pPr>
            <w:r w:rsidRPr="00483EBE">
              <w:rPr>
                <w:sz w:val="12"/>
                <w:szCs w:val="12"/>
              </w:rPr>
              <w:t>$130,883</w:t>
            </w:r>
          </w:p>
        </w:tc>
        <w:tc>
          <w:tcPr>
            <w:tcW w:w="0" w:type="auto"/>
            <w:tcBorders>
              <w:top w:val="nil"/>
              <w:left w:val="nil"/>
              <w:bottom w:val="single" w:sz="4" w:space="0" w:color="auto"/>
              <w:right w:val="single" w:sz="4" w:space="0" w:color="auto"/>
            </w:tcBorders>
            <w:shd w:val="clear" w:color="auto" w:fill="auto"/>
            <w:vAlign w:val="center"/>
            <w:hideMark/>
          </w:tcPr>
          <w:p w14:paraId="201C06B5" w14:textId="77777777" w:rsidR="00572995" w:rsidRPr="00483EBE" w:rsidRDefault="00572995" w:rsidP="00E8324D">
            <w:pPr>
              <w:pStyle w:val="Tablas"/>
              <w:rPr>
                <w:sz w:val="12"/>
                <w:szCs w:val="12"/>
              </w:rPr>
            </w:pPr>
            <w:r w:rsidRPr="00483EBE">
              <w:rPr>
                <w:sz w:val="12"/>
                <w:szCs w:val="12"/>
              </w:rPr>
              <w:t>$3,116</w:t>
            </w:r>
          </w:p>
        </w:tc>
        <w:tc>
          <w:tcPr>
            <w:tcW w:w="0" w:type="auto"/>
            <w:tcBorders>
              <w:top w:val="nil"/>
              <w:left w:val="nil"/>
              <w:bottom w:val="single" w:sz="4" w:space="0" w:color="auto"/>
              <w:right w:val="single" w:sz="4" w:space="0" w:color="auto"/>
            </w:tcBorders>
            <w:shd w:val="clear" w:color="auto" w:fill="auto"/>
            <w:vAlign w:val="center"/>
            <w:hideMark/>
          </w:tcPr>
          <w:p w14:paraId="6E3A1AED"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4627F9B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6A4F3C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28AF2D"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10D50653" w14:textId="77777777" w:rsidR="00572995" w:rsidRPr="00483EBE" w:rsidRDefault="00572995" w:rsidP="00E8324D">
            <w:pPr>
              <w:pStyle w:val="Tablas"/>
              <w:rPr>
                <w:sz w:val="12"/>
                <w:szCs w:val="12"/>
              </w:rPr>
            </w:pPr>
            <w:r w:rsidRPr="00483EBE">
              <w:rPr>
                <w:sz w:val="12"/>
                <w:szCs w:val="12"/>
              </w:rPr>
              <w:t xml:space="preserve">349 </w:t>
            </w:r>
          </w:p>
        </w:tc>
        <w:tc>
          <w:tcPr>
            <w:tcW w:w="0" w:type="auto"/>
            <w:tcBorders>
              <w:top w:val="nil"/>
              <w:left w:val="nil"/>
              <w:bottom w:val="single" w:sz="4" w:space="0" w:color="auto"/>
              <w:right w:val="single" w:sz="4" w:space="0" w:color="auto"/>
            </w:tcBorders>
            <w:shd w:val="clear" w:color="auto" w:fill="auto"/>
            <w:vAlign w:val="center"/>
            <w:hideMark/>
          </w:tcPr>
          <w:p w14:paraId="576061BD" w14:textId="77777777" w:rsidR="00572995" w:rsidRPr="00483EBE" w:rsidRDefault="00572995" w:rsidP="00E8324D">
            <w:pPr>
              <w:pStyle w:val="Tablas"/>
              <w:rPr>
                <w:sz w:val="12"/>
                <w:szCs w:val="12"/>
              </w:rPr>
            </w:pPr>
            <w:r w:rsidRPr="00483EBE">
              <w:rPr>
                <w:sz w:val="12"/>
                <w:szCs w:val="12"/>
              </w:rPr>
              <w:t>$1,654,134</w:t>
            </w:r>
          </w:p>
        </w:tc>
        <w:tc>
          <w:tcPr>
            <w:tcW w:w="0" w:type="auto"/>
            <w:tcBorders>
              <w:top w:val="nil"/>
              <w:left w:val="nil"/>
              <w:bottom w:val="single" w:sz="4" w:space="0" w:color="auto"/>
              <w:right w:val="single" w:sz="4" w:space="0" w:color="auto"/>
            </w:tcBorders>
            <w:shd w:val="clear" w:color="auto" w:fill="auto"/>
            <w:vAlign w:val="center"/>
            <w:hideMark/>
          </w:tcPr>
          <w:p w14:paraId="27926EDC" w14:textId="77777777" w:rsidR="00572995" w:rsidRPr="00483EBE" w:rsidRDefault="00572995" w:rsidP="00E8324D">
            <w:pPr>
              <w:pStyle w:val="Tablas"/>
              <w:rPr>
                <w:sz w:val="12"/>
                <w:szCs w:val="12"/>
              </w:rPr>
            </w:pPr>
            <w:r w:rsidRPr="00483EBE">
              <w:rPr>
                <w:sz w:val="12"/>
                <w:szCs w:val="12"/>
              </w:rPr>
              <w:t>$4,740</w:t>
            </w:r>
          </w:p>
        </w:tc>
        <w:tc>
          <w:tcPr>
            <w:tcW w:w="0" w:type="auto"/>
            <w:tcBorders>
              <w:top w:val="nil"/>
              <w:left w:val="nil"/>
              <w:bottom w:val="single" w:sz="4" w:space="0" w:color="auto"/>
              <w:right w:val="single" w:sz="4" w:space="0" w:color="auto"/>
            </w:tcBorders>
            <w:shd w:val="clear" w:color="auto" w:fill="auto"/>
            <w:vAlign w:val="center"/>
            <w:hideMark/>
          </w:tcPr>
          <w:p w14:paraId="37B3ABF7" w14:textId="77777777" w:rsidR="00572995" w:rsidRPr="00483EBE" w:rsidRDefault="00572995" w:rsidP="00E8324D">
            <w:pPr>
              <w:pStyle w:val="Tablas"/>
              <w:rPr>
                <w:sz w:val="12"/>
                <w:szCs w:val="12"/>
              </w:rPr>
            </w:pPr>
            <w:r w:rsidRPr="00483EBE">
              <w:rPr>
                <w:sz w:val="12"/>
                <w:szCs w:val="12"/>
              </w:rPr>
              <w:t>$395</w:t>
            </w:r>
          </w:p>
        </w:tc>
        <w:tc>
          <w:tcPr>
            <w:tcW w:w="0" w:type="auto"/>
            <w:tcBorders>
              <w:top w:val="nil"/>
              <w:left w:val="nil"/>
              <w:bottom w:val="single" w:sz="4" w:space="0" w:color="auto"/>
              <w:right w:val="single" w:sz="4" w:space="0" w:color="auto"/>
            </w:tcBorders>
            <w:shd w:val="clear" w:color="auto" w:fill="auto"/>
            <w:vAlign w:val="center"/>
            <w:hideMark/>
          </w:tcPr>
          <w:p w14:paraId="02D8E57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5E8E68B" w14:textId="77777777" w:rsidR="00572995" w:rsidRPr="00483EBE" w:rsidRDefault="00572995" w:rsidP="00E8324D">
            <w:pPr>
              <w:pStyle w:val="Tablas"/>
              <w:rPr>
                <w:sz w:val="12"/>
                <w:szCs w:val="12"/>
              </w:rPr>
            </w:pPr>
            <w:r w:rsidRPr="00483EBE">
              <w:rPr>
                <w:sz w:val="12"/>
                <w:szCs w:val="12"/>
              </w:rPr>
              <w:t>SEBD</w:t>
            </w:r>
          </w:p>
        </w:tc>
      </w:tr>
      <w:tr w:rsidR="00572995" w:rsidRPr="00483EBE" w14:paraId="2CD458C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641D300"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6489A8A"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3A5D7D92" w14:textId="77777777" w:rsidR="00572995" w:rsidRPr="00483EBE" w:rsidRDefault="00572995" w:rsidP="00E8324D">
            <w:pPr>
              <w:pStyle w:val="Tablas"/>
              <w:rPr>
                <w:sz w:val="12"/>
                <w:szCs w:val="12"/>
              </w:rPr>
            </w:pPr>
            <w:r w:rsidRPr="00483EBE">
              <w:rPr>
                <w:sz w:val="12"/>
                <w:szCs w:val="12"/>
              </w:rPr>
              <w:t>$115,741</w:t>
            </w:r>
          </w:p>
        </w:tc>
        <w:tc>
          <w:tcPr>
            <w:tcW w:w="0" w:type="auto"/>
            <w:tcBorders>
              <w:top w:val="nil"/>
              <w:left w:val="nil"/>
              <w:bottom w:val="single" w:sz="4" w:space="0" w:color="auto"/>
              <w:right w:val="single" w:sz="4" w:space="0" w:color="auto"/>
            </w:tcBorders>
            <w:shd w:val="clear" w:color="auto" w:fill="auto"/>
            <w:vAlign w:val="center"/>
            <w:hideMark/>
          </w:tcPr>
          <w:p w14:paraId="2FA710EC" w14:textId="77777777" w:rsidR="00572995" w:rsidRPr="00483EBE" w:rsidRDefault="00572995" w:rsidP="00E8324D">
            <w:pPr>
              <w:pStyle w:val="Tablas"/>
              <w:rPr>
                <w:sz w:val="12"/>
                <w:szCs w:val="12"/>
              </w:rPr>
            </w:pPr>
            <w:r w:rsidRPr="00483EBE">
              <w:rPr>
                <w:sz w:val="12"/>
                <w:szCs w:val="12"/>
              </w:rPr>
              <w:t>$3,215</w:t>
            </w:r>
          </w:p>
        </w:tc>
        <w:tc>
          <w:tcPr>
            <w:tcW w:w="0" w:type="auto"/>
            <w:tcBorders>
              <w:top w:val="nil"/>
              <w:left w:val="nil"/>
              <w:bottom w:val="single" w:sz="4" w:space="0" w:color="auto"/>
              <w:right w:val="single" w:sz="4" w:space="0" w:color="auto"/>
            </w:tcBorders>
            <w:shd w:val="clear" w:color="auto" w:fill="auto"/>
            <w:vAlign w:val="center"/>
            <w:hideMark/>
          </w:tcPr>
          <w:p w14:paraId="37410121"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53D52F3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48073B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EE34809"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304F48FA" w14:textId="77777777" w:rsidR="00572995" w:rsidRPr="00483EBE" w:rsidRDefault="00572995" w:rsidP="00E8324D">
            <w:pPr>
              <w:pStyle w:val="Tablas"/>
              <w:rPr>
                <w:sz w:val="12"/>
                <w:szCs w:val="12"/>
              </w:rPr>
            </w:pPr>
            <w:r w:rsidRPr="00483EBE">
              <w:rPr>
                <w:sz w:val="12"/>
                <w:szCs w:val="12"/>
              </w:rPr>
              <w:t xml:space="preserve">348 </w:t>
            </w:r>
          </w:p>
        </w:tc>
        <w:tc>
          <w:tcPr>
            <w:tcW w:w="0" w:type="auto"/>
            <w:tcBorders>
              <w:top w:val="nil"/>
              <w:left w:val="nil"/>
              <w:bottom w:val="single" w:sz="4" w:space="0" w:color="auto"/>
              <w:right w:val="single" w:sz="4" w:space="0" w:color="auto"/>
            </w:tcBorders>
            <w:shd w:val="clear" w:color="auto" w:fill="auto"/>
            <w:vAlign w:val="center"/>
            <w:hideMark/>
          </w:tcPr>
          <w:p w14:paraId="6CAF7223" w14:textId="77777777" w:rsidR="00572995" w:rsidRPr="00483EBE" w:rsidRDefault="00572995" w:rsidP="00E8324D">
            <w:pPr>
              <w:pStyle w:val="Tablas"/>
              <w:rPr>
                <w:sz w:val="12"/>
                <w:szCs w:val="12"/>
              </w:rPr>
            </w:pPr>
            <w:r w:rsidRPr="00483EBE">
              <w:rPr>
                <w:sz w:val="12"/>
                <w:szCs w:val="12"/>
              </w:rPr>
              <w:t>$1,615,298</w:t>
            </w:r>
          </w:p>
        </w:tc>
        <w:tc>
          <w:tcPr>
            <w:tcW w:w="0" w:type="auto"/>
            <w:tcBorders>
              <w:top w:val="nil"/>
              <w:left w:val="nil"/>
              <w:bottom w:val="single" w:sz="4" w:space="0" w:color="auto"/>
              <w:right w:val="single" w:sz="4" w:space="0" w:color="auto"/>
            </w:tcBorders>
            <w:shd w:val="clear" w:color="auto" w:fill="auto"/>
            <w:vAlign w:val="center"/>
            <w:hideMark/>
          </w:tcPr>
          <w:p w14:paraId="21BAA852" w14:textId="77777777" w:rsidR="00572995" w:rsidRPr="00483EBE" w:rsidRDefault="00572995" w:rsidP="00E8324D">
            <w:pPr>
              <w:pStyle w:val="Tablas"/>
              <w:rPr>
                <w:sz w:val="12"/>
                <w:szCs w:val="12"/>
              </w:rPr>
            </w:pPr>
            <w:r w:rsidRPr="00483EBE">
              <w:rPr>
                <w:sz w:val="12"/>
                <w:szCs w:val="12"/>
              </w:rPr>
              <w:t>$4,642</w:t>
            </w:r>
          </w:p>
        </w:tc>
        <w:tc>
          <w:tcPr>
            <w:tcW w:w="0" w:type="auto"/>
            <w:tcBorders>
              <w:top w:val="nil"/>
              <w:left w:val="nil"/>
              <w:bottom w:val="single" w:sz="4" w:space="0" w:color="auto"/>
              <w:right w:val="single" w:sz="4" w:space="0" w:color="auto"/>
            </w:tcBorders>
            <w:shd w:val="clear" w:color="auto" w:fill="auto"/>
            <w:vAlign w:val="center"/>
            <w:hideMark/>
          </w:tcPr>
          <w:p w14:paraId="10D81228" w14:textId="77777777" w:rsidR="00572995" w:rsidRPr="00483EBE" w:rsidRDefault="00572995" w:rsidP="00E8324D">
            <w:pPr>
              <w:pStyle w:val="Tablas"/>
              <w:rPr>
                <w:sz w:val="12"/>
                <w:szCs w:val="12"/>
              </w:rPr>
            </w:pPr>
            <w:r w:rsidRPr="00483EBE">
              <w:rPr>
                <w:sz w:val="12"/>
                <w:szCs w:val="12"/>
              </w:rPr>
              <w:t>$387</w:t>
            </w:r>
          </w:p>
        </w:tc>
        <w:tc>
          <w:tcPr>
            <w:tcW w:w="0" w:type="auto"/>
            <w:tcBorders>
              <w:top w:val="nil"/>
              <w:left w:val="nil"/>
              <w:bottom w:val="single" w:sz="4" w:space="0" w:color="auto"/>
              <w:right w:val="single" w:sz="4" w:space="0" w:color="auto"/>
            </w:tcBorders>
            <w:shd w:val="clear" w:color="auto" w:fill="auto"/>
            <w:vAlign w:val="center"/>
            <w:hideMark/>
          </w:tcPr>
          <w:p w14:paraId="4C3D3D2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45F0875" w14:textId="77777777" w:rsidR="00572995" w:rsidRPr="00483EBE" w:rsidRDefault="00572995" w:rsidP="00E8324D">
            <w:pPr>
              <w:pStyle w:val="Tablas"/>
              <w:rPr>
                <w:sz w:val="12"/>
                <w:szCs w:val="12"/>
              </w:rPr>
            </w:pPr>
            <w:r w:rsidRPr="00483EBE">
              <w:rPr>
                <w:sz w:val="12"/>
                <w:szCs w:val="12"/>
              </w:rPr>
              <w:t>SEBD</w:t>
            </w:r>
          </w:p>
        </w:tc>
      </w:tr>
      <w:tr w:rsidR="00572995" w:rsidRPr="00483EBE" w14:paraId="46548CF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95FAAAE"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1623B8DE"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7377E673" w14:textId="77777777" w:rsidR="00572995" w:rsidRPr="00483EBE" w:rsidRDefault="00572995" w:rsidP="00E8324D">
            <w:pPr>
              <w:pStyle w:val="Tablas"/>
              <w:rPr>
                <w:sz w:val="12"/>
                <w:szCs w:val="12"/>
              </w:rPr>
            </w:pPr>
            <w:r w:rsidRPr="00483EBE">
              <w:rPr>
                <w:sz w:val="12"/>
                <w:szCs w:val="12"/>
              </w:rPr>
              <w:t>$97,305</w:t>
            </w:r>
          </w:p>
        </w:tc>
        <w:tc>
          <w:tcPr>
            <w:tcW w:w="0" w:type="auto"/>
            <w:tcBorders>
              <w:top w:val="nil"/>
              <w:left w:val="nil"/>
              <w:bottom w:val="single" w:sz="4" w:space="0" w:color="auto"/>
              <w:right w:val="single" w:sz="4" w:space="0" w:color="auto"/>
            </w:tcBorders>
            <w:shd w:val="clear" w:color="auto" w:fill="auto"/>
            <w:vAlign w:val="center"/>
            <w:hideMark/>
          </w:tcPr>
          <w:p w14:paraId="59D0C6C2" w14:textId="77777777" w:rsidR="00572995" w:rsidRPr="00483EBE" w:rsidRDefault="00572995" w:rsidP="00E8324D">
            <w:pPr>
              <w:pStyle w:val="Tablas"/>
              <w:rPr>
                <w:sz w:val="12"/>
                <w:szCs w:val="12"/>
              </w:rPr>
            </w:pPr>
            <w:r w:rsidRPr="00483EBE">
              <w:rPr>
                <w:sz w:val="12"/>
                <w:szCs w:val="12"/>
              </w:rPr>
              <w:t>$3,139</w:t>
            </w:r>
          </w:p>
        </w:tc>
        <w:tc>
          <w:tcPr>
            <w:tcW w:w="0" w:type="auto"/>
            <w:tcBorders>
              <w:top w:val="nil"/>
              <w:left w:val="nil"/>
              <w:bottom w:val="single" w:sz="4" w:space="0" w:color="auto"/>
              <w:right w:val="single" w:sz="4" w:space="0" w:color="auto"/>
            </w:tcBorders>
            <w:shd w:val="clear" w:color="auto" w:fill="auto"/>
            <w:vAlign w:val="center"/>
            <w:hideMark/>
          </w:tcPr>
          <w:p w14:paraId="3965D96B" w14:textId="77777777" w:rsidR="00572995" w:rsidRPr="00483EBE" w:rsidRDefault="00572995" w:rsidP="00E8324D">
            <w:pPr>
              <w:pStyle w:val="Tablas"/>
              <w:rPr>
                <w:sz w:val="12"/>
                <w:szCs w:val="12"/>
              </w:rPr>
            </w:pPr>
            <w:r w:rsidRPr="00483EBE">
              <w:rPr>
                <w:sz w:val="12"/>
                <w:szCs w:val="12"/>
              </w:rPr>
              <w:t>$262</w:t>
            </w:r>
          </w:p>
        </w:tc>
        <w:tc>
          <w:tcPr>
            <w:tcW w:w="0" w:type="auto"/>
            <w:tcBorders>
              <w:top w:val="nil"/>
              <w:left w:val="nil"/>
              <w:bottom w:val="single" w:sz="4" w:space="0" w:color="auto"/>
              <w:right w:val="single" w:sz="4" w:space="0" w:color="auto"/>
            </w:tcBorders>
            <w:shd w:val="clear" w:color="auto" w:fill="auto"/>
            <w:vAlign w:val="center"/>
            <w:hideMark/>
          </w:tcPr>
          <w:p w14:paraId="1352A8A7"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51CCCC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E904C0"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32680966" w14:textId="77777777" w:rsidR="00572995" w:rsidRPr="00483EBE" w:rsidRDefault="00572995" w:rsidP="00E8324D">
            <w:pPr>
              <w:pStyle w:val="Tablas"/>
              <w:rPr>
                <w:sz w:val="12"/>
                <w:szCs w:val="12"/>
              </w:rPr>
            </w:pPr>
            <w:r w:rsidRPr="00483EBE">
              <w:rPr>
                <w:sz w:val="12"/>
                <w:szCs w:val="12"/>
              </w:rPr>
              <w:t xml:space="preserve">364 </w:t>
            </w:r>
          </w:p>
        </w:tc>
        <w:tc>
          <w:tcPr>
            <w:tcW w:w="0" w:type="auto"/>
            <w:tcBorders>
              <w:top w:val="nil"/>
              <w:left w:val="nil"/>
              <w:bottom w:val="single" w:sz="4" w:space="0" w:color="auto"/>
              <w:right w:val="single" w:sz="4" w:space="0" w:color="auto"/>
            </w:tcBorders>
            <w:shd w:val="clear" w:color="auto" w:fill="auto"/>
            <w:vAlign w:val="center"/>
            <w:hideMark/>
          </w:tcPr>
          <w:p w14:paraId="5C3D6B1D" w14:textId="77777777" w:rsidR="00572995" w:rsidRPr="00483EBE" w:rsidRDefault="00572995" w:rsidP="00E8324D">
            <w:pPr>
              <w:pStyle w:val="Tablas"/>
              <w:rPr>
                <w:sz w:val="12"/>
                <w:szCs w:val="12"/>
              </w:rPr>
            </w:pPr>
            <w:r w:rsidRPr="00483EBE">
              <w:rPr>
                <w:sz w:val="12"/>
                <w:szCs w:val="12"/>
              </w:rPr>
              <w:t>$1,776,069</w:t>
            </w:r>
          </w:p>
        </w:tc>
        <w:tc>
          <w:tcPr>
            <w:tcW w:w="0" w:type="auto"/>
            <w:tcBorders>
              <w:top w:val="nil"/>
              <w:left w:val="nil"/>
              <w:bottom w:val="single" w:sz="4" w:space="0" w:color="auto"/>
              <w:right w:val="single" w:sz="4" w:space="0" w:color="auto"/>
            </w:tcBorders>
            <w:shd w:val="clear" w:color="auto" w:fill="auto"/>
            <w:vAlign w:val="center"/>
            <w:hideMark/>
          </w:tcPr>
          <w:p w14:paraId="3B43284E" w14:textId="77777777" w:rsidR="00572995" w:rsidRPr="00483EBE" w:rsidRDefault="00572995" w:rsidP="00E8324D">
            <w:pPr>
              <w:pStyle w:val="Tablas"/>
              <w:rPr>
                <w:sz w:val="12"/>
                <w:szCs w:val="12"/>
              </w:rPr>
            </w:pPr>
            <w:r w:rsidRPr="00483EBE">
              <w:rPr>
                <w:sz w:val="12"/>
                <w:szCs w:val="12"/>
              </w:rPr>
              <w:t>$4,879</w:t>
            </w:r>
          </w:p>
        </w:tc>
        <w:tc>
          <w:tcPr>
            <w:tcW w:w="0" w:type="auto"/>
            <w:tcBorders>
              <w:top w:val="nil"/>
              <w:left w:val="nil"/>
              <w:bottom w:val="single" w:sz="4" w:space="0" w:color="auto"/>
              <w:right w:val="single" w:sz="4" w:space="0" w:color="auto"/>
            </w:tcBorders>
            <w:shd w:val="clear" w:color="auto" w:fill="auto"/>
            <w:vAlign w:val="center"/>
            <w:hideMark/>
          </w:tcPr>
          <w:p w14:paraId="1A6DF9FA" w14:textId="77777777" w:rsidR="00572995" w:rsidRPr="00483EBE" w:rsidRDefault="00572995" w:rsidP="00E8324D">
            <w:pPr>
              <w:pStyle w:val="Tablas"/>
              <w:rPr>
                <w:sz w:val="12"/>
                <w:szCs w:val="12"/>
              </w:rPr>
            </w:pPr>
            <w:r w:rsidRPr="00483EBE">
              <w:rPr>
                <w:sz w:val="12"/>
                <w:szCs w:val="12"/>
              </w:rPr>
              <w:t>$407</w:t>
            </w:r>
          </w:p>
        </w:tc>
        <w:tc>
          <w:tcPr>
            <w:tcW w:w="0" w:type="auto"/>
            <w:tcBorders>
              <w:top w:val="nil"/>
              <w:left w:val="nil"/>
              <w:bottom w:val="single" w:sz="4" w:space="0" w:color="auto"/>
              <w:right w:val="single" w:sz="4" w:space="0" w:color="auto"/>
            </w:tcBorders>
            <w:shd w:val="clear" w:color="auto" w:fill="auto"/>
            <w:vAlign w:val="center"/>
            <w:hideMark/>
          </w:tcPr>
          <w:p w14:paraId="081BA3CC"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7677086" w14:textId="77777777" w:rsidR="00572995" w:rsidRPr="00483EBE" w:rsidRDefault="00572995" w:rsidP="00E8324D">
            <w:pPr>
              <w:pStyle w:val="Tablas"/>
              <w:rPr>
                <w:sz w:val="12"/>
                <w:szCs w:val="12"/>
              </w:rPr>
            </w:pPr>
            <w:r w:rsidRPr="00483EBE">
              <w:rPr>
                <w:sz w:val="12"/>
                <w:szCs w:val="12"/>
              </w:rPr>
              <w:t>SEBD</w:t>
            </w:r>
          </w:p>
        </w:tc>
      </w:tr>
      <w:tr w:rsidR="00572995" w:rsidRPr="00483EBE" w14:paraId="23BAB7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4B18440"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192B69E3"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3189ECC0" w14:textId="77777777" w:rsidR="00572995" w:rsidRPr="00483EBE" w:rsidRDefault="00572995" w:rsidP="00E8324D">
            <w:pPr>
              <w:pStyle w:val="Tablas"/>
              <w:rPr>
                <w:sz w:val="12"/>
                <w:szCs w:val="12"/>
              </w:rPr>
            </w:pPr>
            <w:r w:rsidRPr="00483EBE">
              <w:rPr>
                <w:sz w:val="12"/>
                <w:szCs w:val="12"/>
              </w:rPr>
              <w:t>$105,261</w:t>
            </w:r>
          </w:p>
        </w:tc>
        <w:tc>
          <w:tcPr>
            <w:tcW w:w="0" w:type="auto"/>
            <w:tcBorders>
              <w:top w:val="nil"/>
              <w:left w:val="nil"/>
              <w:bottom w:val="single" w:sz="4" w:space="0" w:color="auto"/>
              <w:right w:val="single" w:sz="4" w:space="0" w:color="auto"/>
            </w:tcBorders>
            <w:shd w:val="clear" w:color="auto" w:fill="auto"/>
            <w:vAlign w:val="center"/>
            <w:hideMark/>
          </w:tcPr>
          <w:p w14:paraId="134C5FF0" w14:textId="77777777" w:rsidR="00572995" w:rsidRPr="00483EBE" w:rsidRDefault="00572995" w:rsidP="00E8324D">
            <w:pPr>
              <w:pStyle w:val="Tablas"/>
              <w:rPr>
                <w:sz w:val="12"/>
                <w:szCs w:val="12"/>
              </w:rPr>
            </w:pPr>
            <w:r w:rsidRPr="00483EBE">
              <w:rPr>
                <w:sz w:val="12"/>
                <w:szCs w:val="12"/>
              </w:rPr>
              <w:t>$3,007</w:t>
            </w:r>
          </w:p>
        </w:tc>
        <w:tc>
          <w:tcPr>
            <w:tcW w:w="0" w:type="auto"/>
            <w:tcBorders>
              <w:top w:val="nil"/>
              <w:left w:val="nil"/>
              <w:bottom w:val="single" w:sz="4" w:space="0" w:color="auto"/>
              <w:right w:val="single" w:sz="4" w:space="0" w:color="auto"/>
            </w:tcBorders>
            <w:shd w:val="clear" w:color="auto" w:fill="auto"/>
            <w:vAlign w:val="center"/>
            <w:hideMark/>
          </w:tcPr>
          <w:p w14:paraId="74093A06"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2103EF1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EF8296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588140"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3B633643" w14:textId="77777777" w:rsidR="00572995" w:rsidRPr="00483EBE" w:rsidRDefault="00572995" w:rsidP="00E8324D">
            <w:pPr>
              <w:pStyle w:val="Tablas"/>
              <w:rPr>
                <w:sz w:val="12"/>
                <w:szCs w:val="12"/>
              </w:rPr>
            </w:pPr>
            <w:r w:rsidRPr="00483EBE">
              <w:rPr>
                <w:sz w:val="12"/>
                <w:szCs w:val="12"/>
              </w:rPr>
              <w:t xml:space="preserve">366 </w:t>
            </w:r>
          </w:p>
        </w:tc>
        <w:tc>
          <w:tcPr>
            <w:tcW w:w="0" w:type="auto"/>
            <w:tcBorders>
              <w:top w:val="nil"/>
              <w:left w:val="nil"/>
              <w:bottom w:val="single" w:sz="4" w:space="0" w:color="auto"/>
              <w:right w:val="single" w:sz="4" w:space="0" w:color="auto"/>
            </w:tcBorders>
            <w:shd w:val="clear" w:color="auto" w:fill="auto"/>
            <w:vAlign w:val="center"/>
            <w:hideMark/>
          </w:tcPr>
          <w:p w14:paraId="68258327" w14:textId="77777777" w:rsidR="00572995" w:rsidRPr="00483EBE" w:rsidRDefault="00572995" w:rsidP="00E8324D">
            <w:pPr>
              <w:pStyle w:val="Tablas"/>
              <w:rPr>
                <w:sz w:val="12"/>
                <w:szCs w:val="12"/>
              </w:rPr>
            </w:pPr>
            <w:r w:rsidRPr="00483EBE">
              <w:rPr>
                <w:sz w:val="12"/>
                <w:szCs w:val="12"/>
              </w:rPr>
              <w:t>$1,874,564</w:t>
            </w:r>
          </w:p>
        </w:tc>
        <w:tc>
          <w:tcPr>
            <w:tcW w:w="0" w:type="auto"/>
            <w:tcBorders>
              <w:top w:val="nil"/>
              <w:left w:val="nil"/>
              <w:bottom w:val="single" w:sz="4" w:space="0" w:color="auto"/>
              <w:right w:val="single" w:sz="4" w:space="0" w:color="auto"/>
            </w:tcBorders>
            <w:shd w:val="clear" w:color="auto" w:fill="auto"/>
            <w:vAlign w:val="center"/>
            <w:hideMark/>
          </w:tcPr>
          <w:p w14:paraId="02255A2B" w14:textId="77777777" w:rsidR="00572995" w:rsidRPr="00483EBE" w:rsidRDefault="00572995" w:rsidP="00E8324D">
            <w:pPr>
              <w:pStyle w:val="Tablas"/>
              <w:rPr>
                <w:sz w:val="12"/>
                <w:szCs w:val="12"/>
              </w:rPr>
            </w:pPr>
            <w:r w:rsidRPr="00483EBE">
              <w:rPr>
                <w:sz w:val="12"/>
                <w:szCs w:val="12"/>
              </w:rPr>
              <w:t>$5,122</w:t>
            </w:r>
          </w:p>
        </w:tc>
        <w:tc>
          <w:tcPr>
            <w:tcW w:w="0" w:type="auto"/>
            <w:tcBorders>
              <w:top w:val="nil"/>
              <w:left w:val="nil"/>
              <w:bottom w:val="single" w:sz="4" w:space="0" w:color="auto"/>
              <w:right w:val="single" w:sz="4" w:space="0" w:color="auto"/>
            </w:tcBorders>
            <w:shd w:val="clear" w:color="auto" w:fill="auto"/>
            <w:vAlign w:val="center"/>
            <w:hideMark/>
          </w:tcPr>
          <w:p w14:paraId="6E00E5C8" w14:textId="77777777" w:rsidR="00572995" w:rsidRPr="00483EBE" w:rsidRDefault="00572995" w:rsidP="00E8324D">
            <w:pPr>
              <w:pStyle w:val="Tablas"/>
              <w:rPr>
                <w:sz w:val="12"/>
                <w:szCs w:val="12"/>
              </w:rPr>
            </w:pPr>
            <w:r w:rsidRPr="00483EBE">
              <w:rPr>
                <w:sz w:val="12"/>
                <w:szCs w:val="12"/>
              </w:rPr>
              <w:t>$427</w:t>
            </w:r>
          </w:p>
        </w:tc>
        <w:tc>
          <w:tcPr>
            <w:tcW w:w="0" w:type="auto"/>
            <w:tcBorders>
              <w:top w:val="nil"/>
              <w:left w:val="nil"/>
              <w:bottom w:val="single" w:sz="4" w:space="0" w:color="auto"/>
              <w:right w:val="single" w:sz="4" w:space="0" w:color="auto"/>
            </w:tcBorders>
            <w:shd w:val="clear" w:color="auto" w:fill="auto"/>
            <w:vAlign w:val="center"/>
            <w:hideMark/>
          </w:tcPr>
          <w:p w14:paraId="337C126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9DB0E27" w14:textId="77777777" w:rsidR="00572995" w:rsidRPr="00483EBE" w:rsidRDefault="00572995" w:rsidP="00E8324D">
            <w:pPr>
              <w:pStyle w:val="Tablas"/>
              <w:rPr>
                <w:sz w:val="12"/>
                <w:szCs w:val="12"/>
              </w:rPr>
            </w:pPr>
            <w:r w:rsidRPr="00483EBE">
              <w:rPr>
                <w:sz w:val="12"/>
                <w:szCs w:val="12"/>
              </w:rPr>
              <w:t>SEBD</w:t>
            </w:r>
          </w:p>
        </w:tc>
      </w:tr>
      <w:tr w:rsidR="00572995" w:rsidRPr="00483EBE" w14:paraId="2D3D63B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0B43C1"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44332B44"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7A0F959C" w14:textId="77777777" w:rsidR="00572995" w:rsidRPr="00483EBE" w:rsidRDefault="00572995" w:rsidP="00E8324D">
            <w:pPr>
              <w:pStyle w:val="Tablas"/>
              <w:rPr>
                <w:sz w:val="12"/>
                <w:szCs w:val="12"/>
              </w:rPr>
            </w:pPr>
            <w:r w:rsidRPr="00483EBE">
              <w:rPr>
                <w:sz w:val="12"/>
                <w:szCs w:val="12"/>
              </w:rPr>
              <w:t>$63,201</w:t>
            </w:r>
          </w:p>
        </w:tc>
        <w:tc>
          <w:tcPr>
            <w:tcW w:w="0" w:type="auto"/>
            <w:tcBorders>
              <w:top w:val="nil"/>
              <w:left w:val="nil"/>
              <w:bottom w:val="single" w:sz="4" w:space="0" w:color="auto"/>
              <w:right w:val="single" w:sz="4" w:space="0" w:color="auto"/>
            </w:tcBorders>
            <w:shd w:val="clear" w:color="auto" w:fill="auto"/>
            <w:vAlign w:val="center"/>
            <w:hideMark/>
          </w:tcPr>
          <w:p w14:paraId="42EB6D92" w14:textId="77777777" w:rsidR="00572995" w:rsidRPr="00483EBE" w:rsidRDefault="00572995" w:rsidP="00E8324D">
            <w:pPr>
              <w:pStyle w:val="Tablas"/>
              <w:rPr>
                <w:sz w:val="12"/>
                <w:szCs w:val="12"/>
              </w:rPr>
            </w:pPr>
            <w:r w:rsidRPr="00483EBE">
              <w:rPr>
                <w:sz w:val="12"/>
                <w:szCs w:val="12"/>
              </w:rPr>
              <w:t>$3,326</w:t>
            </w:r>
          </w:p>
        </w:tc>
        <w:tc>
          <w:tcPr>
            <w:tcW w:w="0" w:type="auto"/>
            <w:tcBorders>
              <w:top w:val="nil"/>
              <w:left w:val="nil"/>
              <w:bottom w:val="single" w:sz="4" w:space="0" w:color="auto"/>
              <w:right w:val="single" w:sz="4" w:space="0" w:color="auto"/>
            </w:tcBorders>
            <w:shd w:val="clear" w:color="auto" w:fill="auto"/>
            <w:vAlign w:val="center"/>
            <w:hideMark/>
          </w:tcPr>
          <w:p w14:paraId="5CD74318" w14:textId="77777777" w:rsidR="00572995" w:rsidRPr="00483EBE" w:rsidRDefault="00572995" w:rsidP="00E8324D">
            <w:pPr>
              <w:pStyle w:val="Tablas"/>
              <w:rPr>
                <w:sz w:val="12"/>
                <w:szCs w:val="12"/>
              </w:rPr>
            </w:pPr>
            <w:r w:rsidRPr="00483EBE">
              <w:rPr>
                <w:sz w:val="12"/>
                <w:szCs w:val="12"/>
              </w:rPr>
              <w:t>$277</w:t>
            </w:r>
          </w:p>
        </w:tc>
        <w:tc>
          <w:tcPr>
            <w:tcW w:w="0" w:type="auto"/>
            <w:tcBorders>
              <w:top w:val="nil"/>
              <w:left w:val="nil"/>
              <w:bottom w:val="single" w:sz="4" w:space="0" w:color="auto"/>
              <w:right w:val="single" w:sz="4" w:space="0" w:color="auto"/>
            </w:tcBorders>
            <w:shd w:val="clear" w:color="auto" w:fill="auto"/>
            <w:vAlign w:val="center"/>
            <w:hideMark/>
          </w:tcPr>
          <w:p w14:paraId="4935CD6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014DE0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967994"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46C2DDBC" w14:textId="77777777" w:rsidR="00572995" w:rsidRPr="00483EBE" w:rsidRDefault="00572995" w:rsidP="00E8324D">
            <w:pPr>
              <w:pStyle w:val="Tablas"/>
              <w:rPr>
                <w:sz w:val="12"/>
                <w:szCs w:val="12"/>
              </w:rPr>
            </w:pPr>
            <w:r w:rsidRPr="00483EBE">
              <w:rPr>
                <w:sz w:val="12"/>
                <w:szCs w:val="12"/>
              </w:rPr>
              <w:t xml:space="preserve">355 </w:t>
            </w:r>
          </w:p>
        </w:tc>
        <w:tc>
          <w:tcPr>
            <w:tcW w:w="0" w:type="auto"/>
            <w:tcBorders>
              <w:top w:val="nil"/>
              <w:left w:val="nil"/>
              <w:bottom w:val="single" w:sz="4" w:space="0" w:color="auto"/>
              <w:right w:val="single" w:sz="4" w:space="0" w:color="auto"/>
            </w:tcBorders>
            <w:shd w:val="clear" w:color="auto" w:fill="auto"/>
            <w:vAlign w:val="center"/>
            <w:hideMark/>
          </w:tcPr>
          <w:p w14:paraId="3CC14D43" w14:textId="77777777" w:rsidR="00572995" w:rsidRPr="00483EBE" w:rsidRDefault="00572995" w:rsidP="00E8324D">
            <w:pPr>
              <w:pStyle w:val="Tablas"/>
              <w:rPr>
                <w:sz w:val="12"/>
                <w:szCs w:val="12"/>
              </w:rPr>
            </w:pPr>
            <w:r w:rsidRPr="00483EBE">
              <w:rPr>
                <w:sz w:val="12"/>
                <w:szCs w:val="12"/>
              </w:rPr>
              <w:t>$1,794,530</w:t>
            </w:r>
          </w:p>
        </w:tc>
        <w:tc>
          <w:tcPr>
            <w:tcW w:w="0" w:type="auto"/>
            <w:tcBorders>
              <w:top w:val="nil"/>
              <w:left w:val="nil"/>
              <w:bottom w:val="single" w:sz="4" w:space="0" w:color="auto"/>
              <w:right w:val="single" w:sz="4" w:space="0" w:color="auto"/>
            </w:tcBorders>
            <w:shd w:val="clear" w:color="auto" w:fill="auto"/>
            <w:vAlign w:val="center"/>
            <w:hideMark/>
          </w:tcPr>
          <w:p w14:paraId="5EBDE69E" w14:textId="77777777" w:rsidR="00572995" w:rsidRPr="00483EBE" w:rsidRDefault="00572995" w:rsidP="00E8324D">
            <w:pPr>
              <w:pStyle w:val="Tablas"/>
              <w:rPr>
                <w:sz w:val="12"/>
                <w:szCs w:val="12"/>
              </w:rPr>
            </w:pPr>
            <w:r w:rsidRPr="00483EBE">
              <w:rPr>
                <w:sz w:val="12"/>
                <w:szCs w:val="12"/>
              </w:rPr>
              <w:t>$5,055</w:t>
            </w:r>
          </w:p>
        </w:tc>
        <w:tc>
          <w:tcPr>
            <w:tcW w:w="0" w:type="auto"/>
            <w:tcBorders>
              <w:top w:val="nil"/>
              <w:left w:val="nil"/>
              <w:bottom w:val="single" w:sz="4" w:space="0" w:color="auto"/>
              <w:right w:val="single" w:sz="4" w:space="0" w:color="auto"/>
            </w:tcBorders>
            <w:shd w:val="clear" w:color="auto" w:fill="auto"/>
            <w:vAlign w:val="center"/>
            <w:hideMark/>
          </w:tcPr>
          <w:p w14:paraId="36452F17" w14:textId="77777777" w:rsidR="00572995" w:rsidRPr="00483EBE" w:rsidRDefault="00572995" w:rsidP="00E8324D">
            <w:pPr>
              <w:pStyle w:val="Tablas"/>
              <w:rPr>
                <w:sz w:val="12"/>
                <w:szCs w:val="12"/>
              </w:rPr>
            </w:pPr>
            <w:r w:rsidRPr="00483EBE">
              <w:rPr>
                <w:sz w:val="12"/>
                <w:szCs w:val="12"/>
              </w:rPr>
              <w:t>$421</w:t>
            </w:r>
          </w:p>
        </w:tc>
        <w:tc>
          <w:tcPr>
            <w:tcW w:w="0" w:type="auto"/>
            <w:tcBorders>
              <w:top w:val="nil"/>
              <w:left w:val="nil"/>
              <w:bottom w:val="single" w:sz="4" w:space="0" w:color="auto"/>
              <w:right w:val="single" w:sz="4" w:space="0" w:color="auto"/>
            </w:tcBorders>
            <w:shd w:val="clear" w:color="auto" w:fill="auto"/>
            <w:vAlign w:val="center"/>
            <w:hideMark/>
          </w:tcPr>
          <w:p w14:paraId="172C4A3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927F70D" w14:textId="77777777" w:rsidR="00572995" w:rsidRPr="00483EBE" w:rsidRDefault="00572995" w:rsidP="00E8324D">
            <w:pPr>
              <w:pStyle w:val="Tablas"/>
              <w:rPr>
                <w:sz w:val="12"/>
                <w:szCs w:val="12"/>
              </w:rPr>
            </w:pPr>
            <w:r w:rsidRPr="00483EBE">
              <w:rPr>
                <w:sz w:val="12"/>
                <w:szCs w:val="12"/>
              </w:rPr>
              <w:t>SEBD</w:t>
            </w:r>
          </w:p>
        </w:tc>
      </w:tr>
      <w:tr w:rsidR="00572995" w:rsidRPr="00483EBE" w14:paraId="7D4C117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286ECE"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552F9533"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1D7BA07E" w14:textId="77777777" w:rsidR="00572995" w:rsidRPr="00483EBE" w:rsidRDefault="00572995" w:rsidP="00E8324D">
            <w:pPr>
              <w:pStyle w:val="Tablas"/>
              <w:rPr>
                <w:sz w:val="12"/>
                <w:szCs w:val="12"/>
              </w:rPr>
            </w:pPr>
            <w:r w:rsidRPr="00483EBE">
              <w:rPr>
                <w:sz w:val="12"/>
                <w:szCs w:val="12"/>
              </w:rPr>
              <w:t>$62,213</w:t>
            </w:r>
          </w:p>
        </w:tc>
        <w:tc>
          <w:tcPr>
            <w:tcW w:w="0" w:type="auto"/>
            <w:tcBorders>
              <w:top w:val="nil"/>
              <w:left w:val="nil"/>
              <w:bottom w:val="single" w:sz="4" w:space="0" w:color="auto"/>
              <w:right w:val="single" w:sz="4" w:space="0" w:color="auto"/>
            </w:tcBorders>
            <w:shd w:val="clear" w:color="auto" w:fill="auto"/>
            <w:vAlign w:val="center"/>
            <w:hideMark/>
          </w:tcPr>
          <w:p w14:paraId="2AC8C8E2" w14:textId="77777777" w:rsidR="00572995" w:rsidRPr="00483EBE" w:rsidRDefault="00572995" w:rsidP="00E8324D">
            <w:pPr>
              <w:pStyle w:val="Tablas"/>
              <w:rPr>
                <w:sz w:val="12"/>
                <w:szCs w:val="12"/>
              </w:rPr>
            </w:pPr>
            <w:r w:rsidRPr="00483EBE">
              <w:rPr>
                <w:sz w:val="12"/>
                <w:szCs w:val="12"/>
              </w:rPr>
              <w:t>$3,274</w:t>
            </w:r>
          </w:p>
        </w:tc>
        <w:tc>
          <w:tcPr>
            <w:tcW w:w="0" w:type="auto"/>
            <w:tcBorders>
              <w:top w:val="nil"/>
              <w:left w:val="nil"/>
              <w:bottom w:val="single" w:sz="4" w:space="0" w:color="auto"/>
              <w:right w:val="single" w:sz="4" w:space="0" w:color="auto"/>
            </w:tcBorders>
            <w:shd w:val="clear" w:color="auto" w:fill="auto"/>
            <w:vAlign w:val="center"/>
            <w:hideMark/>
          </w:tcPr>
          <w:p w14:paraId="73CF4809"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720B7B7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D8CDB0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BC5292"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56B88481" w14:textId="77777777" w:rsidR="00572995" w:rsidRPr="00483EBE" w:rsidRDefault="00572995" w:rsidP="00E8324D">
            <w:pPr>
              <w:pStyle w:val="Tablas"/>
              <w:rPr>
                <w:sz w:val="12"/>
                <w:szCs w:val="12"/>
              </w:rPr>
            </w:pPr>
            <w:r w:rsidRPr="00483EBE">
              <w:rPr>
                <w:sz w:val="12"/>
                <w:szCs w:val="12"/>
              </w:rPr>
              <w:t xml:space="preserve">363 </w:t>
            </w:r>
          </w:p>
        </w:tc>
        <w:tc>
          <w:tcPr>
            <w:tcW w:w="0" w:type="auto"/>
            <w:tcBorders>
              <w:top w:val="nil"/>
              <w:left w:val="nil"/>
              <w:bottom w:val="single" w:sz="4" w:space="0" w:color="auto"/>
              <w:right w:val="single" w:sz="4" w:space="0" w:color="auto"/>
            </w:tcBorders>
            <w:shd w:val="clear" w:color="auto" w:fill="auto"/>
            <w:vAlign w:val="center"/>
            <w:hideMark/>
          </w:tcPr>
          <w:p w14:paraId="7FC01E0E" w14:textId="77777777" w:rsidR="00572995" w:rsidRPr="00483EBE" w:rsidRDefault="00572995" w:rsidP="00E8324D">
            <w:pPr>
              <w:pStyle w:val="Tablas"/>
              <w:rPr>
                <w:sz w:val="12"/>
                <w:szCs w:val="12"/>
              </w:rPr>
            </w:pPr>
            <w:r w:rsidRPr="00483EBE">
              <w:rPr>
                <w:sz w:val="12"/>
                <w:szCs w:val="12"/>
              </w:rPr>
              <w:t>$1,879,793</w:t>
            </w:r>
          </w:p>
        </w:tc>
        <w:tc>
          <w:tcPr>
            <w:tcW w:w="0" w:type="auto"/>
            <w:tcBorders>
              <w:top w:val="nil"/>
              <w:left w:val="nil"/>
              <w:bottom w:val="single" w:sz="4" w:space="0" w:color="auto"/>
              <w:right w:val="single" w:sz="4" w:space="0" w:color="auto"/>
            </w:tcBorders>
            <w:shd w:val="clear" w:color="auto" w:fill="auto"/>
            <w:vAlign w:val="center"/>
            <w:hideMark/>
          </w:tcPr>
          <w:p w14:paraId="084DED16" w14:textId="77777777" w:rsidR="00572995" w:rsidRPr="00483EBE" w:rsidRDefault="00572995" w:rsidP="00E8324D">
            <w:pPr>
              <w:pStyle w:val="Tablas"/>
              <w:rPr>
                <w:sz w:val="12"/>
                <w:szCs w:val="12"/>
              </w:rPr>
            </w:pPr>
            <w:r w:rsidRPr="00483EBE">
              <w:rPr>
                <w:sz w:val="12"/>
                <w:szCs w:val="12"/>
              </w:rPr>
              <w:t>$5,178</w:t>
            </w:r>
          </w:p>
        </w:tc>
        <w:tc>
          <w:tcPr>
            <w:tcW w:w="0" w:type="auto"/>
            <w:tcBorders>
              <w:top w:val="nil"/>
              <w:left w:val="nil"/>
              <w:bottom w:val="single" w:sz="4" w:space="0" w:color="auto"/>
              <w:right w:val="single" w:sz="4" w:space="0" w:color="auto"/>
            </w:tcBorders>
            <w:shd w:val="clear" w:color="auto" w:fill="auto"/>
            <w:vAlign w:val="center"/>
            <w:hideMark/>
          </w:tcPr>
          <w:p w14:paraId="308D0AFB" w14:textId="77777777" w:rsidR="00572995" w:rsidRPr="00483EBE" w:rsidRDefault="00572995" w:rsidP="00E8324D">
            <w:pPr>
              <w:pStyle w:val="Tablas"/>
              <w:rPr>
                <w:sz w:val="12"/>
                <w:szCs w:val="12"/>
              </w:rPr>
            </w:pPr>
            <w:r w:rsidRPr="00483EBE">
              <w:rPr>
                <w:sz w:val="12"/>
                <w:szCs w:val="12"/>
              </w:rPr>
              <w:t>$432</w:t>
            </w:r>
          </w:p>
        </w:tc>
        <w:tc>
          <w:tcPr>
            <w:tcW w:w="0" w:type="auto"/>
            <w:tcBorders>
              <w:top w:val="nil"/>
              <w:left w:val="nil"/>
              <w:bottom w:val="single" w:sz="4" w:space="0" w:color="auto"/>
              <w:right w:val="single" w:sz="4" w:space="0" w:color="auto"/>
            </w:tcBorders>
            <w:shd w:val="clear" w:color="auto" w:fill="auto"/>
            <w:vAlign w:val="center"/>
            <w:hideMark/>
          </w:tcPr>
          <w:p w14:paraId="2DEB1C8C"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FB2E6C6" w14:textId="77777777" w:rsidR="00572995" w:rsidRPr="00483EBE" w:rsidRDefault="00572995" w:rsidP="00E8324D">
            <w:pPr>
              <w:pStyle w:val="Tablas"/>
              <w:rPr>
                <w:sz w:val="12"/>
                <w:szCs w:val="12"/>
              </w:rPr>
            </w:pPr>
            <w:r w:rsidRPr="00483EBE">
              <w:rPr>
                <w:sz w:val="12"/>
                <w:szCs w:val="12"/>
              </w:rPr>
              <w:t>SEBD</w:t>
            </w:r>
          </w:p>
        </w:tc>
      </w:tr>
      <w:tr w:rsidR="00572995" w:rsidRPr="00483EBE" w14:paraId="20C2580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46223F"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1F9CB104"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593FB008" w14:textId="77777777" w:rsidR="00572995" w:rsidRPr="00483EBE" w:rsidRDefault="00572995" w:rsidP="00E8324D">
            <w:pPr>
              <w:pStyle w:val="Tablas"/>
              <w:rPr>
                <w:sz w:val="12"/>
                <w:szCs w:val="12"/>
              </w:rPr>
            </w:pPr>
            <w:r w:rsidRPr="00483EBE">
              <w:rPr>
                <w:sz w:val="12"/>
                <w:szCs w:val="12"/>
              </w:rPr>
              <w:t>$51,430</w:t>
            </w:r>
          </w:p>
        </w:tc>
        <w:tc>
          <w:tcPr>
            <w:tcW w:w="0" w:type="auto"/>
            <w:tcBorders>
              <w:top w:val="nil"/>
              <w:left w:val="nil"/>
              <w:bottom w:val="single" w:sz="4" w:space="0" w:color="auto"/>
              <w:right w:val="single" w:sz="4" w:space="0" w:color="auto"/>
            </w:tcBorders>
            <w:shd w:val="clear" w:color="auto" w:fill="auto"/>
            <w:vAlign w:val="center"/>
            <w:hideMark/>
          </w:tcPr>
          <w:p w14:paraId="7B510AFA" w14:textId="77777777" w:rsidR="00572995" w:rsidRPr="00483EBE" w:rsidRDefault="00572995" w:rsidP="00E8324D">
            <w:pPr>
              <w:pStyle w:val="Tablas"/>
              <w:rPr>
                <w:sz w:val="12"/>
                <w:szCs w:val="12"/>
              </w:rPr>
            </w:pPr>
            <w:r w:rsidRPr="00483EBE">
              <w:rPr>
                <w:sz w:val="12"/>
                <w:szCs w:val="12"/>
              </w:rPr>
              <w:t>$2,857</w:t>
            </w:r>
          </w:p>
        </w:tc>
        <w:tc>
          <w:tcPr>
            <w:tcW w:w="0" w:type="auto"/>
            <w:tcBorders>
              <w:top w:val="nil"/>
              <w:left w:val="nil"/>
              <w:bottom w:val="single" w:sz="4" w:space="0" w:color="auto"/>
              <w:right w:val="single" w:sz="4" w:space="0" w:color="auto"/>
            </w:tcBorders>
            <w:shd w:val="clear" w:color="auto" w:fill="auto"/>
            <w:vAlign w:val="center"/>
            <w:hideMark/>
          </w:tcPr>
          <w:p w14:paraId="6F1F247C"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18C7991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C47E9E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DE6379D"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73F047F1" w14:textId="77777777" w:rsidR="00572995" w:rsidRPr="00483EBE" w:rsidRDefault="00572995" w:rsidP="00E8324D">
            <w:pPr>
              <w:pStyle w:val="Tablas"/>
              <w:rPr>
                <w:sz w:val="12"/>
                <w:szCs w:val="12"/>
              </w:rPr>
            </w:pPr>
            <w:r w:rsidRPr="00483EBE">
              <w:rPr>
                <w:sz w:val="12"/>
                <w:szCs w:val="12"/>
              </w:rPr>
              <w:t xml:space="preserve">371 </w:t>
            </w:r>
          </w:p>
        </w:tc>
        <w:tc>
          <w:tcPr>
            <w:tcW w:w="0" w:type="auto"/>
            <w:tcBorders>
              <w:top w:val="nil"/>
              <w:left w:val="nil"/>
              <w:bottom w:val="single" w:sz="4" w:space="0" w:color="auto"/>
              <w:right w:val="single" w:sz="4" w:space="0" w:color="auto"/>
            </w:tcBorders>
            <w:shd w:val="clear" w:color="auto" w:fill="auto"/>
            <w:vAlign w:val="center"/>
            <w:hideMark/>
          </w:tcPr>
          <w:p w14:paraId="6404D472" w14:textId="77777777" w:rsidR="00572995" w:rsidRPr="00483EBE" w:rsidRDefault="00572995" w:rsidP="00E8324D">
            <w:pPr>
              <w:pStyle w:val="Tablas"/>
              <w:rPr>
                <w:sz w:val="12"/>
                <w:szCs w:val="12"/>
              </w:rPr>
            </w:pPr>
            <w:r w:rsidRPr="00483EBE">
              <w:rPr>
                <w:sz w:val="12"/>
                <w:szCs w:val="12"/>
              </w:rPr>
              <w:t>$1,823,151</w:t>
            </w:r>
          </w:p>
        </w:tc>
        <w:tc>
          <w:tcPr>
            <w:tcW w:w="0" w:type="auto"/>
            <w:tcBorders>
              <w:top w:val="nil"/>
              <w:left w:val="nil"/>
              <w:bottom w:val="single" w:sz="4" w:space="0" w:color="auto"/>
              <w:right w:val="single" w:sz="4" w:space="0" w:color="auto"/>
            </w:tcBorders>
            <w:shd w:val="clear" w:color="auto" w:fill="auto"/>
            <w:vAlign w:val="center"/>
            <w:hideMark/>
          </w:tcPr>
          <w:p w14:paraId="285708D6" w14:textId="77777777" w:rsidR="00572995" w:rsidRPr="00483EBE" w:rsidRDefault="00572995" w:rsidP="00E8324D">
            <w:pPr>
              <w:pStyle w:val="Tablas"/>
              <w:rPr>
                <w:sz w:val="12"/>
                <w:szCs w:val="12"/>
              </w:rPr>
            </w:pPr>
            <w:r w:rsidRPr="00483EBE">
              <w:rPr>
                <w:sz w:val="12"/>
                <w:szCs w:val="12"/>
              </w:rPr>
              <w:t>$4,914</w:t>
            </w:r>
          </w:p>
        </w:tc>
        <w:tc>
          <w:tcPr>
            <w:tcW w:w="0" w:type="auto"/>
            <w:tcBorders>
              <w:top w:val="nil"/>
              <w:left w:val="nil"/>
              <w:bottom w:val="single" w:sz="4" w:space="0" w:color="auto"/>
              <w:right w:val="single" w:sz="4" w:space="0" w:color="auto"/>
            </w:tcBorders>
            <w:shd w:val="clear" w:color="auto" w:fill="auto"/>
            <w:vAlign w:val="center"/>
            <w:hideMark/>
          </w:tcPr>
          <w:p w14:paraId="2DFAB10A" w14:textId="77777777" w:rsidR="00572995" w:rsidRPr="00483EBE" w:rsidRDefault="00572995" w:rsidP="00E8324D">
            <w:pPr>
              <w:pStyle w:val="Tablas"/>
              <w:rPr>
                <w:sz w:val="12"/>
                <w:szCs w:val="12"/>
              </w:rPr>
            </w:pPr>
            <w:r w:rsidRPr="00483EBE">
              <w:rPr>
                <w:sz w:val="12"/>
                <w:szCs w:val="12"/>
              </w:rPr>
              <w:t>$410</w:t>
            </w:r>
          </w:p>
        </w:tc>
        <w:tc>
          <w:tcPr>
            <w:tcW w:w="0" w:type="auto"/>
            <w:tcBorders>
              <w:top w:val="nil"/>
              <w:left w:val="nil"/>
              <w:bottom w:val="single" w:sz="4" w:space="0" w:color="auto"/>
              <w:right w:val="single" w:sz="4" w:space="0" w:color="auto"/>
            </w:tcBorders>
            <w:shd w:val="clear" w:color="auto" w:fill="auto"/>
            <w:vAlign w:val="center"/>
            <w:hideMark/>
          </w:tcPr>
          <w:p w14:paraId="0566A86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E57FE44" w14:textId="77777777" w:rsidR="00572995" w:rsidRPr="00483EBE" w:rsidRDefault="00572995" w:rsidP="00E8324D">
            <w:pPr>
              <w:pStyle w:val="Tablas"/>
              <w:rPr>
                <w:sz w:val="12"/>
                <w:szCs w:val="12"/>
              </w:rPr>
            </w:pPr>
            <w:r w:rsidRPr="00483EBE">
              <w:rPr>
                <w:sz w:val="12"/>
                <w:szCs w:val="12"/>
              </w:rPr>
              <w:t>SEBD</w:t>
            </w:r>
          </w:p>
        </w:tc>
      </w:tr>
      <w:tr w:rsidR="00572995" w:rsidRPr="00483EBE" w14:paraId="74B71D7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AB8293C"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6612C613"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7945BA97" w14:textId="77777777" w:rsidR="00572995" w:rsidRPr="00483EBE" w:rsidRDefault="00572995" w:rsidP="00E8324D">
            <w:pPr>
              <w:pStyle w:val="Tablas"/>
              <w:rPr>
                <w:sz w:val="12"/>
                <w:szCs w:val="12"/>
              </w:rPr>
            </w:pPr>
            <w:r w:rsidRPr="00483EBE">
              <w:rPr>
                <w:sz w:val="12"/>
                <w:szCs w:val="12"/>
              </w:rPr>
              <w:t>$26,403</w:t>
            </w:r>
          </w:p>
        </w:tc>
        <w:tc>
          <w:tcPr>
            <w:tcW w:w="0" w:type="auto"/>
            <w:tcBorders>
              <w:top w:val="nil"/>
              <w:left w:val="nil"/>
              <w:bottom w:val="single" w:sz="4" w:space="0" w:color="auto"/>
              <w:right w:val="single" w:sz="4" w:space="0" w:color="auto"/>
            </w:tcBorders>
            <w:shd w:val="clear" w:color="auto" w:fill="auto"/>
            <w:vAlign w:val="center"/>
            <w:hideMark/>
          </w:tcPr>
          <w:p w14:paraId="03141E15" w14:textId="77777777" w:rsidR="00572995" w:rsidRPr="00483EBE" w:rsidRDefault="00572995" w:rsidP="00E8324D">
            <w:pPr>
              <w:pStyle w:val="Tablas"/>
              <w:rPr>
                <w:sz w:val="12"/>
                <w:szCs w:val="12"/>
              </w:rPr>
            </w:pPr>
            <w:r w:rsidRPr="00483EBE">
              <w:rPr>
                <w:sz w:val="12"/>
                <w:szCs w:val="12"/>
              </w:rPr>
              <w:t>$2,640</w:t>
            </w:r>
          </w:p>
        </w:tc>
        <w:tc>
          <w:tcPr>
            <w:tcW w:w="0" w:type="auto"/>
            <w:tcBorders>
              <w:top w:val="nil"/>
              <w:left w:val="nil"/>
              <w:bottom w:val="single" w:sz="4" w:space="0" w:color="auto"/>
              <w:right w:val="single" w:sz="4" w:space="0" w:color="auto"/>
            </w:tcBorders>
            <w:shd w:val="clear" w:color="auto" w:fill="auto"/>
            <w:vAlign w:val="center"/>
            <w:hideMark/>
          </w:tcPr>
          <w:p w14:paraId="35D2BC68" w14:textId="77777777" w:rsidR="00572995" w:rsidRPr="00483EBE" w:rsidRDefault="00572995" w:rsidP="00E8324D">
            <w:pPr>
              <w:pStyle w:val="Tablas"/>
              <w:rPr>
                <w:sz w:val="12"/>
                <w:szCs w:val="12"/>
              </w:rPr>
            </w:pPr>
            <w:r w:rsidRPr="00483EBE">
              <w:rPr>
                <w:sz w:val="12"/>
                <w:szCs w:val="12"/>
              </w:rPr>
              <w:t>$220</w:t>
            </w:r>
          </w:p>
        </w:tc>
        <w:tc>
          <w:tcPr>
            <w:tcW w:w="0" w:type="auto"/>
            <w:tcBorders>
              <w:top w:val="nil"/>
              <w:left w:val="nil"/>
              <w:bottom w:val="single" w:sz="4" w:space="0" w:color="auto"/>
              <w:right w:val="single" w:sz="4" w:space="0" w:color="auto"/>
            </w:tcBorders>
            <w:shd w:val="clear" w:color="auto" w:fill="auto"/>
            <w:vAlign w:val="center"/>
            <w:hideMark/>
          </w:tcPr>
          <w:p w14:paraId="7092C523"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9A1BB0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904020"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24F8E3E4" w14:textId="77777777" w:rsidR="00572995" w:rsidRPr="00483EBE" w:rsidRDefault="00572995" w:rsidP="00E8324D">
            <w:pPr>
              <w:pStyle w:val="Tablas"/>
              <w:rPr>
                <w:sz w:val="12"/>
                <w:szCs w:val="12"/>
              </w:rPr>
            </w:pPr>
            <w:r w:rsidRPr="00483EBE">
              <w:rPr>
                <w:sz w:val="12"/>
                <w:szCs w:val="12"/>
              </w:rPr>
              <w:t xml:space="preserve">380 </w:t>
            </w:r>
          </w:p>
        </w:tc>
        <w:tc>
          <w:tcPr>
            <w:tcW w:w="0" w:type="auto"/>
            <w:tcBorders>
              <w:top w:val="nil"/>
              <w:left w:val="nil"/>
              <w:bottom w:val="single" w:sz="4" w:space="0" w:color="auto"/>
              <w:right w:val="single" w:sz="4" w:space="0" w:color="auto"/>
            </w:tcBorders>
            <w:shd w:val="clear" w:color="auto" w:fill="auto"/>
            <w:vAlign w:val="center"/>
            <w:hideMark/>
          </w:tcPr>
          <w:p w14:paraId="7B4B7A9D" w14:textId="77777777" w:rsidR="00572995" w:rsidRPr="00483EBE" w:rsidRDefault="00572995" w:rsidP="00E8324D">
            <w:pPr>
              <w:pStyle w:val="Tablas"/>
              <w:rPr>
                <w:sz w:val="12"/>
                <w:szCs w:val="12"/>
              </w:rPr>
            </w:pPr>
            <w:r w:rsidRPr="00483EBE">
              <w:rPr>
                <w:sz w:val="12"/>
                <w:szCs w:val="12"/>
              </w:rPr>
              <w:t>$1,872,462</w:t>
            </w:r>
          </w:p>
        </w:tc>
        <w:tc>
          <w:tcPr>
            <w:tcW w:w="0" w:type="auto"/>
            <w:tcBorders>
              <w:top w:val="nil"/>
              <w:left w:val="nil"/>
              <w:bottom w:val="single" w:sz="4" w:space="0" w:color="auto"/>
              <w:right w:val="single" w:sz="4" w:space="0" w:color="auto"/>
            </w:tcBorders>
            <w:shd w:val="clear" w:color="auto" w:fill="auto"/>
            <w:vAlign w:val="center"/>
            <w:hideMark/>
          </w:tcPr>
          <w:p w14:paraId="19ABE29B" w14:textId="77777777" w:rsidR="00572995" w:rsidRPr="00483EBE" w:rsidRDefault="00572995" w:rsidP="00E8324D">
            <w:pPr>
              <w:pStyle w:val="Tablas"/>
              <w:rPr>
                <w:sz w:val="12"/>
                <w:szCs w:val="12"/>
              </w:rPr>
            </w:pPr>
            <w:r w:rsidRPr="00483EBE">
              <w:rPr>
                <w:sz w:val="12"/>
                <w:szCs w:val="12"/>
              </w:rPr>
              <w:t>$4,928</w:t>
            </w:r>
          </w:p>
        </w:tc>
        <w:tc>
          <w:tcPr>
            <w:tcW w:w="0" w:type="auto"/>
            <w:tcBorders>
              <w:top w:val="nil"/>
              <w:left w:val="nil"/>
              <w:bottom w:val="single" w:sz="4" w:space="0" w:color="auto"/>
              <w:right w:val="single" w:sz="4" w:space="0" w:color="auto"/>
            </w:tcBorders>
            <w:shd w:val="clear" w:color="auto" w:fill="auto"/>
            <w:vAlign w:val="center"/>
            <w:hideMark/>
          </w:tcPr>
          <w:p w14:paraId="72211AAA" w14:textId="77777777" w:rsidR="00572995" w:rsidRPr="00483EBE" w:rsidRDefault="00572995" w:rsidP="00E8324D">
            <w:pPr>
              <w:pStyle w:val="Tablas"/>
              <w:rPr>
                <w:sz w:val="12"/>
                <w:szCs w:val="12"/>
              </w:rPr>
            </w:pPr>
            <w:r w:rsidRPr="00483EBE">
              <w:rPr>
                <w:sz w:val="12"/>
                <w:szCs w:val="12"/>
              </w:rPr>
              <w:t>$411</w:t>
            </w:r>
          </w:p>
        </w:tc>
        <w:tc>
          <w:tcPr>
            <w:tcW w:w="0" w:type="auto"/>
            <w:tcBorders>
              <w:top w:val="nil"/>
              <w:left w:val="nil"/>
              <w:bottom w:val="single" w:sz="4" w:space="0" w:color="auto"/>
              <w:right w:val="single" w:sz="4" w:space="0" w:color="auto"/>
            </w:tcBorders>
            <w:shd w:val="clear" w:color="auto" w:fill="auto"/>
            <w:vAlign w:val="center"/>
            <w:hideMark/>
          </w:tcPr>
          <w:p w14:paraId="7B08DB1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DCA4B4A" w14:textId="77777777" w:rsidR="00572995" w:rsidRPr="00483EBE" w:rsidRDefault="00572995" w:rsidP="00E8324D">
            <w:pPr>
              <w:pStyle w:val="Tablas"/>
              <w:rPr>
                <w:sz w:val="12"/>
                <w:szCs w:val="12"/>
              </w:rPr>
            </w:pPr>
            <w:r w:rsidRPr="00483EBE">
              <w:rPr>
                <w:sz w:val="12"/>
                <w:szCs w:val="12"/>
              </w:rPr>
              <w:t>SEBD</w:t>
            </w:r>
          </w:p>
        </w:tc>
      </w:tr>
      <w:tr w:rsidR="00572995" w:rsidRPr="00483EBE" w14:paraId="59AD450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F13D70"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54CEACF4"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17CE007C" w14:textId="77777777" w:rsidR="00572995" w:rsidRPr="00483EBE" w:rsidRDefault="00572995" w:rsidP="00E8324D">
            <w:pPr>
              <w:pStyle w:val="Tablas"/>
              <w:rPr>
                <w:sz w:val="12"/>
                <w:szCs w:val="12"/>
              </w:rPr>
            </w:pPr>
            <w:r w:rsidRPr="00483EBE">
              <w:rPr>
                <w:sz w:val="12"/>
                <w:szCs w:val="12"/>
              </w:rPr>
              <w:t>$41,297</w:t>
            </w:r>
          </w:p>
        </w:tc>
        <w:tc>
          <w:tcPr>
            <w:tcW w:w="0" w:type="auto"/>
            <w:tcBorders>
              <w:top w:val="nil"/>
              <w:left w:val="nil"/>
              <w:bottom w:val="single" w:sz="4" w:space="0" w:color="auto"/>
              <w:right w:val="single" w:sz="4" w:space="0" w:color="auto"/>
            </w:tcBorders>
            <w:shd w:val="clear" w:color="auto" w:fill="auto"/>
            <w:vAlign w:val="center"/>
            <w:hideMark/>
          </w:tcPr>
          <w:p w14:paraId="54F5417A" w14:textId="77777777" w:rsidR="00572995" w:rsidRPr="00483EBE" w:rsidRDefault="00572995" w:rsidP="00E8324D">
            <w:pPr>
              <w:pStyle w:val="Tablas"/>
              <w:rPr>
                <w:sz w:val="12"/>
                <w:szCs w:val="12"/>
              </w:rPr>
            </w:pPr>
            <w:r w:rsidRPr="00483EBE">
              <w:rPr>
                <w:sz w:val="12"/>
                <w:szCs w:val="12"/>
              </w:rPr>
              <w:t>$2,950</w:t>
            </w:r>
          </w:p>
        </w:tc>
        <w:tc>
          <w:tcPr>
            <w:tcW w:w="0" w:type="auto"/>
            <w:tcBorders>
              <w:top w:val="nil"/>
              <w:left w:val="nil"/>
              <w:bottom w:val="single" w:sz="4" w:space="0" w:color="auto"/>
              <w:right w:val="single" w:sz="4" w:space="0" w:color="auto"/>
            </w:tcBorders>
            <w:shd w:val="clear" w:color="auto" w:fill="auto"/>
            <w:vAlign w:val="center"/>
            <w:hideMark/>
          </w:tcPr>
          <w:p w14:paraId="5FDDDA82" w14:textId="77777777" w:rsidR="00572995" w:rsidRPr="00483EBE" w:rsidRDefault="00572995" w:rsidP="00E8324D">
            <w:pPr>
              <w:pStyle w:val="Tablas"/>
              <w:rPr>
                <w:sz w:val="12"/>
                <w:szCs w:val="12"/>
              </w:rPr>
            </w:pPr>
            <w:r w:rsidRPr="00483EBE">
              <w:rPr>
                <w:sz w:val="12"/>
                <w:szCs w:val="12"/>
              </w:rPr>
              <w:t>$246</w:t>
            </w:r>
          </w:p>
        </w:tc>
        <w:tc>
          <w:tcPr>
            <w:tcW w:w="0" w:type="auto"/>
            <w:tcBorders>
              <w:top w:val="nil"/>
              <w:left w:val="nil"/>
              <w:bottom w:val="single" w:sz="4" w:space="0" w:color="auto"/>
              <w:right w:val="single" w:sz="4" w:space="0" w:color="auto"/>
            </w:tcBorders>
            <w:shd w:val="clear" w:color="auto" w:fill="auto"/>
            <w:vAlign w:val="center"/>
            <w:hideMark/>
          </w:tcPr>
          <w:p w14:paraId="5D148A5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80CE32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73596A"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6139EFED" w14:textId="77777777" w:rsidR="00572995" w:rsidRPr="00483EBE" w:rsidRDefault="00572995" w:rsidP="00E8324D">
            <w:pPr>
              <w:pStyle w:val="Tablas"/>
              <w:rPr>
                <w:sz w:val="12"/>
                <w:szCs w:val="12"/>
              </w:rPr>
            </w:pPr>
            <w:r w:rsidRPr="00483EBE">
              <w:rPr>
                <w:sz w:val="12"/>
                <w:szCs w:val="12"/>
              </w:rPr>
              <w:t xml:space="preserve">389 </w:t>
            </w:r>
          </w:p>
        </w:tc>
        <w:tc>
          <w:tcPr>
            <w:tcW w:w="0" w:type="auto"/>
            <w:tcBorders>
              <w:top w:val="nil"/>
              <w:left w:val="nil"/>
              <w:bottom w:val="single" w:sz="4" w:space="0" w:color="auto"/>
              <w:right w:val="single" w:sz="4" w:space="0" w:color="auto"/>
            </w:tcBorders>
            <w:shd w:val="clear" w:color="auto" w:fill="auto"/>
            <w:vAlign w:val="center"/>
            <w:hideMark/>
          </w:tcPr>
          <w:p w14:paraId="06B64EB0" w14:textId="77777777" w:rsidR="00572995" w:rsidRPr="00483EBE" w:rsidRDefault="00572995" w:rsidP="00E8324D">
            <w:pPr>
              <w:pStyle w:val="Tablas"/>
              <w:rPr>
                <w:sz w:val="12"/>
                <w:szCs w:val="12"/>
              </w:rPr>
            </w:pPr>
            <w:r w:rsidRPr="00483EBE">
              <w:rPr>
                <w:sz w:val="12"/>
                <w:szCs w:val="12"/>
              </w:rPr>
              <w:t>$1,963,156</w:t>
            </w:r>
          </w:p>
        </w:tc>
        <w:tc>
          <w:tcPr>
            <w:tcW w:w="0" w:type="auto"/>
            <w:tcBorders>
              <w:top w:val="nil"/>
              <w:left w:val="nil"/>
              <w:bottom w:val="single" w:sz="4" w:space="0" w:color="auto"/>
              <w:right w:val="single" w:sz="4" w:space="0" w:color="auto"/>
            </w:tcBorders>
            <w:shd w:val="clear" w:color="auto" w:fill="auto"/>
            <w:vAlign w:val="center"/>
            <w:hideMark/>
          </w:tcPr>
          <w:p w14:paraId="1AF56585" w14:textId="77777777" w:rsidR="00572995" w:rsidRPr="00483EBE" w:rsidRDefault="00572995" w:rsidP="00E8324D">
            <w:pPr>
              <w:pStyle w:val="Tablas"/>
              <w:rPr>
                <w:sz w:val="12"/>
                <w:szCs w:val="12"/>
              </w:rPr>
            </w:pPr>
            <w:r w:rsidRPr="00483EBE">
              <w:rPr>
                <w:sz w:val="12"/>
                <w:szCs w:val="12"/>
              </w:rPr>
              <w:t>$5,047</w:t>
            </w:r>
          </w:p>
        </w:tc>
        <w:tc>
          <w:tcPr>
            <w:tcW w:w="0" w:type="auto"/>
            <w:tcBorders>
              <w:top w:val="nil"/>
              <w:left w:val="nil"/>
              <w:bottom w:val="single" w:sz="4" w:space="0" w:color="auto"/>
              <w:right w:val="single" w:sz="4" w:space="0" w:color="auto"/>
            </w:tcBorders>
            <w:shd w:val="clear" w:color="auto" w:fill="auto"/>
            <w:vAlign w:val="center"/>
            <w:hideMark/>
          </w:tcPr>
          <w:p w14:paraId="53445FE7" w14:textId="77777777" w:rsidR="00572995" w:rsidRPr="00483EBE" w:rsidRDefault="00572995" w:rsidP="00E8324D">
            <w:pPr>
              <w:pStyle w:val="Tablas"/>
              <w:rPr>
                <w:sz w:val="12"/>
                <w:szCs w:val="12"/>
              </w:rPr>
            </w:pPr>
            <w:r w:rsidRPr="00483EBE">
              <w:rPr>
                <w:sz w:val="12"/>
                <w:szCs w:val="12"/>
              </w:rPr>
              <w:t>$421</w:t>
            </w:r>
          </w:p>
        </w:tc>
        <w:tc>
          <w:tcPr>
            <w:tcW w:w="0" w:type="auto"/>
            <w:tcBorders>
              <w:top w:val="nil"/>
              <w:left w:val="nil"/>
              <w:bottom w:val="single" w:sz="4" w:space="0" w:color="auto"/>
              <w:right w:val="single" w:sz="4" w:space="0" w:color="auto"/>
            </w:tcBorders>
            <w:shd w:val="clear" w:color="auto" w:fill="auto"/>
            <w:vAlign w:val="center"/>
            <w:hideMark/>
          </w:tcPr>
          <w:p w14:paraId="012010C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630D020" w14:textId="77777777" w:rsidR="00572995" w:rsidRPr="00483EBE" w:rsidRDefault="00572995" w:rsidP="00E8324D">
            <w:pPr>
              <w:pStyle w:val="Tablas"/>
              <w:rPr>
                <w:sz w:val="12"/>
                <w:szCs w:val="12"/>
              </w:rPr>
            </w:pPr>
            <w:r w:rsidRPr="00483EBE">
              <w:rPr>
                <w:sz w:val="12"/>
                <w:szCs w:val="12"/>
              </w:rPr>
              <w:t>SEBD</w:t>
            </w:r>
          </w:p>
        </w:tc>
      </w:tr>
      <w:tr w:rsidR="00572995" w:rsidRPr="00483EBE" w14:paraId="7DE0B51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3ED877"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710337C7"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237FB260" w14:textId="77777777" w:rsidR="00572995" w:rsidRPr="00483EBE" w:rsidRDefault="00572995" w:rsidP="00E8324D">
            <w:pPr>
              <w:pStyle w:val="Tablas"/>
              <w:rPr>
                <w:sz w:val="12"/>
                <w:szCs w:val="12"/>
              </w:rPr>
            </w:pPr>
            <w:r w:rsidRPr="00483EBE">
              <w:rPr>
                <w:sz w:val="12"/>
                <w:szCs w:val="12"/>
              </w:rPr>
              <w:t>$32,659</w:t>
            </w:r>
          </w:p>
        </w:tc>
        <w:tc>
          <w:tcPr>
            <w:tcW w:w="0" w:type="auto"/>
            <w:tcBorders>
              <w:top w:val="nil"/>
              <w:left w:val="nil"/>
              <w:bottom w:val="single" w:sz="4" w:space="0" w:color="auto"/>
              <w:right w:val="single" w:sz="4" w:space="0" w:color="auto"/>
            </w:tcBorders>
            <w:shd w:val="clear" w:color="auto" w:fill="auto"/>
            <w:vAlign w:val="center"/>
            <w:hideMark/>
          </w:tcPr>
          <w:p w14:paraId="74EAC1B2" w14:textId="77777777" w:rsidR="00572995" w:rsidRPr="00483EBE" w:rsidRDefault="00572995" w:rsidP="00E8324D">
            <w:pPr>
              <w:pStyle w:val="Tablas"/>
              <w:rPr>
                <w:sz w:val="12"/>
                <w:szCs w:val="12"/>
              </w:rPr>
            </w:pPr>
            <w:r w:rsidRPr="00483EBE">
              <w:rPr>
                <w:sz w:val="12"/>
                <w:szCs w:val="12"/>
              </w:rPr>
              <w:t>$3,266</w:t>
            </w:r>
          </w:p>
        </w:tc>
        <w:tc>
          <w:tcPr>
            <w:tcW w:w="0" w:type="auto"/>
            <w:tcBorders>
              <w:top w:val="nil"/>
              <w:left w:val="nil"/>
              <w:bottom w:val="single" w:sz="4" w:space="0" w:color="auto"/>
              <w:right w:val="single" w:sz="4" w:space="0" w:color="auto"/>
            </w:tcBorders>
            <w:shd w:val="clear" w:color="auto" w:fill="auto"/>
            <w:vAlign w:val="center"/>
            <w:hideMark/>
          </w:tcPr>
          <w:p w14:paraId="6D15CC09" w14:textId="77777777" w:rsidR="00572995" w:rsidRPr="00483EBE" w:rsidRDefault="00572995" w:rsidP="00E8324D">
            <w:pPr>
              <w:pStyle w:val="Tablas"/>
              <w:rPr>
                <w:sz w:val="12"/>
                <w:szCs w:val="12"/>
              </w:rPr>
            </w:pPr>
            <w:r w:rsidRPr="00483EBE">
              <w:rPr>
                <w:sz w:val="12"/>
                <w:szCs w:val="12"/>
              </w:rPr>
              <w:t>$272</w:t>
            </w:r>
          </w:p>
        </w:tc>
        <w:tc>
          <w:tcPr>
            <w:tcW w:w="0" w:type="auto"/>
            <w:tcBorders>
              <w:top w:val="nil"/>
              <w:left w:val="nil"/>
              <w:bottom w:val="single" w:sz="4" w:space="0" w:color="auto"/>
              <w:right w:val="single" w:sz="4" w:space="0" w:color="auto"/>
            </w:tcBorders>
            <w:shd w:val="clear" w:color="auto" w:fill="auto"/>
            <w:vAlign w:val="center"/>
            <w:hideMark/>
          </w:tcPr>
          <w:p w14:paraId="7841779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294F11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F192C4"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1C981E68" w14:textId="77777777" w:rsidR="00572995" w:rsidRPr="00483EBE" w:rsidRDefault="00572995" w:rsidP="00E8324D">
            <w:pPr>
              <w:pStyle w:val="Tablas"/>
              <w:rPr>
                <w:sz w:val="12"/>
                <w:szCs w:val="12"/>
              </w:rPr>
            </w:pPr>
            <w:r w:rsidRPr="00483EBE">
              <w:rPr>
                <w:sz w:val="12"/>
                <w:szCs w:val="12"/>
              </w:rPr>
              <w:t xml:space="preserve">353 </w:t>
            </w:r>
          </w:p>
        </w:tc>
        <w:tc>
          <w:tcPr>
            <w:tcW w:w="0" w:type="auto"/>
            <w:tcBorders>
              <w:top w:val="nil"/>
              <w:left w:val="nil"/>
              <w:bottom w:val="single" w:sz="4" w:space="0" w:color="auto"/>
              <w:right w:val="single" w:sz="4" w:space="0" w:color="auto"/>
            </w:tcBorders>
            <w:shd w:val="clear" w:color="auto" w:fill="auto"/>
            <w:vAlign w:val="center"/>
            <w:hideMark/>
          </w:tcPr>
          <w:p w14:paraId="12D344EA" w14:textId="77777777" w:rsidR="00572995" w:rsidRPr="00483EBE" w:rsidRDefault="00572995" w:rsidP="00E8324D">
            <w:pPr>
              <w:pStyle w:val="Tablas"/>
              <w:rPr>
                <w:sz w:val="12"/>
                <w:szCs w:val="12"/>
              </w:rPr>
            </w:pPr>
            <w:r w:rsidRPr="00483EBE">
              <w:rPr>
                <w:sz w:val="12"/>
                <w:szCs w:val="12"/>
              </w:rPr>
              <w:t>$1,715,325</w:t>
            </w:r>
          </w:p>
        </w:tc>
        <w:tc>
          <w:tcPr>
            <w:tcW w:w="0" w:type="auto"/>
            <w:tcBorders>
              <w:top w:val="nil"/>
              <w:left w:val="nil"/>
              <w:bottom w:val="single" w:sz="4" w:space="0" w:color="auto"/>
              <w:right w:val="single" w:sz="4" w:space="0" w:color="auto"/>
            </w:tcBorders>
            <w:shd w:val="clear" w:color="auto" w:fill="auto"/>
            <w:vAlign w:val="center"/>
            <w:hideMark/>
          </w:tcPr>
          <w:p w14:paraId="4E078346" w14:textId="77777777" w:rsidR="00572995" w:rsidRPr="00483EBE" w:rsidRDefault="00572995" w:rsidP="00E8324D">
            <w:pPr>
              <w:pStyle w:val="Tablas"/>
              <w:rPr>
                <w:sz w:val="12"/>
                <w:szCs w:val="12"/>
              </w:rPr>
            </w:pPr>
            <w:r w:rsidRPr="00483EBE">
              <w:rPr>
                <w:sz w:val="12"/>
                <w:szCs w:val="12"/>
              </w:rPr>
              <w:t>$4,859</w:t>
            </w:r>
          </w:p>
        </w:tc>
        <w:tc>
          <w:tcPr>
            <w:tcW w:w="0" w:type="auto"/>
            <w:tcBorders>
              <w:top w:val="nil"/>
              <w:left w:val="nil"/>
              <w:bottom w:val="single" w:sz="4" w:space="0" w:color="auto"/>
              <w:right w:val="single" w:sz="4" w:space="0" w:color="auto"/>
            </w:tcBorders>
            <w:shd w:val="clear" w:color="auto" w:fill="auto"/>
            <w:vAlign w:val="center"/>
            <w:hideMark/>
          </w:tcPr>
          <w:p w14:paraId="1143EC19" w14:textId="77777777" w:rsidR="00572995" w:rsidRPr="00483EBE" w:rsidRDefault="00572995" w:rsidP="00E8324D">
            <w:pPr>
              <w:pStyle w:val="Tablas"/>
              <w:rPr>
                <w:sz w:val="12"/>
                <w:szCs w:val="12"/>
              </w:rPr>
            </w:pPr>
            <w:r w:rsidRPr="00483EBE">
              <w:rPr>
                <w:sz w:val="12"/>
                <w:szCs w:val="12"/>
              </w:rPr>
              <w:t>$405</w:t>
            </w:r>
          </w:p>
        </w:tc>
        <w:tc>
          <w:tcPr>
            <w:tcW w:w="0" w:type="auto"/>
            <w:tcBorders>
              <w:top w:val="nil"/>
              <w:left w:val="nil"/>
              <w:bottom w:val="single" w:sz="4" w:space="0" w:color="auto"/>
              <w:right w:val="single" w:sz="4" w:space="0" w:color="auto"/>
            </w:tcBorders>
            <w:shd w:val="clear" w:color="auto" w:fill="auto"/>
            <w:vAlign w:val="center"/>
            <w:hideMark/>
          </w:tcPr>
          <w:p w14:paraId="75C5427C"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B949339" w14:textId="77777777" w:rsidR="00572995" w:rsidRPr="00483EBE" w:rsidRDefault="00572995" w:rsidP="00E8324D">
            <w:pPr>
              <w:pStyle w:val="Tablas"/>
              <w:rPr>
                <w:sz w:val="12"/>
                <w:szCs w:val="12"/>
              </w:rPr>
            </w:pPr>
            <w:r w:rsidRPr="00483EBE">
              <w:rPr>
                <w:sz w:val="12"/>
                <w:szCs w:val="12"/>
              </w:rPr>
              <w:t>SEBD</w:t>
            </w:r>
          </w:p>
        </w:tc>
      </w:tr>
      <w:tr w:rsidR="00572995" w:rsidRPr="00483EBE" w14:paraId="0DD65B3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8F3255"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008AA2C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192583F" w14:textId="77777777" w:rsidR="00572995" w:rsidRPr="00483EBE" w:rsidRDefault="00572995" w:rsidP="00E8324D">
            <w:pPr>
              <w:pStyle w:val="Tablas"/>
              <w:rPr>
                <w:sz w:val="12"/>
                <w:szCs w:val="12"/>
              </w:rPr>
            </w:pPr>
            <w:r w:rsidRPr="00483EBE">
              <w:rPr>
                <w:sz w:val="12"/>
                <w:szCs w:val="12"/>
              </w:rPr>
              <w:t>$15,002</w:t>
            </w:r>
          </w:p>
        </w:tc>
        <w:tc>
          <w:tcPr>
            <w:tcW w:w="0" w:type="auto"/>
            <w:tcBorders>
              <w:top w:val="nil"/>
              <w:left w:val="nil"/>
              <w:bottom w:val="single" w:sz="4" w:space="0" w:color="auto"/>
              <w:right w:val="single" w:sz="4" w:space="0" w:color="auto"/>
            </w:tcBorders>
            <w:shd w:val="clear" w:color="auto" w:fill="auto"/>
            <w:vAlign w:val="center"/>
            <w:hideMark/>
          </w:tcPr>
          <w:p w14:paraId="46504114" w14:textId="77777777" w:rsidR="00572995" w:rsidRPr="00483EBE" w:rsidRDefault="00572995" w:rsidP="00E8324D">
            <w:pPr>
              <w:pStyle w:val="Tablas"/>
              <w:rPr>
                <w:sz w:val="12"/>
                <w:szCs w:val="12"/>
              </w:rPr>
            </w:pPr>
            <w:r w:rsidRPr="00483EBE">
              <w:rPr>
                <w:sz w:val="12"/>
                <w:szCs w:val="12"/>
              </w:rPr>
              <w:t>$5,001</w:t>
            </w:r>
          </w:p>
        </w:tc>
        <w:tc>
          <w:tcPr>
            <w:tcW w:w="0" w:type="auto"/>
            <w:tcBorders>
              <w:top w:val="nil"/>
              <w:left w:val="nil"/>
              <w:bottom w:val="single" w:sz="4" w:space="0" w:color="auto"/>
              <w:right w:val="single" w:sz="4" w:space="0" w:color="auto"/>
            </w:tcBorders>
            <w:shd w:val="clear" w:color="auto" w:fill="auto"/>
            <w:vAlign w:val="center"/>
            <w:hideMark/>
          </w:tcPr>
          <w:p w14:paraId="0FDD798E" w14:textId="77777777" w:rsidR="00572995" w:rsidRPr="00483EBE" w:rsidRDefault="00572995" w:rsidP="00E8324D">
            <w:pPr>
              <w:pStyle w:val="Tablas"/>
              <w:rPr>
                <w:sz w:val="12"/>
                <w:szCs w:val="12"/>
              </w:rPr>
            </w:pPr>
            <w:r w:rsidRPr="00483EBE">
              <w:rPr>
                <w:sz w:val="12"/>
                <w:szCs w:val="12"/>
              </w:rPr>
              <w:t>$417</w:t>
            </w:r>
          </w:p>
        </w:tc>
        <w:tc>
          <w:tcPr>
            <w:tcW w:w="0" w:type="auto"/>
            <w:tcBorders>
              <w:top w:val="nil"/>
              <w:left w:val="nil"/>
              <w:bottom w:val="single" w:sz="4" w:space="0" w:color="auto"/>
              <w:right w:val="single" w:sz="4" w:space="0" w:color="auto"/>
            </w:tcBorders>
            <w:shd w:val="clear" w:color="auto" w:fill="auto"/>
            <w:vAlign w:val="center"/>
            <w:hideMark/>
          </w:tcPr>
          <w:p w14:paraId="3E8CF58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0B43E0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DBD0B74"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386D4AB7" w14:textId="77777777" w:rsidR="00572995" w:rsidRPr="00483EBE" w:rsidRDefault="00572995" w:rsidP="00E8324D">
            <w:pPr>
              <w:pStyle w:val="Tablas"/>
              <w:rPr>
                <w:sz w:val="12"/>
                <w:szCs w:val="12"/>
              </w:rPr>
            </w:pPr>
            <w:r w:rsidRPr="00483EBE">
              <w:rPr>
                <w:sz w:val="12"/>
                <w:szCs w:val="12"/>
              </w:rPr>
              <w:t xml:space="preserve">356 </w:t>
            </w:r>
          </w:p>
        </w:tc>
        <w:tc>
          <w:tcPr>
            <w:tcW w:w="0" w:type="auto"/>
            <w:tcBorders>
              <w:top w:val="nil"/>
              <w:left w:val="nil"/>
              <w:bottom w:val="single" w:sz="4" w:space="0" w:color="auto"/>
              <w:right w:val="single" w:sz="4" w:space="0" w:color="auto"/>
            </w:tcBorders>
            <w:shd w:val="clear" w:color="auto" w:fill="auto"/>
            <w:vAlign w:val="center"/>
            <w:hideMark/>
          </w:tcPr>
          <w:p w14:paraId="53D825B2" w14:textId="77777777" w:rsidR="00572995" w:rsidRPr="00483EBE" w:rsidRDefault="00572995" w:rsidP="00E8324D">
            <w:pPr>
              <w:pStyle w:val="Tablas"/>
              <w:rPr>
                <w:sz w:val="12"/>
                <w:szCs w:val="12"/>
              </w:rPr>
            </w:pPr>
            <w:r w:rsidRPr="00483EBE">
              <w:rPr>
                <w:sz w:val="12"/>
                <w:szCs w:val="12"/>
              </w:rPr>
              <w:t>$1,784,959</w:t>
            </w:r>
          </w:p>
        </w:tc>
        <w:tc>
          <w:tcPr>
            <w:tcW w:w="0" w:type="auto"/>
            <w:tcBorders>
              <w:top w:val="nil"/>
              <w:left w:val="nil"/>
              <w:bottom w:val="single" w:sz="4" w:space="0" w:color="auto"/>
              <w:right w:val="single" w:sz="4" w:space="0" w:color="auto"/>
            </w:tcBorders>
            <w:shd w:val="clear" w:color="auto" w:fill="auto"/>
            <w:vAlign w:val="center"/>
            <w:hideMark/>
          </w:tcPr>
          <w:p w14:paraId="262B07FD" w14:textId="77777777" w:rsidR="00572995" w:rsidRPr="00483EBE" w:rsidRDefault="00572995" w:rsidP="00E8324D">
            <w:pPr>
              <w:pStyle w:val="Tablas"/>
              <w:rPr>
                <w:sz w:val="12"/>
                <w:szCs w:val="12"/>
              </w:rPr>
            </w:pPr>
            <w:r w:rsidRPr="00483EBE">
              <w:rPr>
                <w:sz w:val="12"/>
                <w:szCs w:val="12"/>
              </w:rPr>
              <w:t>$5,014</w:t>
            </w:r>
          </w:p>
        </w:tc>
        <w:tc>
          <w:tcPr>
            <w:tcW w:w="0" w:type="auto"/>
            <w:tcBorders>
              <w:top w:val="nil"/>
              <w:left w:val="nil"/>
              <w:bottom w:val="single" w:sz="4" w:space="0" w:color="auto"/>
              <w:right w:val="single" w:sz="4" w:space="0" w:color="auto"/>
            </w:tcBorders>
            <w:shd w:val="clear" w:color="auto" w:fill="auto"/>
            <w:vAlign w:val="center"/>
            <w:hideMark/>
          </w:tcPr>
          <w:p w14:paraId="5BDE4515" w14:textId="77777777" w:rsidR="00572995" w:rsidRPr="00483EBE" w:rsidRDefault="00572995" w:rsidP="00E8324D">
            <w:pPr>
              <w:pStyle w:val="Tablas"/>
              <w:rPr>
                <w:sz w:val="12"/>
                <w:szCs w:val="12"/>
              </w:rPr>
            </w:pPr>
            <w:r w:rsidRPr="00483EBE">
              <w:rPr>
                <w:sz w:val="12"/>
                <w:szCs w:val="12"/>
              </w:rPr>
              <w:t>$418</w:t>
            </w:r>
          </w:p>
        </w:tc>
        <w:tc>
          <w:tcPr>
            <w:tcW w:w="0" w:type="auto"/>
            <w:tcBorders>
              <w:top w:val="nil"/>
              <w:left w:val="nil"/>
              <w:bottom w:val="single" w:sz="4" w:space="0" w:color="auto"/>
              <w:right w:val="single" w:sz="4" w:space="0" w:color="auto"/>
            </w:tcBorders>
            <w:shd w:val="clear" w:color="auto" w:fill="auto"/>
            <w:vAlign w:val="center"/>
            <w:hideMark/>
          </w:tcPr>
          <w:p w14:paraId="790D1E1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748C5BB" w14:textId="77777777" w:rsidR="00572995" w:rsidRPr="00483EBE" w:rsidRDefault="00572995" w:rsidP="00E8324D">
            <w:pPr>
              <w:pStyle w:val="Tablas"/>
              <w:rPr>
                <w:sz w:val="12"/>
                <w:szCs w:val="12"/>
              </w:rPr>
            </w:pPr>
            <w:r w:rsidRPr="00483EBE">
              <w:rPr>
                <w:sz w:val="12"/>
                <w:szCs w:val="12"/>
              </w:rPr>
              <w:t>SEBD</w:t>
            </w:r>
          </w:p>
        </w:tc>
      </w:tr>
      <w:tr w:rsidR="00572995" w:rsidRPr="00483EBE" w14:paraId="61952F1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7552D8"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76F825D2"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8CFE526" w14:textId="77777777" w:rsidR="00572995" w:rsidRPr="00483EBE" w:rsidRDefault="00572995" w:rsidP="00E8324D">
            <w:pPr>
              <w:pStyle w:val="Tablas"/>
              <w:rPr>
                <w:sz w:val="12"/>
                <w:szCs w:val="12"/>
              </w:rPr>
            </w:pPr>
            <w:r w:rsidRPr="00483EBE">
              <w:rPr>
                <w:sz w:val="12"/>
                <w:szCs w:val="12"/>
              </w:rPr>
              <w:t>$13,355</w:t>
            </w:r>
          </w:p>
        </w:tc>
        <w:tc>
          <w:tcPr>
            <w:tcW w:w="0" w:type="auto"/>
            <w:tcBorders>
              <w:top w:val="nil"/>
              <w:left w:val="nil"/>
              <w:bottom w:val="single" w:sz="4" w:space="0" w:color="auto"/>
              <w:right w:val="single" w:sz="4" w:space="0" w:color="auto"/>
            </w:tcBorders>
            <w:shd w:val="clear" w:color="auto" w:fill="auto"/>
            <w:vAlign w:val="center"/>
            <w:hideMark/>
          </w:tcPr>
          <w:p w14:paraId="4A96A005" w14:textId="77777777" w:rsidR="00572995" w:rsidRPr="00483EBE" w:rsidRDefault="00572995" w:rsidP="00E8324D">
            <w:pPr>
              <w:pStyle w:val="Tablas"/>
              <w:rPr>
                <w:sz w:val="12"/>
                <w:szCs w:val="12"/>
              </w:rPr>
            </w:pPr>
            <w:r w:rsidRPr="00483EBE">
              <w:rPr>
                <w:sz w:val="12"/>
                <w:szCs w:val="12"/>
              </w:rPr>
              <w:t>$2,671</w:t>
            </w:r>
          </w:p>
        </w:tc>
        <w:tc>
          <w:tcPr>
            <w:tcW w:w="0" w:type="auto"/>
            <w:tcBorders>
              <w:top w:val="nil"/>
              <w:left w:val="nil"/>
              <w:bottom w:val="single" w:sz="4" w:space="0" w:color="auto"/>
              <w:right w:val="single" w:sz="4" w:space="0" w:color="auto"/>
            </w:tcBorders>
            <w:shd w:val="clear" w:color="auto" w:fill="auto"/>
            <w:vAlign w:val="center"/>
            <w:hideMark/>
          </w:tcPr>
          <w:p w14:paraId="0F85C905" w14:textId="77777777" w:rsidR="00572995" w:rsidRPr="00483EBE" w:rsidRDefault="00572995" w:rsidP="00E8324D">
            <w:pPr>
              <w:pStyle w:val="Tablas"/>
              <w:rPr>
                <w:sz w:val="12"/>
                <w:szCs w:val="12"/>
              </w:rPr>
            </w:pPr>
            <w:r w:rsidRPr="00483EBE">
              <w:rPr>
                <w:sz w:val="12"/>
                <w:szCs w:val="12"/>
              </w:rPr>
              <w:t>$223</w:t>
            </w:r>
          </w:p>
        </w:tc>
        <w:tc>
          <w:tcPr>
            <w:tcW w:w="0" w:type="auto"/>
            <w:tcBorders>
              <w:top w:val="nil"/>
              <w:left w:val="nil"/>
              <w:bottom w:val="single" w:sz="4" w:space="0" w:color="auto"/>
              <w:right w:val="single" w:sz="4" w:space="0" w:color="auto"/>
            </w:tcBorders>
            <w:shd w:val="clear" w:color="auto" w:fill="auto"/>
            <w:vAlign w:val="center"/>
            <w:hideMark/>
          </w:tcPr>
          <w:p w14:paraId="1A7D793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A9F255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695573"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31FFEF80" w14:textId="77777777" w:rsidR="00572995" w:rsidRPr="00483EBE" w:rsidRDefault="00572995" w:rsidP="00E8324D">
            <w:pPr>
              <w:pStyle w:val="Tablas"/>
              <w:rPr>
                <w:sz w:val="12"/>
                <w:szCs w:val="12"/>
              </w:rPr>
            </w:pPr>
            <w:r w:rsidRPr="00483EBE">
              <w:rPr>
                <w:sz w:val="12"/>
                <w:szCs w:val="12"/>
              </w:rPr>
              <w:t xml:space="preserve">386 </w:t>
            </w:r>
          </w:p>
        </w:tc>
        <w:tc>
          <w:tcPr>
            <w:tcW w:w="0" w:type="auto"/>
            <w:tcBorders>
              <w:top w:val="nil"/>
              <w:left w:val="nil"/>
              <w:bottom w:val="single" w:sz="4" w:space="0" w:color="auto"/>
              <w:right w:val="single" w:sz="4" w:space="0" w:color="auto"/>
            </w:tcBorders>
            <w:shd w:val="clear" w:color="auto" w:fill="auto"/>
            <w:vAlign w:val="center"/>
            <w:hideMark/>
          </w:tcPr>
          <w:p w14:paraId="4293C95B" w14:textId="77777777" w:rsidR="00572995" w:rsidRPr="00483EBE" w:rsidRDefault="00572995" w:rsidP="00E8324D">
            <w:pPr>
              <w:pStyle w:val="Tablas"/>
              <w:rPr>
                <w:sz w:val="12"/>
                <w:szCs w:val="12"/>
              </w:rPr>
            </w:pPr>
            <w:r w:rsidRPr="00483EBE">
              <w:rPr>
                <w:sz w:val="12"/>
                <w:szCs w:val="12"/>
              </w:rPr>
              <w:t>$2,033,719</w:t>
            </w:r>
          </w:p>
        </w:tc>
        <w:tc>
          <w:tcPr>
            <w:tcW w:w="0" w:type="auto"/>
            <w:tcBorders>
              <w:top w:val="nil"/>
              <w:left w:val="nil"/>
              <w:bottom w:val="single" w:sz="4" w:space="0" w:color="auto"/>
              <w:right w:val="single" w:sz="4" w:space="0" w:color="auto"/>
            </w:tcBorders>
            <w:shd w:val="clear" w:color="auto" w:fill="auto"/>
            <w:vAlign w:val="center"/>
            <w:hideMark/>
          </w:tcPr>
          <w:p w14:paraId="3AA08951" w14:textId="77777777" w:rsidR="00572995" w:rsidRPr="00483EBE" w:rsidRDefault="00572995" w:rsidP="00E8324D">
            <w:pPr>
              <w:pStyle w:val="Tablas"/>
              <w:rPr>
                <w:sz w:val="12"/>
                <w:szCs w:val="12"/>
              </w:rPr>
            </w:pPr>
            <w:r w:rsidRPr="00483EBE">
              <w:rPr>
                <w:sz w:val="12"/>
                <w:szCs w:val="12"/>
              </w:rPr>
              <w:t>$5,269</w:t>
            </w:r>
          </w:p>
        </w:tc>
        <w:tc>
          <w:tcPr>
            <w:tcW w:w="0" w:type="auto"/>
            <w:tcBorders>
              <w:top w:val="nil"/>
              <w:left w:val="nil"/>
              <w:bottom w:val="single" w:sz="4" w:space="0" w:color="auto"/>
              <w:right w:val="single" w:sz="4" w:space="0" w:color="auto"/>
            </w:tcBorders>
            <w:shd w:val="clear" w:color="auto" w:fill="auto"/>
            <w:vAlign w:val="center"/>
            <w:hideMark/>
          </w:tcPr>
          <w:p w14:paraId="3BC0B96D" w14:textId="77777777" w:rsidR="00572995" w:rsidRPr="00483EBE" w:rsidRDefault="00572995" w:rsidP="00E8324D">
            <w:pPr>
              <w:pStyle w:val="Tablas"/>
              <w:rPr>
                <w:sz w:val="12"/>
                <w:szCs w:val="12"/>
              </w:rPr>
            </w:pPr>
            <w:r w:rsidRPr="00483EBE">
              <w:rPr>
                <w:sz w:val="12"/>
                <w:szCs w:val="12"/>
              </w:rPr>
              <w:t>$439</w:t>
            </w:r>
          </w:p>
        </w:tc>
        <w:tc>
          <w:tcPr>
            <w:tcW w:w="0" w:type="auto"/>
            <w:tcBorders>
              <w:top w:val="nil"/>
              <w:left w:val="nil"/>
              <w:bottom w:val="single" w:sz="4" w:space="0" w:color="auto"/>
              <w:right w:val="single" w:sz="4" w:space="0" w:color="auto"/>
            </w:tcBorders>
            <w:shd w:val="clear" w:color="auto" w:fill="auto"/>
            <w:vAlign w:val="center"/>
            <w:hideMark/>
          </w:tcPr>
          <w:p w14:paraId="6B964BA2"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FE0792A" w14:textId="77777777" w:rsidR="00572995" w:rsidRPr="00483EBE" w:rsidRDefault="00572995" w:rsidP="00E8324D">
            <w:pPr>
              <w:pStyle w:val="Tablas"/>
              <w:rPr>
                <w:sz w:val="12"/>
                <w:szCs w:val="12"/>
              </w:rPr>
            </w:pPr>
            <w:r w:rsidRPr="00483EBE">
              <w:rPr>
                <w:sz w:val="12"/>
                <w:szCs w:val="12"/>
              </w:rPr>
              <w:t>SEBD</w:t>
            </w:r>
          </w:p>
        </w:tc>
      </w:tr>
      <w:tr w:rsidR="00572995" w:rsidRPr="00483EBE" w14:paraId="2E5D99B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3BDE9E"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1AD830C3"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2D368C0" w14:textId="77777777" w:rsidR="00572995" w:rsidRPr="00483EBE" w:rsidRDefault="00572995" w:rsidP="00E8324D">
            <w:pPr>
              <w:pStyle w:val="Tablas"/>
              <w:rPr>
                <w:sz w:val="12"/>
                <w:szCs w:val="12"/>
              </w:rPr>
            </w:pPr>
            <w:r w:rsidRPr="00483EBE">
              <w:rPr>
                <w:sz w:val="12"/>
                <w:szCs w:val="12"/>
              </w:rPr>
              <w:t>$7,740</w:t>
            </w:r>
          </w:p>
        </w:tc>
        <w:tc>
          <w:tcPr>
            <w:tcW w:w="0" w:type="auto"/>
            <w:tcBorders>
              <w:top w:val="nil"/>
              <w:left w:val="nil"/>
              <w:bottom w:val="single" w:sz="4" w:space="0" w:color="auto"/>
              <w:right w:val="single" w:sz="4" w:space="0" w:color="auto"/>
            </w:tcBorders>
            <w:shd w:val="clear" w:color="auto" w:fill="auto"/>
            <w:vAlign w:val="center"/>
            <w:hideMark/>
          </w:tcPr>
          <w:p w14:paraId="33668BA1"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00077F53"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3AAC52D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FF2EB1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31581A"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10D9E68" w14:textId="77777777" w:rsidR="00572995" w:rsidRPr="00483EBE" w:rsidRDefault="00572995" w:rsidP="00E8324D">
            <w:pPr>
              <w:pStyle w:val="Tablas"/>
              <w:rPr>
                <w:sz w:val="12"/>
                <w:szCs w:val="12"/>
              </w:rPr>
            </w:pPr>
            <w:r w:rsidRPr="00483EBE">
              <w:rPr>
                <w:sz w:val="12"/>
                <w:szCs w:val="12"/>
              </w:rPr>
              <w:t xml:space="preserve">356 </w:t>
            </w:r>
          </w:p>
        </w:tc>
        <w:tc>
          <w:tcPr>
            <w:tcW w:w="0" w:type="auto"/>
            <w:tcBorders>
              <w:top w:val="nil"/>
              <w:left w:val="nil"/>
              <w:bottom w:val="single" w:sz="4" w:space="0" w:color="auto"/>
              <w:right w:val="single" w:sz="4" w:space="0" w:color="auto"/>
            </w:tcBorders>
            <w:shd w:val="clear" w:color="auto" w:fill="auto"/>
            <w:vAlign w:val="center"/>
            <w:hideMark/>
          </w:tcPr>
          <w:p w14:paraId="3282E821" w14:textId="77777777" w:rsidR="00572995" w:rsidRPr="00483EBE" w:rsidRDefault="00572995" w:rsidP="00E8324D">
            <w:pPr>
              <w:pStyle w:val="Tablas"/>
              <w:rPr>
                <w:sz w:val="12"/>
                <w:szCs w:val="12"/>
              </w:rPr>
            </w:pPr>
            <w:r w:rsidRPr="00483EBE">
              <w:rPr>
                <w:sz w:val="12"/>
                <w:szCs w:val="12"/>
              </w:rPr>
              <w:t>$1,770,317</w:t>
            </w:r>
          </w:p>
        </w:tc>
        <w:tc>
          <w:tcPr>
            <w:tcW w:w="0" w:type="auto"/>
            <w:tcBorders>
              <w:top w:val="nil"/>
              <w:left w:val="nil"/>
              <w:bottom w:val="single" w:sz="4" w:space="0" w:color="auto"/>
              <w:right w:val="single" w:sz="4" w:space="0" w:color="auto"/>
            </w:tcBorders>
            <w:shd w:val="clear" w:color="auto" w:fill="auto"/>
            <w:vAlign w:val="center"/>
            <w:hideMark/>
          </w:tcPr>
          <w:p w14:paraId="631006A3" w14:textId="77777777" w:rsidR="00572995" w:rsidRPr="00483EBE" w:rsidRDefault="00572995" w:rsidP="00E8324D">
            <w:pPr>
              <w:pStyle w:val="Tablas"/>
              <w:rPr>
                <w:sz w:val="12"/>
                <w:szCs w:val="12"/>
              </w:rPr>
            </w:pPr>
            <w:r w:rsidRPr="00483EBE">
              <w:rPr>
                <w:sz w:val="12"/>
                <w:szCs w:val="12"/>
              </w:rPr>
              <w:t>$4,973</w:t>
            </w:r>
          </w:p>
        </w:tc>
        <w:tc>
          <w:tcPr>
            <w:tcW w:w="0" w:type="auto"/>
            <w:tcBorders>
              <w:top w:val="nil"/>
              <w:left w:val="nil"/>
              <w:bottom w:val="single" w:sz="4" w:space="0" w:color="auto"/>
              <w:right w:val="single" w:sz="4" w:space="0" w:color="auto"/>
            </w:tcBorders>
            <w:shd w:val="clear" w:color="auto" w:fill="auto"/>
            <w:vAlign w:val="center"/>
            <w:hideMark/>
          </w:tcPr>
          <w:p w14:paraId="78DB9472" w14:textId="77777777" w:rsidR="00572995" w:rsidRPr="00483EBE" w:rsidRDefault="00572995" w:rsidP="00E8324D">
            <w:pPr>
              <w:pStyle w:val="Tablas"/>
              <w:rPr>
                <w:sz w:val="12"/>
                <w:szCs w:val="12"/>
              </w:rPr>
            </w:pPr>
            <w:r w:rsidRPr="00483EBE">
              <w:rPr>
                <w:sz w:val="12"/>
                <w:szCs w:val="12"/>
              </w:rPr>
              <w:t>$414</w:t>
            </w:r>
          </w:p>
        </w:tc>
        <w:tc>
          <w:tcPr>
            <w:tcW w:w="0" w:type="auto"/>
            <w:tcBorders>
              <w:top w:val="nil"/>
              <w:left w:val="nil"/>
              <w:bottom w:val="single" w:sz="4" w:space="0" w:color="auto"/>
              <w:right w:val="single" w:sz="4" w:space="0" w:color="auto"/>
            </w:tcBorders>
            <w:shd w:val="clear" w:color="auto" w:fill="auto"/>
            <w:vAlign w:val="center"/>
            <w:hideMark/>
          </w:tcPr>
          <w:p w14:paraId="1ADAD59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8401B21" w14:textId="77777777" w:rsidR="00572995" w:rsidRPr="00483EBE" w:rsidRDefault="00572995" w:rsidP="00E8324D">
            <w:pPr>
              <w:pStyle w:val="Tablas"/>
              <w:rPr>
                <w:sz w:val="12"/>
                <w:szCs w:val="12"/>
              </w:rPr>
            </w:pPr>
            <w:r w:rsidRPr="00483EBE">
              <w:rPr>
                <w:sz w:val="12"/>
                <w:szCs w:val="12"/>
              </w:rPr>
              <w:t>SEBD</w:t>
            </w:r>
          </w:p>
        </w:tc>
      </w:tr>
      <w:tr w:rsidR="00572995" w:rsidRPr="00483EBE" w14:paraId="3BA0343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DE6AA0"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0AAD6CF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A3A2EB3"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651E633D"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59D20FAC"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6AB024A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27A2AF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CE8CC9"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45FBD310" w14:textId="77777777" w:rsidR="00572995" w:rsidRPr="00483EBE" w:rsidRDefault="00572995" w:rsidP="00E8324D">
            <w:pPr>
              <w:pStyle w:val="Tablas"/>
              <w:rPr>
                <w:sz w:val="12"/>
                <w:szCs w:val="12"/>
              </w:rPr>
            </w:pPr>
            <w:r w:rsidRPr="00483EBE">
              <w:rPr>
                <w:sz w:val="12"/>
                <w:szCs w:val="12"/>
              </w:rPr>
              <w:t xml:space="preserve">336 </w:t>
            </w:r>
          </w:p>
        </w:tc>
        <w:tc>
          <w:tcPr>
            <w:tcW w:w="0" w:type="auto"/>
            <w:tcBorders>
              <w:top w:val="nil"/>
              <w:left w:val="nil"/>
              <w:bottom w:val="single" w:sz="4" w:space="0" w:color="auto"/>
              <w:right w:val="single" w:sz="4" w:space="0" w:color="auto"/>
            </w:tcBorders>
            <w:shd w:val="clear" w:color="auto" w:fill="auto"/>
            <w:vAlign w:val="center"/>
            <w:hideMark/>
          </w:tcPr>
          <w:p w14:paraId="68DCE7B3" w14:textId="77777777" w:rsidR="00572995" w:rsidRPr="00483EBE" w:rsidRDefault="00572995" w:rsidP="00E8324D">
            <w:pPr>
              <w:pStyle w:val="Tablas"/>
              <w:rPr>
                <w:sz w:val="12"/>
                <w:szCs w:val="12"/>
              </w:rPr>
            </w:pPr>
            <w:r w:rsidRPr="00483EBE">
              <w:rPr>
                <w:sz w:val="12"/>
                <w:szCs w:val="12"/>
              </w:rPr>
              <w:t>$1,714,386</w:t>
            </w:r>
          </w:p>
        </w:tc>
        <w:tc>
          <w:tcPr>
            <w:tcW w:w="0" w:type="auto"/>
            <w:tcBorders>
              <w:top w:val="nil"/>
              <w:left w:val="nil"/>
              <w:bottom w:val="single" w:sz="4" w:space="0" w:color="auto"/>
              <w:right w:val="single" w:sz="4" w:space="0" w:color="auto"/>
            </w:tcBorders>
            <w:shd w:val="clear" w:color="auto" w:fill="auto"/>
            <w:vAlign w:val="center"/>
            <w:hideMark/>
          </w:tcPr>
          <w:p w14:paraId="7DB1A487" w14:textId="77777777" w:rsidR="00572995" w:rsidRPr="00483EBE" w:rsidRDefault="00572995" w:rsidP="00E8324D">
            <w:pPr>
              <w:pStyle w:val="Tablas"/>
              <w:rPr>
                <w:sz w:val="12"/>
                <w:szCs w:val="12"/>
              </w:rPr>
            </w:pPr>
            <w:r w:rsidRPr="00483EBE">
              <w:rPr>
                <w:sz w:val="12"/>
                <w:szCs w:val="12"/>
              </w:rPr>
              <w:t>$5,102</w:t>
            </w:r>
          </w:p>
        </w:tc>
        <w:tc>
          <w:tcPr>
            <w:tcW w:w="0" w:type="auto"/>
            <w:tcBorders>
              <w:top w:val="nil"/>
              <w:left w:val="nil"/>
              <w:bottom w:val="single" w:sz="4" w:space="0" w:color="auto"/>
              <w:right w:val="single" w:sz="4" w:space="0" w:color="auto"/>
            </w:tcBorders>
            <w:shd w:val="clear" w:color="auto" w:fill="auto"/>
            <w:vAlign w:val="center"/>
            <w:hideMark/>
          </w:tcPr>
          <w:p w14:paraId="2301BB77" w14:textId="77777777" w:rsidR="00572995" w:rsidRPr="00483EBE" w:rsidRDefault="00572995" w:rsidP="00E8324D">
            <w:pPr>
              <w:pStyle w:val="Tablas"/>
              <w:rPr>
                <w:sz w:val="12"/>
                <w:szCs w:val="12"/>
              </w:rPr>
            </w:pPr>
            <w:r w:rsidRPr="00483EBE">
              <w:rPr>
                <w:sz w:val="12"/>
                <w:szCs w:val="12"/>
              </w:rPr>
              <w:t>$425</w:t>
            </w:r>
          </w:p>
        </w:tc>
        <w:tc>
          <w:tcPr>
            <w:tcW w:w="0" w:type="auto"/>
            <w:tcBorders>
              <w:top w:val="nil"/>
              <w:left w:val="nil"/>
              <w:bottom w:val="single" w:sz="4" w:space="0" w:color="auto"/>
              <w:right w:val="single" w:sz="4" w:space="0" w:color="auto"/>
            </w:tcBorders>
            <w:shd w:val="clear" w:color="auto" w:fill="auto"/>
            <w:vAlign w:val="center"/>
            <w:hideMark/>
          </w:tcPr>
          <w:p w14:paraId="148197C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AA87513" w14:textId="77777777" w:rsidR="00572995" w:rsidRPr="00483EBE" w:rsidRDefault="00572995" w:rsidP="00E8324D">
            <w:pPr>
              <w:pStyle w:val="Tablas"/>
              <w:rPr>
                <w:sz w:val="12"/>
                <w:szCs w:val="12"/>
              </w:rPr>
            </w:pPr>
            <w:r w:rsidRPr="00483EBE">
              <w:rPr>
                <w:sz w:val="12"/>
                <w:szCs w:val="12"/>
              </w:rPr>
              <w:t>SEBD</w:t>
            </w:r>
          </w:p>
        </w:tc>
      </w:tr>
      <w:tr w:rsidR="00572995" w:rsidRPr="00483EBE" w14:paraId="27FA745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BFF10EC"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5338EE66"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A1E8F87" w14:textId="77777777" w:rsidR="00572995" w:rsidRPr="00483EBE" w:rsidRDefault="00572995" w:rsidP="00E8324D">
            <w:pPr>
              <w:pStyle w:val="Tablas"/>
              <w:rPr>
                <w:sz w:val="12"/>
                <w:szCs w:val="12"/>
              </w:rPr>
            </w:pPr>
            <w:r w:rsidRPr="00483EBE">
              <w:rPr>
                <w:sz w:val="12"/>
                <w:szCs w:val="12"/>
              </w:rPr>
              <w:t>$5,364</w:t>
            </w:r>
          </w:p>
        </w:tc>
        <w:tc>
          <w:tcPr>
            <w:tcW w:w="0" w:type="auto"/>
            <w:tcBorders>
              <w:top w:val="nil"/>
              <w:left w:val="nil"/>
              <w:bottom w:val="single" w:sz="4" w:space="0" w:color="auto"/>
              <w:right w:val="single" w:sz="4" w:space="0" w:color="auto"/>
            </w:tcBorders>
            <w:shd w:val="clear" w:color="auto" w:fill="auto"/>
            <w:vAlign w:val="center"/>
            <w:hideMark/>
          </w:tcPr>
          <w:p w14:paraId="11750B08" w14:textId="77777777" w:rsidR="00572995" w:rsidRPr="00483EBE" w:rsidRDefault="00572995" w:rsidP="00E8324D">
            <w:pPr>
              <w:pStyle w:val="Tablas"/>
              <w:rPr>
                <w:sz w:val="12"/>
                <w:szCs w:val="12"/>
              </w:rPr>
            </w:pPr>
            <w:r w:rsidRPr="00483EBE">
              <w:rPr>
                <w:sz w:val="12"/>
                <w:szCs w:val="12"/>
              </w:rPr>
              <w:t>$2,682</w:t>
            </w:r>
          </w:p>
        </w:tc>
        <w:tc>
          <w:tcPr>
            <w:tcW w:w="0" w:type="auto"/>
            <w:tcBorders>
              <w:top w:val="nil"/>
              <w:left w:val="nil"/>
              <w:bottom w:val="single" w:sz="4" w:space="0" w:color="auto"/>
              <w:right w:val="single" w:sz="4" w:space="0" w:color="auto"/>
            </w:tcBorders>
            <w:shd w:val="clear" w:color="auto" w:fill="auto"/>
            <w:vAlign w:val="center"/>
            <w:hideMark/>
          </w:tcPr>
          <w:p w14:paraId="5234F557" w14:textId="77777777" w:rsidR="00572995" w:rsidRPr="00483EBE" w:rsidRDefault="00572995" w:rsidP="00E8324D">
            <w:pPr>
              <w:pStyle w:val="Tablas"/>
              <w:rPr>
                <w:sz w:val="12"/>
                <w:szCs w:val="12"/>
              </w:rPr>
            </w:pPr>
            <w:r w:rsidRPr="00483EBE">
              <w:rPr>
                <w:sz w:val="12"/>
                <w:szCs w:val="12"/>
              </w:rPr>
              <w:t>$223</w:t>
            </w:r>
          </w:p>
        </w:tc>
        <w:tc>
          <w:tcPr>
            <w:tcW w:w="0" w:type="auto"/>
            <w:tcBorders>
              <w:top w:val="nil"/>
              <w:left w:val="nil"/>
              <w:bottom w:val="single" w:sz="4" w:space="0" w:color="auto"/>
              <w:right w:val="single" w:sz="4" w:space="0" w:color="auto"/>
            </w:tcBorders>
            <w:shd w:val="clear" w:color="auto" w:fill="auto"/>
            <w:vAlign w:val="center"/>
            <w:hideMark/>
          </w:tcPr>
          <w:p w14:paraId="54B4F6B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D6A1B8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AF01B4"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16E1334E" w14:textId="77777777" w:rsidR="00572995" w:rsidRPr="00483EBE" w:rsidRDefault="00572995" w:rsidP="00E8324D">
            <w:pPr>
              <w:pStyle w:val="Tablas"/>
              <w:rPr>
                <w:sz w:val="12"/>
                <w:szCs w:val="12"/>
              </w:rPr>
            </w:pPr>
            <w:r w:rsidRPr="00483EBE">
              <w:rPr>
                <w:sz w:val="12"/>
                <w:szCs w:val="12"/>
              </w:rPr>
              <w:t xml:space="preserve">304 </w:t>
            </w:r>
          </w:p>
        </w:tc>
        <w:tc>
          <w:tcPr>
            <w:tcW w:w="0" w:type="auto"/>
            <w:tcBorders>
              <w:top w:val="nil"/>
              <w:left w:val="nil"/>
              <w:bottom w:val="single" w:sz="4" w:space="0" w:color="auto"/>
              <w:right w:val="single" w:sz="4" w:space="0" w:color="auto"/>
            </w:tcBorders>
            <w:shd w:val="clear" w:color="auto" w:fill="auto"/>
            <w:vAlign w:val="center"/>
            <w:hideMark/>
          </w:tcPr>
          <w:p w14:paraId="5879F3CD" w14:textId="77777777" w:rsidR="00572995" w:rsidRPr="00483EBE" w:rsidRDefault="00572995" w:rsidP="00E8324D">
            <w:pPr>
              <w:pStyle w:val="Tablas"/>
              <w:rPr>
                <w:sz w:val="12"/>
                <w:szCs w:val="12"/>
              </w:rPr>
            </w:pPr>
            <w:r w:rsidRPr="00483EBE">
              <w:rPr>
                <w:sz w:val="12"/>
                <w:szCs w:val="12"/>
              </w:rPr>
              <w:t>$1,606,543</w:t>
            </w:r>
          </w:p>
        </w:tc>
        <w:tc>
          <w:tcPr>
            <w:tcW w:w="0" w:type="auto"/>
            <w:tcBorders>
              <w:top w:val="nil"/>
              <w:left w:val="nil"/>
              <w:bottom w:val="single" w:sz="4" w:space="0" w:color="auto"/>
              <w:right w:val="single" w:sz="4" w:space="0" w:color="auto"/>
            </w:tcBorders>
            <w:shd w:val="clear" w:color="auto" w:fill="auto"/>
            <w:vAlign w:val="center"/>
            <w:hideMark/>
          </w:tcPr>
          <w:p w14:paraId="598AEFB7" w14:textId="77777777" w:rsidR="00572995" w:rsidRPr="00483EBE" w:rsidRDefault="00572995" w:rsidP="00E8324D">
            <w:pPr>
              <w:pStyle w:val="Tablas"/>
              <w:rPr>
                <w:sz w:val="12"/>
                <w:szCs w:val="12"/>
              </w:rPr>
            </w:pPr>
            <w:r w:rsidRPr="00483EBE">
              <w:rPr>
                <w:sz w:val="12"/>
                <w:szCs w:val="12"/>
              </w:rPr>
              <w:t>$5,285</w:t>
            </w:r>
          </w:p>
        </w:tc>
        <w:tc>
          <w:tcPr>
            <w:tcW w:w="0" w:type="auto"/>
            <w:tcBorders>
              <w:top w:val="nil"/>
              <w:left w:val="nil"/>
              <w:bottom w:val="single" w:sz="4" w:space="0" w:color="auto"/>
              <w:right w:val="single" w:sz="4" w:space="0" w:color="auto"/>
            </w:tcBorders>
            <w:shd w:val="clear" w:color="auto" w:fill="auto"/>
            <w:vAlign w:val="center"/>
            <w:hideMark/>
          </w:tcPr>
          <w:p w14:paraId="421B1D11" w14:textId="77777777" w:rsidR="00572995" w:rsidRPr="00483EBE" w:rsidRDefault="00572995" w:rsidP="00E8324D">
            <w:pPr>
              <w:pStyle w:val="Tablas"/>
              <w:rPr>
                <w:sz w:val="12"/>
                <w:szCs w:val="12"/>
              </w:rPr>
            </w:pPr>
            <w:r w:rsidRPr="00483EBE">
              <w:rPr>
                <w:sz w:val="12"/>
                <w:szCs w:val="12"/>
              </w:rPr>
              <w:t>$440</w:t>
            </w:r>
          </w:p>
        </w:tc>
        <w:tc>
          <w:tcPr>
            <w:tcW w:w="0" w:type="auto"/>
            <w:tcBorders>
              <w:top w:val="nil"/>
              <w:left w:val="nil"/>
              <w:bottom w:val="single" w:sz="4" w:space="0" w:color="auto"/>
              <w:right w:val="single" w:sz="4" w:space="0" w:color="auto"/>
            </w:tcBorders>
            <w:shd w:val="clear" w:color="auto" w:fill="auto"/>
            <w:vAlign w:val="center"/>
            <w:hideMark/>
          </w:tcPr>
          <w:p w14:paraId="2536E9F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6BBA6CA" w14:textId="77777777" w:rsidR="00572995" w:rsidRPr="00483EBE" w:rsidRDefault="00572995" w:rsidP="00E8324D">
            <w:pPr>
              <w:pStyle w:val="Tablas"/>
              <w:rPr>
                <w:sz w:val="12"/>
                <w:szCs w:val="12"/>
              </w:rPr>
            </w:pPr>
            <w:r w:rsidRPr="00483EBE">
              <w:rPr>
                <w:sz w:val="12"/>
                <w:szCs w:val="12"/>
              </w:rPr>
              <w:t>SEBD</w:t>
            </w:r>
          </w:p>
        </w:tc>
      </w:tr>
      <w:tr w:rsidR="00572995" w:rsidRPr="00483EBE" w14:paraId="46E8A8A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4E0918"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22BFAF3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EB2A8FA"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1709554A"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5C19C2E2"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6356517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0180E5C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8FBD411"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000362AD" w14:textId="77777777" w:rsidR="00572995" w:rsidRPr="00483EBE" w:rsidRDefault="00572995" w:rsidP="00E8324D">
            <w:pPr>
              <w:pStyle w:val="Tablas"/>
              <w:rPr>
                <w:sz w:val="12"/>
                <w:szCs w:val="12"/>
              </w:rPr>
            </w:pPr>
            <w:r w:rsidRPr="00483EBE">
              <w:rPr>
                <w:sz w:val="12"/>
                <w:szCs w:val="12"/>
              </w:rPr>
              <w:t xml:space="preserve">268 </w:t>
            </w:r>
          </w:p>
        </w:tc>
        <w:tc>
          <w:tcPr>
            <w:tcW w:w="0" w:type="auto"/>
            <w:tcBorders>
              <w:top w:val="nil"/>
              <w:left w:val="nil"/>
              <w:bottom w:val="single" w:sz="4" w:space="0" w:color="auto"/>
              <w:right w:val="single" w:sz="4" w:space="0" w:color="auto"/>
            </w:tcBorders>
            <w:shd w:val="clear" w:color="auto" w:fill="auto"/>
            <w:vAlign w:val="center"/>
            <w:hideMark/>
          </w:tcPr>
          <w:p w14:paraId="1CED4544" w14:textId="77777777" w:rsidR="00572995" w:rsidRPr="00483EBE" w:rsidRDefault="00572995" w:rsidP="00E8324D">
            <w:pPr>
              <w:pStyle w:val="Tablas"/>
              <w:rPr>
                <w:sz w:val="12"/>
                <w:szCs w:val="12"/>
              </w:rPr>
            </w:pPr>
            <w:r w:rsidRPr="00483EBE">
              <w:rPr>
                <w:sz w:val="12"/>
                <w:szCs w:val="12"/>
              </w:rPr>
              <w:t>$1,374,081</w:t>
            </w:r>
          </w:p>
        </w:tc>
        <w:tc>
          <w:tcPr>
            <w:tcW w:w="0" w:type="auto"/>
            <w:tcBorders>
              <w:top w:val="nil"/>
              <w:left w:val="nil"/>
              <w:bottom w:val="single" w:sz="4" w:space="0" w:color="auto"/>
              <w:right w:val="single" w:sz="4" w:space="0" w:color="auto"/>
            </w:tcBorders>
            <w:shd w:val="clear" w:color="auto" w:fill="auto"/>
            <w:vAlign w:val="center"/>
            <w:hideMark/>
          </w:tcPr>
          <w:p w14:paraId="558700F1" w14:textId="77777777" w:rsidR="00572995" w:rsidRPr="00483EBE" w:rsidRDefault="00572995" w:rsidP="00E8324D">
            <w:pPr>
              <w:pStyle w:val="Tablas"/>
              <w:rPr>
                <w:sz w:val="12"/>
                <w:szCs w:val="12"/>
              </w:rPr>
            </w:pPr>
            <w:r w:rsidRPr="00483EBE">
              <w:rPr>
                <w:sz w:val="12"/>
                <w:szCs w:val="12"/>
              </w:rPr>
              <w:t>$5,127</w:t>
            </w:r>
          </w:p>
        </w:tc>
        <w:tc>
          <w:tcPr>
            <w:tcW w:w="0" w:type="auto"/>
            <w:tcBorders>
              <w:top w:val="nil"/>
              <w:left w:val="nil"/>
              <w:bottom w:val="single" w:sz="4" w:space="0" w:color="auto"/>
              <w:right w:val="single" w:sz="4" w:space="0" w:color="auto"/>
            </w:tcBorders>
            <w:shd w:val="clear" w:color="auto" w:fill="auto"/>
            <w:vAlign w:val="center"/>
            <w:hideMark/>
          </w:tcPr>
          <w:p w14:paraId="373C10E7" w14:textId="77777777" w:rsidR="00572995" w:rsidRPr="00483EBE" w:rsidRDefault="00572995" w:rsidP="00E8324D">
            <w:pPr>
              <w:pStyle w:val="Tablas"/>
              <w:rPr>
                <w:sz w:val="12"/>
                <w:szCs w:val="12"/>
              </w:rPr>
            </w:pPr>
            <w:r w:rsidRPr="00483EBE">
              <w:rPr>
                <w:sz w:val="12"/>
                <w:szCs w:val="12"/>
              </w:rPr>
              <w:t>$427</w:t>
            </w:r>
          </w:p>
        </w:tc>
        <w:tc>
          <w:tcPr>
            <w:tcW w:w="0" w:type="auto"/>
            <w:tcBorders>
              <w:top w:val="nil"/>
              <w:left w:val="nil"/>
              <w:bottom w:val="single" w:sz="4" w:space="0" w:color="auto"/>
              <w:right w:val="single" w:sz="4" w:space="0" w:color="auto"/>
            </w:tcBorders>
            <w:shd w:val="clear" w:color="auto" w:fill="auto"/>
            <w:vAlign w:val="center"/>
            <w:hideMark/>
          </w:tcPr>
          <w:p w14:paraId="16614CE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DD1063A" w14:textId="77777777" w:rsidR="00572995" w:rsidRPr="00483EBE" w:rsidRDefault="00572995" w:rsidP="00E8324D">
            <w:pPr>
              <w:pStyle w:val="Tablas"/>
              <w:rPr>
                <w:sz w:val="12"/>
                <w:szCs w:val="12"/>
              </w:rPr>
            </w:pPr>
            <w:r w:rsidRPr="00483EBE">
              <w:rPr>
                <w:sz w:val="12"/>
                <w:szCs w:val="12"/>
              </w:rPr>
              <w:t>SEBD</w:t>
            </w:r>
          </w:p>
        </w:tc>
      </w:tr>
      <w:tr w:rsidR="00572995" w:rsidRPr="00483EBE" w14:paraId="7ABD705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9AD061"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5C38FE8A"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189E427" w14:textId="77777777" w:rsidR="00572995" w:rsidRPr="00483EBE" w:rsidRDefault="00572995" w:rsidP="00E8324D">
            <w:pPr>
              <w:pStyle w:val="Tablas"/>
              <w:rPr>
                <w:sz w:val="12"/>
                <w:szCs w:val="12"/>
              </w:rPr>
            </w:pPr>
            <w:r w:rsidRPr="00483EBE">
              <w:rPr>
                <w:sz w:val="12"/>
                <w:szCs w:val="12"/>
              </w:rPr>
              <w:t>$3,796</w:t>
            </w:r>
          </w:p>
        </w:tc>
        <w:tc>
          <w:tcPr>
            <w:tcW w:w="0" w:type="auto"/>
            <w:tcBorders>
              <w:top w:val="nil"/>
              <w:left w:val="nil"/>
              <w:bottom w:val="single" w:sz="4" w:space="0" w:color="auto"/>
              <w:right w:val="single" w:sz="4" w:space="0" w:color="auto"/>
            </w:tcBorders>
            <w:shd w:val="clear" w:color="auto" w:fill="auto"/>
            <w:vAlign w:val="center"/>
            <w:hideMark/>
          </w:tcPr>
          <w:p w14:paraId="720274D8" w14:textId="77777777" w:rsidR="00572995" w:rsidRPr="00483EBE" w:rsidRDefault="00572995" w:rsidP="00E8324D">
            <w:pPr>
              <w:pStyle w:val="Tablas"/>
              <w:rPr>
                <w:sz w:val="12"/>
                <w:szCs w:val="12"/>
              </w:rPr>
            </w:pPr>
            <w:r w:rsidRPr="00483EBE">
              <w:rPr>
                <w:sz w:val="12"/>
                <w:szCs w:val="12"/>
              </w:rPr>
              <w:t>$1,898</w:t>
            </w:r>
          </w:p>
        </w:tc>
        <w:tc>
          <w:tcPr>
            <w:tcW w:w="0" w:type="auto"/>
            <w:tcBorders>
              <w:top w:val="nil"/>
              <w:left w:val="nil"/>
              <w:bottom w:val="single" w:sz="4" w:space="0" w:color="auto"/>
              <w:right w:val="single" w:sz="4" w:space="0" w:color="auto"/>
            </w:tcBorders>
            <w:shd w:val="clear" w:color="auto" w:fill="auto"/>
            <w:vAlign w:val="center"/>
            <w:hideMark/>
          </w:tcPr>
          <w:p w14:paraId="63498A03" w14:textId="77777777" w:rsidR="00572995" w:rsidRPr="00483EBE" w:rsidRDefault="00572995" w:rsidP="00E8324D">
            <w:pPr>
              <w:pStyle w:val="Tablas"/>
              <w:rPr>
                <w:sz w:val="12"/>
                <w:szCs w:val="12"/>
              </w:rPr>
            </w:pPr>
            <w:r w:rsidRPr="00483EBE">
              <w:rPr>
                <w:sz w:val="12"/>
                <w:szCs w:val="12"/>
              </w:rPr>
              <w:t>$158</w:t>
            </w:r>
          </w:p>
        </w:tc>
        <w:tc>
          <w:tcPr>
            <w:tcW w:w="0" w:type="auto"/>
            <w:tcBorders>
              <w:top w:val="nil"/>
              <w:left w:val="nil"/>
              <w:bottom w:val="single" w:sz="4" w:space="0" w:color="auto"/>
              <w:right w:val="single" w:sz="4" w:space="0" w:color="auto"/>
            </w:tcBorders>
            <w:shd w:val="clear" w:color="auto" w:fill="auto"/>
            <w:vAlign w:val="center"/>
            <w:hideMark/>
          </w:tcPr>
          <w:p w14:paraId="1740858F"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1508B1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F446B9"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1B49F37D" w14:textId="77777777" w:rsidR="00572995" w:rsidRPr="00483EBE" w:rsidRDefault="00572995" w:rsidP="00E8324D">
            <w:pPr>
              <w:pStyle w:val="Tablas"/>
              <w:rPr>
                <w:sz w:val="12"/>
                <w:szCs w:val="12"/>
              </w:rPr>
            </w:pPr>
            <w:r w:rsidRPr="00483EBE">
              <w:rPr>
                <w:sz w:val="12"/>
                <w:szCs w:val="12"/>
              </w:rPr>
              <w:t xml:space="preserve">252 </w:t>
            </w:r>
          </w:p>
        </w:tc>
        <w:tc>
          <w:tcPr>
            <w:tcW w:w="0" w:type="auto"/>
            <w:tcBorders>
              <w:top w:val="nil"/>
              <w:left w:val="nil"/>
              <w:bottom w:val="single" w:sz="4" w:space="0" w:color="auto"/>
              <w:right w:val="single" w:sz="4" w:space="0" w:color="auto"/>
            </w:tcBorders>
            <w:shd w:val="clear" w:color="auto" w:fill="auto"/>
            <w:vAlign w:val="center"/>
            <w:hideMark/>
          </w:tcPr>
          <w:p w14:paraId="7F0EB270" w14:textId="77777777" w:rsidR="00572995" w:rsidRPr="00483EBE" w:rsidRDefault="00572995" w:rsidP="00E8324D">
            <w:pPr>
              <w:pStyle w:val="Tablas"/>
              <w:rPr>
                <w:sz w:val="12"/>
                <w:szCs w:val="12"/>
              </w:rPr>
            </w:pPr>
            <w:r w:rsidRPr="00483EBE">
              <w:rPr>
                <w:sz w:val="12"/>
                <w:szCs w:val="12"/>
              </w:rPr>
              <w:t>$1,193,573</w:t>
            </w:r>
          </w:p>
        </w:tc>
        <w:tc>
          <w:tcPr>
            <w:tcW w:w="0" w:type="auto"/>
            <w:tcBorders>
              <w:top w:val="nil"/>
              <w:left w:val="nil"/>
              <w:bottom w:val="single" w:sz="4" w:space="0" w:color="auto"/>
              <w:right w:val="single" w:sz="4" w:space="0" w:color="auto"/>
            </w:tcBorders>
            <w:shd w:val="clear" w:color="auto" w:fill="auto"/>
            <w:vAlign w:val="center"/>
            <w:hideMark/>
          </w:tcPr>
          <w:p w14:paraId="71E05D15" w14:textId="77777777" w:rsidR="00572995" w:rsidRPr="00483EBE" w:rsidRDefault="00572995" w:rsidP="00E8324D">
            <w:pPr>
              <w:pStyle w:val="Tablas"/>
              <w:rPr>
                <w:sz w:val="12"/>
                <w:szCs w:val="12"/>
              </w:rPr>
            </w:pPr>
            <w:r w:rsidRPr="00483EBE">
              <w:rPr>
                <w:sz w:val="12"/>
                <w:szCs w:val="12"/>
              </w:rPr>
              <w:t>$4,736</w:t>
            </w:r>
          </w:p>
        </w:tc>
        <w:tc>
          <w:tcPr>
            <w:tcW w:w="0" w:type="auto"/>
            <w:tcBorders>
              <w:top w:val="nil"/>
              <w:left w:val="nil"/>
              <w:bottom w:val="single" w:sz="4" w:space="0" w:color="auto"/>
              <w:right w:val="single" w:sz="4" w:space="0" w:color="auto"/>
            </w:tcBorders>
            <w:shd w:val="clear" w:color="auto" w:fill="auto"/>
            <w:vAlign w:val="center"/>
            <w:hideMark/>
          </w:tcPr>
          <w:p w14:paraId="475FEC22" w14:textId="77777777" w:rsidR="00572995" w:rsidRPr="00483EBE" w:rsidRDefault="00572995" w:rsidP="00E8324D">
            <w:pPr>
              <w:pStyle w:val="Tablas"/>
              <w:rPr>
                <w:sz w:val="12"/>
                <w:szCs w:val="12"/>
              </w:rPr>
            </w:pPr>
            <w:r w:rsidRPr="00483EBE">
              <w:rPr>
                <w:sz w:val="12"/>
                <w:szCs w:val="12"/>
              </w:rPr>
              <w:t>$395</w:t>
            </w:r>
          </w:p>
        </w:tc>
        <w:tc>
          <w:tcPr>
            <w:tcW w:w="0" w:type="auto"/>
            <w:tcBorders>
              <w:top w:val="nil"/>
              <w:left w:val="nil"/>
              <w:bottom w:val="single" w:sz="4" w:space="0" w:color="auto"/>
              <w:right w:val="single" w:sz="4" w:space="0" w:color="auto"/>
            </w:tcBorders>
            <w:shd w:val="clear" w:color="auto" w:fill="auto"/>
            <w:vAlign w:val="center"/>
            <w:hideMark/>
          </w:tcPr>
          <w:p w14:paraId="45F2B7C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B814EEC" w14:textId="77777777" w:rsidR="00572995" w:rsidRPr="00483EBE" w:rsidRDefault="00572995" w:rsidP="00E8324D">
            <w:pPr>
              <w:pStyle w:val="Tablas"/>
              <w:rPr>
                <w:sz w:val="12"/>
                <w:szCs w:val="12"/>
              </w:rPr>
            </w:pPr>
            <w:r w:rsidRPr="00483EBE">
              <w:rPr>
                <w:sz w:val="12"/>
                <w:szCs w:val="12"/>
              </w:rPr>
              <w:t>SEBD</w:t>
            </w:r>
          </w:p>
        </w:tc>
      </w:tr>
      <w:tr w:rsidR="00572995" w:rsidRPr="00483EBE" w14:paraId="034D751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08C0483" w14:textId="77777777" w:rsidR="00572995" w:rsidRPr="00483EBE" w:rsidRDefault="00572995" w:rsidP="00E8324D">
            <w:pPr>
              <w:pStyle w:val="Tablas"/>
              <w:rPr>
                <w:sz w:val="12"/>
                <w:szCs w:val="12"/>
              </w:rPr>
            </w:pPr>
            <w:r w:rsidRPr="00483EBE">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2695EAEF"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062A864" w14:textId="77777777" w:rsidR="00572995" w:rsidRPr="00483EBE" w:rsidRDefault="00572995" w:rsidP="00E8324D">
            <w:pPr>
              <w:pStyle w:val="Tablas"/>
              <w:rPr>
                <w:sz w:val="12"/>
                <w:szCs w:val="12"/>
              </w:rPr>
            </w:pPr>
            <w:r w:rsidRPr="00483EBE">
              <w:rPr>
                <w:sz w:val="12"/>
                <w:szCs w:val="12"/>
              </w:rPr>
              <w:t>$3,722</w:t>
            </w:r>
          </w:p>
        </w:tc>
        <w:tc>
          <w:tcPr>
            <w:tcW w:w="0" w:type="auto"/>
            <w:tcBorders>
              <w:top w:val="nil"/>
              <w:left w:val="nil"/>
              <w:bottom w:val="single" w:sz="4" w:space="0" w:color="auto"/>
              <w:right w:val="single" w:sz="4" w:space="0" w:color="auto"/>
            </w:tcBorders>
            <w:shd w:val="clear" w:color="auto" w:fill="auto"/>
            <w:vAlign w:val="center"/>
            <w:hideMark/>
          </w:tcPr>
          <w:p w14:paraId="43E2EECD" w14:textId="77777777" w:rsidR="00572995" w:rsidRPr="00483EBE" w:rsidRDefault="00572995" w:rsidP="00E8324D">
            <w:pPr>
              <w:pStyle w:val="Tablas"/>
              <w:rPr>
                <w:sz w:val="12"/>
                <w:szCs w:val="12"/>
              </w:rPr>
            </w:pPr>
            <w:r w:rsidRPr="00483EBE">
              <w:rPr>
                <w:sz w:val="12"/>
                <w:szCs w:val="12"/>
              </w:rPr>
              <w:t>$1,861</w:t>
            </w:r>
          </w:p>
        </w:tc>
        <w:tc>
          <w:tcPr>
            <w:tcW w:w="0" w:type="auto"/>
            <w:tcBorders>
              <w:top w:val="nil"/>
              <w:left w:val="nil"/>
              <w:bottom w:val="single" w:sz="4" w:space="0" w:color="auto"/>
              <w:right w:val="single" w:sz="4" w:space="0" w:color="auto"/>
            </w:tcBorders>
            <w:shd w:val="clear" w:color="auto" w:fill="auto"/>
            <w:vAlign w:val="center"/>
            <w:hideMark/>
          </w:tcPr>
          <w:p w14:paraId="73F00C94" w14:textId="77777777" w:rsidR="00572995" w:rsidRPr="00483EBE" w:rsidRDefault="00572995" w:rsidP="00E8324D">
            <w:pPr>
              <w:pStyle w:val="Tablas"/>
              <w:rPr>
                <w:sz w:val="12"/>
                <w:szCs w:val="12"/>
              </w:rPr>
            </w:pPr>
            <w:r w:rsidRPr="00483EBE">
              <w:rPr>
                <w:sz w:val="12"/>
                <w:szCs w:val="12"/>
              </w:rPr>
              <w:t>$155</w:t>
            </w:r>
          </w:p>
        </w:tc>
        <w:tc>
          <w:tcPr>
            <w:tcW w:w="0" w:type="auto"/>
            <w:tcBorders>
              <w:top w:val="nil"/>
              <w:left w:val="nil"/>
              <w:bottom w:val="single" w:sz="4" w:space="0" w:color="auto"/>
              <w:right w:val="single" w:sz="4" w:space="0" w:color="auto"/>
            </w:tcBorders>
            <w:shd w:val="clear" w:color="auto" w:fill="auto"/>
            <w:vAlign w:val="center"/>
            <w:hideMark/>
          </w:tcPr>
          <w:p w14:paraId="5B1F8F5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4CBB78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64CA097"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74B9A5EE" w14:textId="77777777" w:rsidR="00572995" w:rsidRPr="00483EBE" w:rsidRDefault="00572995" w:rsidP="00E8324D">
            <w:pPr>
              <w:pStyle w:val="Tablas"/>
              <w:rPr>
                <w:sz w:val="12"/>
                <w:szCs w:val="12"/>
              </w:rPr>
            </w:pPr>
            <w:r w:rsidRPr="00483EBE">
              <w:rPr>
                <w:sz w:val="12"/>
                <w:szCs w:val="12"/>
              </w:rPr>
              <w:t xml:space="preserve">253 </w:t>
            </w:r>
          </w:p>
        </w:tc>
        <w:tc>
          <w:tcPr>
            <w:tcW w:w="0" w:type="auto"/>
            <w:tcBorders>
              <w:top w:val="nil"/>
              <w:left w:val="nil"/>
              <w:bottom w:val="single" w:sz="4" w:space="0" w:color="auto"/>
              <w:right w:val="single" w:sz="4" w:space="0" w:color="auto"/>
            </w:tcBorders>
            <w:shd w:val="clear" w:color="auto" w:fill="auto"/>
            <w:vAlign w:val="center"/>
            <w:hideMark/>
          </w:tcPr>
          <w:p w14:paraId="111F9D04" w14:textId="77777777" w:rsidR="00572995" w:rsidRPr="00483EBE" w:rsidRDefault="00572995" w:rsidP="00E8324D">
            <w:pPr>
              <w:pStyle w:val="Tablas"/>
              <w:rPr>
                <w:sz w:val="12"/>
                <w:szCs w:val="12"/>
              </w:rPr>
            </w:pPr>
            <w:r w:rsidRPr="00483EBE">
              <w:rPr>
                <w:sz w:val="12"/>
                <w:szCs w:val="12"/>
              </w:rPr>
              <w:t>$1,122,681</w:t>
            </w:r>
          </w:p>
        </w:tc>
        <w:tc>
          <w:tcPr>
            <w:tcW w:w="0" w:type="auto"/>
            <w:tcBorders>
              <w:top w:val="nil"/>
              <w:left w:val="nil"/>
              <w:bottom w:val="single" w:sz="4" w:space="0" w:color="auto"/>
              <w:right w:val="single" w:sz="4" w:space="0" w:color="auto"/>
            </w:tcBorders>
            <w:shd w:val="clear" w:color="auto" w:fill="auto"/>
            <w:vAlign w:val="center"/>
            <w:hideMark/>
          </w:tcPr>
          <w:p w14:paraId="04D7582E" w14:textId="77777777" w:rsidR="00572995" w:rsidRPr="00483EBE" w:rsidRDefault="00572995" w:rsidP="00E8324D">
            <w:pPr>
              <w:pStyle w:val="Tablas"/>
              <w:rPr>
                <w:sz w:val="12"/>
                <w:szCs w:val="12"/>
              </w:rPr>
            </w:pPr>
            <w:r w:rsidRPr="00483EBE">
              <w:rPr>
                <w:sz w:val="12"/>
                <w:szCs w:val="12"/>
              </w:rPr>
              <w:t>$4,437</w:t>
            </w:r>
          </w:p>
        </w:tc>
        <w:tc>
          <w:tcPr>
            <w:tcW w:w="0" w:type="auto"/>
            <w:tcBorders>
              <w:top w:val="nil"/>
              <w:left w:val="nil"/>
              <w:bottom w:val="single" w:sz="4" w:space="0" w:color="auto"/>
              <w:right w:val="single" w:sz="4" w:space="0" w:color="auto"/>
            </w:tcBorders>
            <w:shd w:val="clear" w:color="auto" w:fill="auto"/>
            <w:vAlign w:val="center"/>
            <w:hideMark/>
          </w:tcPr>
          <w:p w14:paraId="545E9941" w14:textId="77777777" w:rsidR="00572995" w:rsidRPr="00483EBE" w:rsidRDefault="00572995" w:rsidP="00E8324D">
            <w:pPr>
              <w:pStyle w:val="Tablas"/>
              <w:rPr>
                <w:sz w:val="12"/>
                <w:szCs w:val="12"/>
              </w:rPr>
            </w:pPr>
            <w:r w:rsidRPr="00483EBE">
              <w:rPr>
                <w:sz w:val="12"/>
                <w:szCs w:val="12"/>
              </w:rPr>
              <w:t>$370</w:t>
            </w:r>
          </w:p>
        </w:tc>
        <w:tc>
          <w:tcPr>
            <w:tcW w:w="0" w:type="auto"/>
            <w:tcBorders>
              <w:top w:val="nil"/>
              <w:left w:val="nil"/>
              <w:bottom w:val="single" w:sz="4" w:space="0" w:color="auto"/>
              <w:right w:val="single" w:sz="4" w:space="0" w:color="auto"/>
            </w:tcBorders>
            <w:shd w:val="clear" w:color="auto" w:fill="auto"/>
            <w:vAlign w:val="center"/>
            <w:hideMark/>
          </w:tcPr>
          <w:p w14:paraId="4C2A237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79F3F56" w14:textId="77777777" w:rsidR="00572995" w:rsidRPr="00483EBE" w:rsidRDefault="00572995" w:rsidP="00E8324D">
            <w:pPr>
              <w:pStyle w:val="Tablas"/>
              <w:rPr>
                <w:sz w:val="12"/>
                <w:szCs w:val="12"/>
              </w:rPr>
            </w:pPr>
            <w:r w:rsidRPr="00483EBE">
              <w:rPr>
                <w:sz w:val="12"/>
                <w:szCs w:val="12"/>
              </w:rPr>
              <w:t>SEBD</w:t>
            </w:r>
          </w:p>
        </w:tc>
      </w:tr>
      <w:tr w:rsidR="00572995" w:rsidRPr="00483EBE" w14:paraId="1DB704D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912189" w14:textId="77777777" w:rsidR="00572995" w:rsidRPr="00483EBE" w:rsidRDefault="00572995" w:rsidP="00E8324D">
            <w:pPr>
              <w:pStyle w:val="Tablas"/>
              <w:rPr>
                <w:sz w:val="12"/>
                <w:szCs w:val="12"/>
              </w:rPr>
            </w:pPr>
            <w:r w:rsidRPr="00483EBE">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53C0511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3F506A1" w14:textId="77777777" w:rsidR="00572995" w:rsidRPr="00483EBE" w:rsidRDefault="00572995" w:rsidP="00E8324D">
            <w:pPr>
              <w:pStyle w:val="Tablas"/>
              <w:rPr>
                <w:sz w:val="12"/>
                <w:szCs w:val="12"/>
              </w:rPr>
            </w:pPr>
            <w:r w:rsidRPr="00483EBE">
              <w:rPr>
                <w:sz w:val="12"/>
                <w:szCs w:val="12"/>
              </w:rPr>
              <w:t>$1,635</w:t>
            </w:r>
          </w:p>
        </w:tc>
        <w:tc>
          <w:tcPr>
            <w:tcW w:w="0" w:type="auto"/>
            <w:tcBorders>
              <w:top w:val="nil"/>
              <w:left w:val="nil"/>
              <w:bottom w:val="single" w:sz="4" w:space="0" w:color="auto"/>
              <w:right w:val="single" w:sz="4" w:space="0" w:color="auto"/>
            </w:tcBorders>
            <w:shd w:val="clear" w:color="auto" w:fill="auto"/>
            <w:vAlign w:val="center"/>
            <w:hideMark/>
          </w:tcPr>
          <w:p w14:paraId="3A0C0556" w14:textId="77777777" w:rsidR="00572995" w:rsidRPr="00483EBE" w:rsidRDefault="00572995" w:rsidP="00E8324D">
            <w:pPr>
              <w:pStyle w:val="Tablas"/>
              <w:rPr>
                <w:sz w:val="12"/>
                <w:szCs w:val="12"/>
              </w:rPr>
            </w:pPr>
            <w:r w:rsidRPr="00483EBE">
              <w:rPr>
                <w:sz w:val="12"/>
                <w:szCs w:val="12"/>
              </w:rPr>
              <w:t>$1,635</w:t>
            </w:r>
          </w:p>
        </w:tc>
        <w:tc>
          <w:tcPr>
            <w:tcW w:w="0" w:type="auto"/>
            <w:tcBorders>
              <w:top w:val="nil"/>
              <w:left w:val="nil"/>
              <w:bottom w:val="single" w:sz="4" w:space="0" w:color="auto"/>
              <w:right w:val="single" w:sz="4" w:space="0" w:color="auto"/>
            </w:tcBorders>
            <w:shd w:val="clear" w:color="auto" w:fill="auto"/>
            <w:vAlign w:val="center"/>
            <w:hideMark/>
          </w:tcPr>
          <w:p w14:paraId="7A358C94" w14:textId="77777777" w:rsidR="00572995" w:rsidRPr="00483EBE" w:rsidRDefault="00572995" w:rsidP="00E8324D">
            <w:pPr>
              <w:pStyle w:val="Tablas"/>
              <w:rPr>
                <w:sz w:val="12"/>
                <w:szCs w:val="12"/>
              </w:rPr>
            </w:pPr>
            <w:r w:rsidRPr="00483EBE">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735F0FE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0F156B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97E5C5"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0F56A11E" w14:textId="77777777" w:rsidR="00572995" w:rsidRPr="00483EBE" w:rsidRDefault="00572995" w:rsidP="00E8324D">
            <w:pPr>
              <w:pStyle w:val="Tablas"/>
              <w:rPr>
                <w:sz w:val="12"/>
                <w:szCs w:val="12"/>
              </w:rPr>
            </w:pPr>
            <w:r w:rsidRPr="00483EBE">
              <w:rPr>
                <w:sz w:val="12"/>
                <w:szCs w:val="12"/>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96FBA9E" w14:textId="77777777" w:rsidR="00572995" w:rsidRPr="00483EBE" w:rsidRDefault="00572995" w:rsidP="00E8324D">
            <w:pPr>
              <w:pStyle w:val="Tablas"/>
              <w:rPr>
                <w:sz w:val="12"/>
                <w:szCs w:val="12"/>
              </w:rPr>
            </w:pPr>
            <w:r w:rsidRPr="00483EBE">
              <w:rPr>
                <w:sz w:val="12"/>
                <w:szCs w:val="12"/>
              </w:rPr>
              <w:t>$942,036</w:t>
            </w:r>
          </w:p>
        </w:tc>
        <w:tc>
          <w:tcPr>
            <w:tcW w:w="0" w:type="auto"/>
            <w:tcBorders>
              <w:top w:val="nil"/>
              <w:left w:val="nil"/>
              <w:bottom w:val="single" w:sz="4" w:space="0" w:color="auto"/>
              <w:right w:val="single" w:sz="4" w:space="0" w:color="auto"/>
            </w:tcBorders>
            <w:shd w:val="clear" w:color="auto" w:fill="auto"/>
            <w:vAlign w:val="center"/>
            <w:hideMark/>
          </w:tcPr>
          <w:p w14:paraId="1E56F426" w14:textId="77777777" w:rsidR="00572995" w:rsidRPr="00483EBE" w:rsidRDefault="00572995" w:rsidP="00E8324D">
            <w:pPr>
              <w:pStyle w:val="Tablas"/>
              <w:rPr>
                <w:sz w:val="12"/>
                <w:szCs w:val="12"/>
              </w:rPr>
            </w:pPr>
            <w:r w:rsidRPr="00483EBE">
              <w:rPr>
                <w:sz w:val="12"/>
                <w:szCs w:val="12"/>
              </w:rPr>
              <w:t>$4,710</w:t>
            </w:r>
          </w:p>
        </w:tc>
        <w:tc>
          <w:tcPr>
            <w:tcW w:w="0" w:type="auto"/>
            <w:tcBorders>
              <w:top w:val="nil"/>
              <w:left w:val="nil"/>
              <w:bottom w:val="single" w:sz="4" w:space="0" w:color="auto"/>
              <w:right w:val="single" w:sz="4" w:space="0" w:color="auto"/>
            </w:tcBorders>
            <w:shd w:val="clear" w:color="auto" w:fill="auto"/>
            <w:vAlign w:val="center"/>
            <w:hideMark/>
          </w:tcPr>
          <w:p w14:paraId="08E12ADA" w14:textId="77777777" w:rsidR="00572995" w:rsidRPr="00483EBE" w:rsidRDefault="00572995" w:rsidP="00E8324D">
            <w:pPr>
              <w:pStyle w:val="Tablas"/>
              <w:rPr>
                <w:sz w:val="12"/>
                <w:szCs w:val="12"/>
              </w:rPr>
            </w:pPr>
            <w:r w:rsidRPr="00483EBE">
              <w:rPr>
                <w:sz w:val="12"/>
                <w:szCs w:val="12"/>
              </w:rPr>
              <w:t>$393</w:t>
            </w:r>
          </w:p>
        </w:tc>
        <w:tc>
          <w:tcPr>
            <w:tcW w:w="0" w:type="auto"/>
            <w:tcBorders>
              <w:top w:val="nil"/>
              <w:left w:val="nil"/>
              <w:bottom w:val="single" w:sz="4" w:space="0" w:color="auto"/>
              <w:right w:val="single" w:sz="4" w:space="0" w:color="auto"/>
            </w:tcBorders>
            <w:shd w:val="clear" w:color="auto" w:fill="auto"/>
            <w:vAlign w:val="center"/>
            <w:hideMark/>
          </w:tcPr>
          <w:p w14:paraId="4135A6E4"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2504D6C" w14:textId="77777777" w:rsidR="00572995" w:rsidRPr="00483EBE" w:rsidRDefault="00572995" w:rsidP="00E8324D">
            <w:pPr>
              <w:pStyle w:val="Tablas"/>
              <w:rPr>
                <w:sz w:val="12"/>
                <w:szCs w:val="12"/>
              </w:rPr>
            </w:pPr>
            <w:r w:rsidRPr="00483EBE">
              <w:rPr>
                <w:sz w:val="12"/>
                <w:szCs w:val="12"/>
              </w:rPr>
              <w:t>SEBD</w:t>
            </w:r>
          </w:p>
        </w:tc>
      </w:tr>
      <w:tr w:rsidR="00572995" w:rsidRPr="00483EBE" w14:paraId="0F3CAF8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41BFCB" w14:textId="77777777" w:rsidR="00572995" w:rsidRPr="00483EBE" w:rsidRDefault="00572995" w:rsidP="00E8324D">
            <w:pPr>
              <w:pStyle w:val="Tablas"/>
              <w:rPr>
                <w:sz w:val="12"/>
                <w:szCs w:val="12"/>
              </w:rPr>
            </w:pPr>
            <w:r w:rsidRPr="00483EBE">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226782C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80FB578" w14:textId="77777777" w:rsidR="00572995" w:rsidRPr="00483EBE" w:rsidRDefault="00572995" w:rsidP="00E8324D">
            <w:pPr>
              <w:pStyle w:val="Tablas"/>
              <w:rPr>
                <w:sz w:val="12"/>
                <w:szCs w:val="12"/>
              </w:rPr>
            </w:pPr>
            <w:r w:rsidRPr="00483EBE">
              <w:rPr>
                <w:sz w:val="12"/>
                <w:szCs w:val="12"/>
              </w:rPr>
              <w:t>$9,059</w:t>
            </w:r>
          </w:p>
        </w:tc>
        <w:tc>
          <w:tcPr>
            <w:tcW w:w="0" w:type="auto"/>
            <w:tcBorders>
              <w:top w:val="nil"/>
              <w:left w:val="nil"/>
              <w:bottom w:val="single" w:sz="4" w:space="0" w:color="auto"/>
              <w:right w:val="single" w:sz="4" w:space="0" w:color="auto"/>
            </w:tcBorders>
            <w:shd w:val="clear" w:color="auto" w:fill="auto"/>
            <w:vAlign w:val="center"/>
            <w:hideMark/>
          </w:tcPr>
          <w:p w14:paraId="0DB1C5DE" w14:textId="77777777" w:rsidR="00572995" w:rsidRPr="00483EBE" w:rsidRDefault="00572995" w:rsidP="00E8324D">
            <w:pPr>
              <w:pStyle w:val="Tablas"/>
              <w:rPr>
                <w:sz w:val="12"/>
                <w:szCs w:val="12"/>
              </w:rPr>
            </w:pPr>
            <w:r w:rsidRPr="00483EBE">
              <w:rPr>
                <w:sz w:val="12"/>
                <w:szCs w:val="12"/>
              </w:rPr>
              <w:t>$3,020</w:t>
            </w:r>
          </w:p>
        </w:tc>
        <w:tc>
          <w:tcPr>
            <w:tcW w:w="0" w:type="auto"/>
            <w:tcBorders>
              <w:top w:val="nil"/>
              <w:left w:val="nil"/>
              <w:bottom w:val="single" w:sz="4" w:space="0" w:color="auto"/>
              <w:right w:val="single" w:sz="4" w:space="0" w:color="auto"/>
            </w:tcBorders>
            <w:shd w:val="clear" w:color="auto" w:fill="auto"/>
            <w:vAlign w:val="center"/>
            <w:hideMark/>
          </w:tcPr>
          <w:p w14:paraId="78008021" w14:textId="77777777" w:rsidR="00572995" w:rsidRPr="00483EBE" w:rsidRDefault="00572995" w:rsidP="00E8324D">
            <w:pPr>
              <w:pStyle w:val="Tablas"/>
              <w:rPr>
                <w:sz w:val="12"/>
                <w:szCs w:val="12"/>
              </w:rPr>
            </w:pPr>
            <w:r w:rsidRPr="00483EBE">
              <w:rPr>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464071D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15B344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F110A3"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45180153" w14:textId="77777777" w:rsidR="00572995" w:rsidRPr="00483EBE" w:rsidRDefault="00572995" w:rsidP="00E8324D">
            <w:pPr>
              <w:pStyle w:val="Tablas"/>
              <w:rPr>
                <w:sz w:val="12"/>
                <w:szCs w:val="12"/>
              </w:rPr>
            </w:pPr>
            <w:r w:rsidRPr="00483EBE">
              <w:rPr>
                <w:sz w:val="12"/>
                <w:szCs w:val="12"/>
              </w:rPr>
              <w:t xml:space="preserve">169 </w:t>
            </w:r>
          </w:p>
        </w:tc>
        <w:tc>
          <w:tcPr>
            <w:tcW w:w="0" w:type="auto"/>
            <w:tcBorders>
              <w:top w:val="nil"/>
              <w:left w:val="nil"/>
              <w:bottom w:val="single" w:sz="4" w:space="0" w:color="auto"/>
              <w:right w:val="single" w:sz="4" w:space="0" w:color="auto"/>
            </w:tcBorders>
            <w:shd w:val="clear" w:color="auto" w:fill="auto"/>
            <w:vAlign w:val="center"/>
            <w:hideMark/>
          </w:tcPr>
          <w:p w14:paraId="44F7AB43" w14:textId="77777777" w:rsidR="00572995" w:rsidRPr="00483EBE" w:rsidRDefault="00572995" w:rsidP="00E8324D">
            <w:pPr>
              <w:pStyle w:val="Tablas"/>
              <w:rPr>
                <w:sz w:val="12"/>
                <w:szCs w:val="12"/>
              </w:rPr>
            </w:pPr>
            <w:r w:rsidRPr="00483EBE">
              <w:rPr>
                <w:sz w:val="12"/>
                <w:szCs w:val="12"/>
              </w:rPr>
              <w:t>$777,493</w:t>
            </w:r>
          </w:p>
        </w:tc>
        <w:tc>
          <w:tcPr>
            <w:tcW w:w="0" w:type="auto"/>
            <w:tcBorders>
              <w:top w:val="nil"/>
              <w:left w:val="nil"/>
              <w:bottom w:val="single" w:sz="4" w:space="0" w:color="auto"/>
              <w:right w:val="single" w:sz="4" w:space="0" w:color="auto"/>
            </w:tcBorders>
            <w:shd w:val="clear" w:color="auto" w:fill="auto"/>
            <w:vAlign w:val="center"/>
            <w:hideMark/>
          </w:tcPr>
          <w:p w14:paraId="6C720892" w14:textId="77777777" w:rsidR="00572995" w:rsidRPr="00483EBE" w:rsidRDefault="00572995" w:rsidP="00E8324D">
            <w:pPr>
              <w:pStyle w:val="Tablas"/>
              <w:rPr>
                <w:sz w:val="12"/>
                <w:szCs w:val="12"/>
              </w:rPr>
            </w:pPr>
            <w:r w:rsidRPr="00483EBE">
              <w:rPr>
                <w:sz w:val="12"/>
                <w:szCs w:val="12"/>
              </w:rPr>
              <w:t>$4,601</w:t>
            </w:r>
          </w:p>
        </w:tc>
        <w:tc>
          <w:tcPr>
            <w:tcW w:w="0" w:type="auto"/>
            <w:tcBorders>
              <w:top w:val="nil"/>
              <w:left w:val="nil"/>
              <w:bottom w:val="single" w:sz="4" w:space="0" w:color="auto"/>
              <w:right w:val="single" w:sz="4" w:space="0" w:color="auto"/>
            </w:tcBorders>
            <w:shd w:val="clear" w:color="auto" w:fill="auto"/>
            <w:vAlign w:val="center"/>
            <w:hideMark/>
          </w:tcPr>
          <w:p w14:paraId="6DBFC412" w14:textId="77777777" w:rsidR="00572995" w:rsidRPr="00483EBE" w:rsidRDefault="00572995" w:rsidP="00E8324D">
            <w:pPr>
              <w:pStyle w:val="Tablas"/>
              <w:rPr>
                <w:sz w:val="12"/>
                <w:szCs w:val="12"/>
              </w:rPr>
            </w:pPr>
            <w:r w:rsidRPr="00483EBE">
              <w:rPr>
                <w:sz w:val="12"/>
                <w:szCs w:val="12"/>
              </w:rPr>
              <w:t>$383</w:t>
            </w:r>
          </w:p>
        </w:tc>
        <w:tc>
          <w:tcPr>
            <w:tcW w:w="0" w:type="auto"/>
            <w:tcBorders>
              <w:top w:val="nil"/>
              <w:left w:val="nil"/>
              <w:bottom w:val="single" w:sz="4" w:space="0" w:color="auto"/>
              <w:right w:val="single" w:sz="4" w:space="0" w:color="auto"/>
            </w:tcBorders>
            <w:shd w:val="clear" w:color="auto" w:fill="auto"/>
            <w:vAlign w:val="center"/>
            <w:hideMark/>
          </w:tcPr>
          <w:p w14:paraId="70D1CA44"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B4989EA" w14:textId="77777777" w:rsidR="00572995" w:rsidRPr="00483EBE" w:rsidRDefault="00572995" w:rsidP="00E8324D">
            <w:pPr>
              <w:pStyle w:val="Tablas"/>
              <w:rPr>
                <w:sz w:val="12"/>
                <w:szCs w:val="12"/>
              </w:rPr>
            </w:pPr>
            <w:r w:rsidRPr="00483EBE">
              <w:rPr>
                <w:sz w:val="12"/>
                <w:szCs w:val="12"/>
              </w:rPr>
              <w:t>SEBD</w:t>
            </w:r>
          </w:p>
        </w:tc>
      </w:tr>
      <w:tr w:rsidR="00572995" w:rsidRPr="00483EBE" w14:paraId="615A178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6276A06" w14:textId="77777777" w:rsidR="00572995" w:rsidRPr="00483EBE" w:rsidRDefault="00572995" w:rsidP="00E8324D">
            <w:pPr>
              <w:pStyle w:val="Tablas"/>
              <w:rPr>
                <w:sz w:val="12"/>
                <w:szCs w:val="12"/>
              </w:rPr>
            </w:pPr>
            <w:r w:rsidRPr="00483EBE">
              <w:rPr>
                <w:sz w:val="12"/>
                <w:szCs w:val="12"/>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511B2BB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1A67F208" w14:textId="77777777" w:rsidR="00572995" w:rsidRPr="00483EBE" w:rsidRDefault="00572995" w:rsidP="00E8324D">
            <w:pPr>
              <w:pStyle w:val="Tablas"/>
              <w:rPr>
                <w:sz w:val="12"/>
                <w:szCs w:val="12"/>
              </w:rPr>
            </w:pPr>
            <w:r w:rsidRPr="00483EBE">
              <w:rPr>
                <w:sz w:val="12"/>
                <w:szCs w:val="12"/>
              </w:rPr>
              <w:t>$22,615</w:t>
            </w:r>
          </w:p>
        </w:tc>
        <w:tc>
          <w:tcPr>
            <w:tcW w:w="0" w:type="auto"/>
            <w:tcBorders>
              <w:top w:val="nil"/>
              <w:left w:val="nil"/>
              <w:bottom w:val="single" w:sz="4" w:space="0" w:color="auto"/>
              <w:right w:val="single" w:sz="4" w:space="0" w:color="auto"/>
            </w:tcBorders>
            <w:shd w:val="clear" w:color="auto" w:fill="auto"/>
            <w:vAlign w:val="center"/>
            <w:hideMark/>
          </w:tcPr>
          <w:p w14:paraId="20BCD062" w14:textId="77777777" w:rsidR="00572995" w:rsidRPr="00483EBE" w:rsidRDefault="00572995" w:rsidP="00E8324D">
            <w:pPr>
              <w:pStyle w:val="Tablas"/>
              <w:rPr>
                <w:sz w:val="12"/>
                <w:szCs w:val="12"/>
              </w:rPr>
            </w:pPr>
            <w:r w:rsidRPr="00483EBE">
              <w:rPr>
                <w:sz w:val="12"/>
                <w:szCs w:val="12"/>
              </w:rPr>
              <w:t>$7,538</w:t>
            </w:r>
          </w:p>
        </w:tc>
        <w:tc>
          <w:tcPr>
            <w:tcW w:w="0" w:type="auto"/>
            <w:tcBorders>
              <w:top w:val="nil"/>
              <w:left w:val="nil"/>
              <w:bottom w:val="single" w:sz="4" w:space="0" w:color="auto"/>
              <w:right w:val="single" w:sz="4" w:space="0" w:color="auto"/>
            </w:tcBorders>
            <w:shd w:val="clear" w:color="auto" w:fill="auto"/>
            <w:vAlign w:val="center"/>
            <w:hideMark/>
          </w:tcPr>
          <w:p w14:paraId="06931147" w14:textId="77777777" w:rsidR="00572995" w:rsidRPr="00483EBE" w:rsidRDefault="00572995" w:rsidP="00E8324D">
            <w:pPr>
              <w:pStyle w:val="Tablas"/>
              <w:rPr>
                <w:sz w:val="12"/>
                <w:szCs w:val="12"/>
              </w:rPr>
            </w:pPr>
            <w:r w:rsidRPr="00483EBE">
              <w:rPr>
                <w:sz w:val="12"/>
                <w:szCs w:val="12"/>
              </w:rPr>
              <w:t>$628</w:t>
            </w:r>
          </w:p>
        </w:tc>
        <w:tc>
          <w:tcPr>
            <w:tcW w:w="0" w:type="auto"/>
            <w:tcBorders>
              <w:top w:val="nil"/>
              <w:left w:val="nil"/>
              <w:bottom w:val="single" w:sz="4" w:space="0" w:color="auto"/>
              <w:right w:val="single" w:sz="4" w:space="0" w:color="auto"/>
            </w:tcBorders>
            <w:shd w:val="clear" w:color="auto" w:fill="auto"/>
            <w:vAlign w:val="center"/>
            <w:hideMark/>
          </w:tcPr>
          <w:p w14:paraId="530A83D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56FDD8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F91DCB5"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59CCD7BB" w14:textId="77777777" w:rsidR="00572995" w:rsidRPr="00483EBE" w:rsidRDefault="00572995" w:rsidP="00E8324D">
            <w:pPr>
              <w:pStyle w:val="Tablas"/>
              <w:rPr>
                <w:sz w:val="12"/>
                <w:szCs w:val="12"/>
              </w:rPr>
            </w:pPr>
            <w:r w:rsidRPr="00483EBE">
              <w:rPr>
                <w:sz w:val="12"/>
                <w:szCs w:val="12"/>
              </w:rPr>
              <w:t xml:space="preserve">119 </w:t>
            </w:r>
          </w:p>
        </w:tc>
        <w:tc>
          <w:tcPr>
            <w:tcW w:w="0" w:type="auto"/>
            <w:tcBorders>
              <w:top w:val="nil"/>
              <w:left w:val="nil"/>
              <w:bottom w:val="single" w:sz="4" w:space="0" w:color="auto"/>
              <w:right w:val="single" w:sz="4" w:space="0" w:color="auto"/>
            </w:tcBorders>
            <w:shd w:val="clear" w:color="auto" w:fill="auto"/>
            <w:vAlign w:val="center"/>
            <w:hideMark/>
          </w:tcPr>
          <w:p w14:paraId="227D01D1" w14:textId="77777777" w:rsidR="00572995" w:rsidRPr="00483EBE" w:rsidRDefault="00572995" w:rsidP="00E8324D">
            <w:pPr>
              <w:pStyle w:val="Tablas"/>
              <w:rPr>
                <w:sz w:val="12"/>
                <w:szCs w:val="12"/>
              </w:rPr>
            </w:pPr>
            <w:r w:rsidRPr="00483EBE">
              <w:rPr>
                <w:sz w:val="12"/>
                <w:szCs w:val="12"/>
              </w:rPr>
              <w:t>$421,146</w:t>
            </w:r>
          </w:p>
        </w:tc>
        <w:tc>
          <w:tcPr>
            <w:tcW w:w="0" w:type="auto"/>
            <w:tcBorders>
              <w:top w:val="nil"/>
              <w:left w:val="nil"/>
              <w:bottom w:val="single" w:sz="4" w:space="0" w:color="auto"/>
              <w:right w:val="single" w:sz="4" w:space="0" w:color="auto"/>
            </w:tcBorders>
            <w:shd w:val="clear" w:color="auto" w:fill="auto"/>
            <w:vAlign w:val="center"/>
            <w:hideMark/>
          </w:tcPr>
          <w:p w14:paraId="30BB8372" w14:textId="77777777" w:rsidR="00572995" w:rsidRPr="00483EBE" w:rsidRDefault="00572995" w:rsidP="00E8324D">
            <w:pPr>
              <w:pStyle w:val="Tablas"/>
              <w:rPr>
                <w:sz w:val="12"/>
                <w:szCs w:val="12"/>
              </w:rPr>
            </w:pPr>
            <w:r w:rsidRPr="00483EBE">
              <w:rPr>
                <w:sz w:val="12"/>
                <w:szCs w:val="12"/>
              </w:rPr>
              <w:t>$3,539</w:t>
            </w:r>
          </w:p>
        </w:tc>
        <w:tc>
          <w:tcPr>
            <w:tcW w:w="0" w:type="auto"/>
            <w:tcBorders>
              <w:top w:val="nil"/>
              <w:left w:val="nil"/>
              <w:bottom w:val="single" w:sz="4" w:space="0" w:color="auto"/>
              <w:right w:val="single" w:sz="4" w:space="0" w:color="auto"/>
            </w:tcBorders>
            <w:shd w:val="clear" w:color="auto" w:fill="auto"/>
            <w:vAlign w:val="center"/>
            <w:hideMark/>
          </w:tcPr>
          <w:p w14:paraId="24AE820F" w14:textId="77777777" w:rsidR="00572995" w:rsidRPr="00483EBE" w:rsidRDefault="00572995" w:rsidP="00E8324D">
            <w:pPr>
              <w:pStyle w:val="Tablas"/>
              <w:rPr>
                <w:sz w:val="12"/>
                <w:szCs w:val="12"/>
              </w:rPr>
            </w:pPr>
            <w:r w:rsidRPr="00483EBE">
              <w:rPr>
                <w:sz w:val="12"/>
                <w:szCs w:val="12"/>
              </w:rPr>
              <w:t>$295</w:t>
            </w:r>
          </w:p>
        </w:tc>
        <w:tc>
          <w:tcPr>
            <w:tcW w:w="0" w:type="auto"/>
            <w:tcBorders>
              <w:top w:val="nil"/>
              <w:left w:val="nil"/>
              <w:bottom w:val="single" w:sz="4" w:space="0" w:color="auto"/>
              <w:right w:val="single" w:sz="4" w:space="0" w:color="auto"/>
            </w:tcBorders>
            <w:shd w:val="clear" w:color="auto" w:fill="auto"/>
            <w:vAlign w:val="center"/>
            <w:hideMark/>
          </w:tcPr>
          <w:p w14:paraId="55C0448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C11C908" w14:textId="77777777" w:rsidR="00572995" w:rsidRPr="00483EBE" w:rsidRDefault="00572995" w:rsidP="00E8324D">
            <w:pPr>
              <w:pStyle w:val="Tablas"/>
              <w:rPr>
                <w:sz w:val="12"/>
                <w:szCs w:val="12"/>
              </w:rPr>
            </w:pPr>
            <w:r w:rsidRPr="00483EBE">
              <w:rPr>
                <w:sz w:val="12"/>
                <w:szCs w:val="12"/>
              </w:rPr>
              <w:t>SEBD</w:t>
            </w:r>
          </w:p>
        </w:tc>
      </w:tr>
      <w:tr w:rsidR="00572995" w:rsidRPr="00483EBE" w14:paraId="18D2541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844F419"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6855586B"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D2DEBF2" w14:textId="77777777" w:rsidR="00572995" w:rsidRPr="00483EBE" w:rsidRDefault="00572995" w:rsidP="00E8324D">
            <w:pPr>
              <w:pStyle w:val="Tablas"/>
              <w:rPr>
                <w:sz w:val="12"/>
                <w:szCs w:val="12"/>
              </w:rPr>
            </w:pPr>
            <w:r w:rsidRPr="00483EBE">
              <w:rPr>
                <w:sz w:val="12"/>
                <w:szCs w:val="12"/>
              </w:rPr>
              <w:t>$9,739</w:t>
            </w:r>
          </w:p>
        </w:tc>
        <w:tc>
          <w:tcPr>
            <w:tcW w:w="0" w:type="auto"/>
            <w:tcBorders>
              <w:top w:val="nil"/>
              <w:left w:val="nil"/>
              <w:bottom w:val="single" w:sz="4" w:space="0" w:color="auto"/>
              <w:right w:val="single" w:sz="4" w:space="0" w:color="auto"/>
            </w:tcBorders>
            <w:shd w:val="clear" w:color="auto" w:fill="auto"/>
            <w:vAlign w:val="center"/>
            <w:hideMark/>
          </w:tcPr>
          <w:p w14:paraId="55C16C0B" w14:textId="77777777" w:rsidR="00572995" w:rsidRPr="00483EBE" w:rsidRDefault="00572995" w:rsidP="00E8324D">
            <w:pPr>
              <w:pStyle w:val="Tablas"/>
              <w:rPr>
                <w:sz w:val="12"/>
                <w:szCs w:val="12"/>
              </w:rPr>
            </w:pPr>
            <w:r w:rsidRPr="00483EBE">
              <w:rPr>
                <w:sz w:val="12"/>
                <w:szCs w:val="12"/>
              </w:rPr>
              <w:t>$1,948</w:t>
            </w:r>
          </w:p>
        </w:tc>
        <w:tc>
          <w:tcPr>
            <w:tcW w:w="0" w:type="auto"/>
            <w:tcBorders>
              <w:top w:val="nil"/>
              <w:left w:val="nil"/>
              <w:bottom w:val="single" w:sz="4" w:space="0" w:color="auto"/>
              <w:right w:val="single" w:sz="4" w:space="0" w:color="auto"/>
            </w:tcBorders>
            <w:shd w:val="clear" w:color="auto" w:fill="auto"/>
            <w:vAlign w:val="center"/>
            <w:hideMark/>
          </w:tcPr>
          <w:p w14:paraId="785AC69F" w14:textId="77777777" w:rsidR="00572995" w:rsidRPr="00483EBE" w:rsidRDefault="00572995" w:rsidP="00E8324D">
            <w:pPr>
              <w:pStyle w:val="Tablas"/>
              <w:rPr>
                <w:sz w:val="12"/>
                <w:szCs w:val="12"/>
              </w:rPr>
            </w:pPr>
            <w:r w:rsidRPr="00483EBE">
              <w:rPr>
                <w:sz w:val="12"/>
                <w:szCs w:val="12"/>
              </w:rPr>
              <w:t>$162</w:t>
            </w:r>
          </w:p>
        </w:tc>
        <w:tc>
          <w:tcPr>
            <w:tcW w:w="0" w:type="auto"/>
            <w:tcBorders>
              <w:top w:val="nil"/>
              <w:left w:val="nil"/>
              <w:bottom w:val="single" w:sz="4" w:space="0" w:color="auto"/>
              <w:right w:val="single" w:sz="4" w:space="0" w:color="auto"/>
            </w:tcBorders>
            <w:shd w:val="clear" w:color="auto" w:fill="auto"/>
            <w:vAlign w:val="center"/>
            <w:hideMark/>
          </w:tcPr>
          <w:p w14:paraId="4D82BFC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C04964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706F3B8"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0C0BB53" w14:textId="77777777" w:rsidR="00572995" w:rsidRPr="00483EBE" w:rsidRDefault="00572995" w:rsidP="00E8324D">
            <w:pPr>
              <w:pStyle w:val="Tablas"/>
              <w:rPr>
                <w:sz w:val="12"/>
                <w:szCs w:val="12"/>
              </w:rPr>
            </w:pPr>
            <w:r w:rsidRPr="00483EBE">
              <w:rPr>
                <w:sz w:val="12"/>
                <w:szCs w:val="12"/>
              </w:rPr>
              <w:t xml:space="preserve">62 </w:t>
            </w:r>
          </w:p>
        </w:tc>
        <w:tc>
          <w:tcPr>
            <w:tcW w:w="0" w:type="auto"/>
            <w:tcBorders>
              <w:top w:val="nil"/>
              <w:left w:val="nil"/>
              <w:bottom w:val="single" w:sz="4" w:space="0" w:color="auto"/>
              <w:right w:val="single" w:sz="4" w:space="0" w:color="auto"/>
            </w:tcBorders>
            <w:shd w:val="clear" w:color="auto" w:fill="auto"/>
            <w:vAlign w:val="center"/>
            <w:hideMark/>
          </w:tcPr>
          <w:p w14:paraId="2CDF450E" w14:textId="77777777" w:rsidR="00572995" w:rsidRPr="00483EBE" w:rsidRDefault="00572995" w:rsidP="00E8324D">
            <w:pPr>
              <w:pStyle w:val="Tablas"/>
              <w:rPr>
                <w:sz w:val="12"/>
                <w:szCs w:val="12"/>
              </w:rPr>
            </w:pPr>
            <w:r w:rsidRPr="00483EBE">
              <w:rPr>
                <w:sz w:val="12"/>
                <w:szCs w:val="12"/>
              </w:rPr>
              <w:t>$230,633</w:t>
            </w:r>
          </w:p>
        </w:tc>
        <w:tc>
          <w:tcPr>
            <w:tcW w:w="0" w:type="auto"/>
            <w:tcBorders>
              <w:top w:val="nil"/>
              <w:left w:val="nil"/>
              <w:bottom w:val="single" w:sz="4" w:space="0" w:color="auto"/>
              <w:right w:val="single" w:sz="4" w:space="0" w:color="auto"/>
            </w:tcBorders>
            <w:shd w:val="clear" w:color="auto" w:fill="auto"/>
            <w:vAlign w:val="center"/>
            <w:hideMark/>
          </w:tcPr>
          <w:p w14:paraId="0C690521" w14:textId="77777777" w:rsidR="00572995" w:rsidRPr="00483EBE" w:rsidRDefault="00572995" w:rsidP="00E8324D">
            <w:pPr>
              <w:pStyle w:val="Tablas"/>
              <w:rPr>
                <w:sz w:val="12"/>
                <w:szCs w:val="12"/>
              </w:rPr>
            </w:pPr>
            <w:r w:rsidRPr="00483EBE">
              <w:rPr>
                <w:sz w:val="12"/>
                <w:szCs w:val="12"/>
              </w:rPr>
              <w:t>$3,720</w:t>
            </w:r>
          </w:p>
        </w:tc>
        <w:tc>
          <w:tcPr>
            <w:tcW w:w="0" w:type="auto"/>
            <w:tcBorders>
              <w:top w:val="nil"/>
              <w:left w:val="nil"/>
              <w:bottom w:val="single" w:sz="4" w:space="0" w:color="auto"/>
              <w:right w:val="single" w:sz="4" w:space="0" w:color="auto"/>
            </w:tcBorders>
            <w:shd w:val="clear" w:color="auto" w:fill="auto"/>
            <w:vAlign w:val="center"/>
            <w:hideMark/>
          </w:tcPr>
          <w:p w14:paraId="33F66AB4" w14:textId="77777777" w:rsidR="00572995" w:rsidRPr="00483EBE" w:rsidRDefault="00572995" w:rsidP="00E8324D">
            <w:pPr>
              <w:pStyle w:val="Tablas"/>
              <w:rPr>
                <w:sz w:val="12"/>
                <w:szCs w:val="12"/>
              </w:rPr>
            </w:pPr>
            <w:r w:rsidRPr="00483EBE">
              <w:rPr>
                <w:sz w:val="12"/>
                <w:szCs w:val="12"/>
              </w:rPr>
              <w:t>$310</w:t>
            </w:r>
          </w:p>
        </w:tc>
        <w:tc>
          <w:tcPr>
            <w:tcW w:w="0" w:type="auto"/>
            <w:tcBorders>
              <w:top w:val="nil"/>
              <w:left w:val="nil"/>
              <w:bottom w:val="single" w:sz="4" w:space="0" w:color="auto"/>
              <w:right w:val="single" w:sz="4" w:space="0" w:color="auto"/>
            </w:tcBorders>
            <w:shd w:val="clear" w:color="auto" w:fill="auto"/>
            <w:vAlign w:val="center"/>
            <w:hideMark/>
          </w:tcPr>
          <w:p w14:paraId="0F68393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C677A7A" w14:textId="77777777" w:rsidR="00572995" w:rsidRPr="00483EBE" w:rsidRDefault="00572995" w:rsidP="00E8324D">
            <w:pPr>
              <w:pStyle w:val="Tablas"/>
              <w:rPr>
                <w:sz w:val="12"/>
                <w:szCs w:val="12"/>
              </w:rPr>
            </w:pPr>
            <w:r w:rsidRPr="00483EBE">
              <w:rPr>
                <w:sz w:val="12"/>
                <w:szCs w:val="12"/>
              </w:rPr>
              <w:t>SEBD</w:t>
            </w:r>
          </w:p>
        </w:tc>
      </w:tr>
      <w:tr w:rsidR="00572995" w:rsidRPr="00483EBE" w14:paraId="44019B9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F0D1EB" w14:textId="77777777" w:rsidR="00572995" w:rsidRPr="00483EBE" w:rsidRDefault="00572995" w:rsidP="00E8324D">
            <w:pPr>
              <w:pStyle w:val="Tablas"/>
              <w:rPr>
                <w:sz w:val="12"/>
                <w:szCs w:val="12"/>
              </w:rPr>
            </w:pPr>
            <w:r w:rsidRPr="00483EBE">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4CB1FCDC"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633E719D" w14:textId="77777777" w:rsidR="00572995" w:rsidRPr="00483EBE" w:rsidRDefault="00572995" w:rsidP="00E8324D">
            <w:pPr>
              <w:pStyle w:val="Tablas"/>
              <w:rPr>
                <w:sz w:val="12"/>
                <w:szCs w:val="12"/>
              </w:rPr>
            </w:pPr>
            <w:r w:rsidRPr="00483EBE">
              <w:rPr>
                <w:sz w:val="12"/>
                <w:szCs w:val="12"/>
              </w:rPr>
              <w:t>$11,655</w:t>
            </w:r>
          </w:p>
        </w:tc>
        <w:tc>
          <w:tcPr>
            <w:tcW w:w="0" w:type="auto"/>
            <w:tcBorders>
              <w:top w:val="nil"/>
              <w:left w:val="nil"/>
              <w:bottom w:val="single" w:sz="4" w:space="0" w:color="auto"/>
              <w:right w:val="single" w:sz="4" w:space="0" w:color="auto"/>
            </w:tcBorders>
            <w:shd w:val="clear" w:color="auto" w:fill="auto"/>
            <w:vAlign w:val="center"/>
            <w:hideMark/>
          </w:tcPr>
          <w:p w14:paraId="6D99913D" w14:textId="77777777" w:rsidR="00572995" w:rsidRPr="00483EBE" w:rsidRDefault="00572995" w:rsidP="00E8324D">
            <w:pPr>
              <w:pStyle w:val="Tablas"/>
              <w:rPr>
                <w:sz w:val="12"/>
                <w:szCs w:val="12"/>
              </w:rPr>
            </w:pPr>
            <w:r w:rsidRPr="00483EBE">
              <w:rPr>
                <w:sz w:val="12"/>
                <w:szCs w:val="12"/>
              </w:rPr>
              <w:t>$1,942</w:t>
            </w:r>
          </w:p>
        </w:tc>
        <w:tc>
          <w:tcPr>
            <w:tcW w:w="0" w:type="auto"/>
            <w:tcBorders>
              <w:top w:val="nil"/>
              <w:left w:val="nil"/>
              <w:bottom w:val="single" w:sz="4" w:space="0" w:color="auto"/>
              <w:right w:val="single" w:sz="4" w:space="0" w:color="auto"/>
            </w:tcBorders>
            <w:shd w:val="clear" w:color="auto" w:fill="auto"/>
            <w:vAlign w:val="center"/>
            <w:hideMark/>
          </w:tcPr>
          <w:p w14:paraId="3765BF02" w14:textId="77777777" w:rsidR="00572995" w:rsidRPr="00483EBE" w:rsidRDefault="00572995" w:rsidP="00E8324D">
            <w:pPr>
              <w:pStyle w:val="Tablas"/>
              <w:rPr>
                <w:sz w:val="12"/>
                <w:szCs w:val="12"/>
              </w:rPr>
            </w:pPr>
            <w:r w:rsidRPr="00483EBE">
              <w:rPr>
                <w:sz w:val="12"/>
                <w:szCs w:val="12"/>
              </w:rPr>
              <w:t>$162</w:t>
            </w:r>
          </w:p>
        </w:tc>
        <w:tc>
          <w:tcPr>
            <w:tcW w:w="0" w:type="auto"/>
            <w:tcBorders>
              <w:top w:val="nil"/>
              <w:left w:val="nil"/>
              <w:bottom w:val="single" w:sz="4" w:space="0" w:color="auto"/>
              <w:right w:val="single" w:sz="4" w:space="0" w:color="auto"/>
            </w:tcBorders>
            <w:shd w:val="clear" w:color="auto" w:fill="auto"/>
            <w:vAlign w:val="center"/>
            <w:hideMark/>
          </w:tcPr>
          <w:p w14:paraId="555D6E4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C5D006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6E60C86"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127B29B4" w14:textId="77777777" w:rsidR="00572995" w:rsidRPr="00483EBE" w:rsidRDefault="00572995" w:rsidP="00E8324D">
            <w:pPr>
              <w:pStyle w:val="Tablas"/>
              <w:rPr>
                <w:sz w:val="12"/>
                <w:szCs w:val="12"/>
              </w:rPr>
            </w:pPr>
            <w:r w:rsidRPr="00483EBE">
              <w:rPr>
                <w:sz w:val="12"/>
                <w:szCs w:val="12"/>
              </w:rPr>
              <w:t xml:space="preserve">63 </w:t>
            </w:r>
          </w:p>
        </w:tc>
        <w:tc>
          <w:tcPr>
            <w:tcW w:w="0" w:type="auto"/>
            <w:tcBorders>
              <w:top w:val="nil"/>
              <w:left w:val="nil"/>
              <w:bottom w:val="single" w:sz="4" w:space="0" w:color="auto"/>
              <w:right w:val="single" w:sz="4" w:space="0" w:color="auto"/>
            </w:tcBorders>
            <w:shd w:val="clear" w:color="auto" w:fill="auto"/>
            <w:vAlign w:val="center"/>
            <w:hideMark/>
          </w:tcPr>
          <w:p w14:paraId="19FB9AA3" w14:textId="77777777" w:rsidR="00572995" w:rsidRPr="00483EBE" w:rsidRDefault="00572995" w:rsidP="00E8324D">
            <w:pPr>
              <w:pStyle w:val="Tablas"/>
              <w:rPr>
                <w:sz w:val="12"/>
                <w:szCs w:val="12"/>
              </w:rPr>
            </w:pPr>
            <w:r w:rsidRPr="00483EBE">
              <w:rPr>
                <w:sz w:val="12"/>
                <w:szCs w:val="12"/>
              </w:rPr>
              <w:t>$225,116</w:t>
            </w:r>
          </w:p>
        </w:tc>
        <w:tc>
          <w:tcPr>
            <w:tcW w:w="0" w:type="auto"/>
            <w:tcBorders>
              <w:top w:val="nil"/>
              <w:left w:val="nil"/>
              <w:bottom w:val="single" w:sz="4" w:space="0" w:color="auto"/>
              <w:right w:val="single" w:sz="4" w:space="0" w:color="auto"/>
            </w:tcBorders>
            <w:shd w:val="clear" w:color="auto" w:fill="auto"/>
            <w:vAlign w:val="center"/>
            <w:hideMark/>
          </w:tcPr>
          <w:p w14:paraId="64681430" w14:textId="77777777" w:rsidR="00572995" w:rsidRPr="00483EBE" w:rsidRDefault="00572995" w:rsidP="00E8324D">
            <w:pPr>
              <w:pStyle w:val="Tablas"/>
              <w:rPr>
                <w:sz w:val="12"/>
                <w:szCs w:val="12"/>
              </w:rPr>
            </w:pPr>
            <w:r w:rsidRPr="00483EBE">
              <w:rPr>
                <w:sz w:val="12"/>
                <w:szCs w:val="12"/>
              </w:rPr>
              <w:t>$3,573</w:t>
            </w:r>
          </w:p>
        </w:tc>
        <w:tc>
          <w:tcPr>
            <w:tcW w:w="0" w:type="auto"/>
            <w:tcBorders>
              <w:top w:val="nil"/>
              <w:left w:val="nil"/>
              <w:bottom w:val="single" w:sz="4" w:space="0" w:color="auto"/>
              <w:right w:val="single" w:sz="4" w:space="0" w:color="auto"/>
            </w:tcBorders>
            <w:shd w:val="clear" w:color="auto" w:fill="auto"/>
            <w:vAlign w:val="center"/>
            <w:hideMark/>
          </w:tcPr>
          <w:p w14:paraId="07DB5F64" w14:textId="77777777" w:rsidR="00572995" w:rsidRPr="00483EBE" w:rsidRDefault="00572995" w:rsidP="00E8324D">
            <w:pPr>
              <w:pStyle w:val="Tablas"/>
              <w:rPr>
                <w:sz w:val="12"/>
                <w:szCs w:val="12"/>
              </w:rPr>
            </w:pPr>
            <w:r w:rsidRPr="00483EBE">
              <w:rPr>
                <w:sz w:val="12"/>
                <w:szCs w:val="12"/>
              </w:rPr>
              <w:t>$298</w:t>
            </w:r>
          </w:p>
        </w:tc>
        <w:tc>
          <w:tcPr>
            <w:tcW w:w="0" w:type="auto"/>
            <w:tcBorders>
              <w:top w:val="nil"/>
              <w:left w:val="nil"/>
              <w:bottom w:val="single" w:sz="4" w:space="0" w:color="auto"/>
              <w:right w:val="single" w:sz="4" w:space="0" w:color="auto"/>
            </w:tcBorders>
            <w:shd w:val="clear" w:color="auto" w:fill="auto"/>
            <w:vAlign w:val="center"/>
            <w:hideMark/>
          </w:tcPr>
          <w:p w14:paraId="05E72CA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0A9251E" w14:textId="77777777" w:rsidR="00572995" w:rsidRPr="00483EBE" w:rsidRDefault="00572995" w:rsidP="00E8324D">
            <w:pPr>
              <w:pStyle w:val="Tablas"/>
              <w:rPr>
                <w:sz w:val="12"/>
                <w:szCs w:val="12"/>
              </w:rPr>
            </w:pPr>
            <w:r w:rsidRPr="00483EBE">
              <w:rPr>
                <w:sz w:val="12"/>
                <w:szCs w:val="12"/>
              </w:rPr>
              <w:t>SEBD</w:t>
            </w:r>
          </w:p>
        </w:tc>
      </w:tr>
      <w:tr w:rsidR="00572995" w:rsidRPr="00483EBE" w14:paraId="3CC2BA0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CBA7900"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68C0AE9E"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42F7D763" w14:textId="77777777" w:rsidR="00572995" w:rsidRPr="00483EBE" w:rsidRDefault="00572995" w:rsidP="00E8324D">
            <w:pPr>
              <w:pStyle w:val="Tablas"/>
              <w:rPr>
                <w:sz w:val="12"/>
                <w:szCs w:val="12"/>
              </w:rPr>
            </w:pPr>
            <w:r w:rsidRPr="00483EBE">
              <w:rPr>
                <w:sz w:val="12"/>
                <w:szCs w:val="12"/>
              </w:rPr>
              <w:t>$50,082</w:t>
            </w:r>
          </w:p>
        </w:tc>
        <w:tc>
          <w:tcPr>
            <w:tcW w:w="0" w:type="auto"/>
            <w:tcBorders>
              <w:top w:val="nil"/>
              <w:left w:val="nil"/>
              <w:bottom w:val="single" w:sz="4" w:space="0" w:color="auto"/>
              <w:right w:val="single" w:sz="4" w:space="0" w:color="auto"/>
            </w:tcBorders>
            <w:shd w:val="clear" w:color="auto" w:fill="auto"/>
            <w:vAlign w:val="center"/>
            <w:hideMark/>
          </w:tcPr>
          <w:p w14:paraId="390ED1B3" w14:textId="77777777" w:rsidR="00572995" w:rsidRPr="00483EBE" w:rsidRDefault="00572995" w:rsidP="00E8324D">
            <w:pPr>
              <w:pStyle w:val="Tablas"/>
              <w:rPr>
                <w:sz w:val="12"/>
                <w:szCs w:val="12"/>
              </w:rPr>
            </w:pPr>
            <w:r w:rsidRPr="00483EBE">
              <w:rPr>
                <w:sz w:val="12"/>
                <w:szCs w:val="12"/>
              </w:rPr>
              <w:t>$2,504</w:t>
            </w:r>
          </w:p>
        </w:tc>
        <w:tc>
          <w:tcPr>
            <w:tcW w:w="0" w:type="auto"/>
            <w:tcBorders>
              <w:top w:val="nil"/>
              <w:left w:val="nil"/>
              <w:bottom w:val="single" w:sz="4" w:space="0" w:color="auto"/>
              <w:right w:val="single" w:sz="4" w:space="0" w:color="auto"/>
            </w:tcBorders>
            <w:shd w:val="clear" w:color="auto" w:fill="auto"/>
            <w:vAlign w:val="center"/>
            <w:hideMark/>
          </w:tcPr>
          <w:p w14:paraId="088F869D" w14:textId="77777777" w:rsidR="00572995" w:rsidRPr="00483EBE" w:rsidRDefault="00572995" w:rsidP="00E8324D">
            <w:pPr>
              <w:pStyle w:val="Tablas"/>
              <w:rPr>
                <w:sz w:val="12"/>
                <w:szCs w:val="12"/>
              </w:rPr>
            </w:pPr>
            <w:r w:rsidRPr="00483EBE">
              <w:rPr>
                <w:sz w:val="12"/>
                <w:szCs w:val="12"/>
              </w:rPr>
              <w:t>$209</w:t>
            </w:r>
          </w:p>
        </w:tc>
        <w:tc>
          <w:tcPr>
            <w:tcW w:w="0" w:type="auto"/>
            <w:tcBorders>
              <w:top w:val="nil"/>
              <w:left w:val="nil"/>
              <w:bottom w:val="single" w:sz="4" w:space="0" w:color="auto"/>
              <w:right w:val="single" w:sz="4" w:space="0" w:color="auto"/>
            </w:tcBorders>
            <w:shd w:val="clear" w:color="auto" w:fill="auto"/>
            <w:vAlign w:val="center"/>
            <w:hideMark/>
          </w:tcPr>
          <w:p w14:paraId="052BEC9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11EF44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B8E28D4"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7C1091C" w14:textId="77777777" w:rsidR="00572995" w:rsidRPr="00483EBE" w:rsidRDefault="00572995" w:rsidP="00E8324D">
            <w:pPr>
              <w:pStyle w:val="Tablas"/>
              <w:rPr>
                <w:sz w:val="12"/>
                <w:szCs w:val="12"/>
              </w:rPr>
            </w:pPr>
            <w:r w:rsidRPr="00483EBE">
              <w:rPr>
                <w:sz w:val="12"/>
                <w:szCs w:val="12"/>
              </w:rPr>
              <w:t xml:space="preserve">43 </w:t>
            </w:r>
          </w:p>
        </w:tc>
        <w:tc>
          <w:tcPr>
            <w:tcW w:w="0" w:type="auto"/>
            <w:tcBorders>
              <w:top w:val="nil"/>
              <w:left w:val="nil"/>
              <w:bottom w:val="single" w:sz="4" w:space="0" w:color="auto"/>
              <w:right w:val="single" w:sz="4" w:space="0" w:color="auto"/>
            </w:tcBorders>
            <w:shd w:val="clear" w:color="auto" w:fill="auto"/>
            <w:vAlign w:val="center"/>
            <w:hideMark/>
          </w:tcPr>
          <w:p w14:paraId="03875014" w14:textId="77777777" w:rsidR="00572995" w:rsidRPr="00483EBE" w:rsidRDefault="00572995" w:rsidP="00E8324D">
            <w:pPr>
              <w:pStyle w:val="Tablas"/>
              <w:rPr>
                <w:sz w:val="12"/>
                <w:szCs w:val="12"/>
              </w:rPr>
            </w:pPr>
            <w:r w:rsidRPr="00483EBE">
              <w:rPr>
                <w:sz w:val="12"/>
                <w:szCs w:val="12"/>
              </w:rPr>
              <w:t>$166,812</w:t>
            </w:r>
          </w:p>
        </w:tc>
        <w:tc>
          <w:tcPr>
            <w:tcW w:w="0" w:type="auto"/>
            <w:tcBorders>
              <w:top w:val="nil"/>
              <w:left w:val="nil"/>
              <w:bottom w:val="single" w:sz="4" w:space="0" w:color="auto"/>
              <w:right w:val="single" w:sz="4" w:space="0" w:color="auto"/>
            </w:tcBorders>
            <w:shd w:val="clear" w:color="auto" w:fill="auto"/>
            <w:vAlign w:val="center"/>
            <w:hideMark/>
          </w:tcPr>
          <w:p w14:paraId="7917C36A" w14:textId="77777777" w:rsidR="00572995" w:rsidRPr="00483EBE" w:rsidRDefault="00572995" w:rsidP="00E8324D">
            <w:pPr>
              <w:pStyle w:val="Tablas"/>
              <w:rPr>
                <w:sz w:val="12"/>
                <w:szCs w:val="12"/>
              </w:rPr>
            </w:pPr>
            <w:r w:rsidRPr="00483EBE">
              <w:rPr>
                <w:sz w:val="12"/>
                <w:szCs w:val="12"/>
              </w:rPr>
              <w:t>$3,879</w:t>
            </w:r>
          </w:p>
        </w:tc>
        <w:tc>
          <w:tcPr>
            <w:tcW w:w="0" w:type="auto"/>
            <w:tcBorders>
              <w:top w:val="nil"/>
              <w:left w:val="nil"/>
              <w:bottom w:val="single" w:sz="4" w:space="0" w:color="auto"/>
              <w:right w:val="single" w:sz="4" w:space="0" w:color="auto"/>
            </w:tcBorders>
            <w:shd w:val="clear" w:color="auto" w:fill="auto"/>
            <w:vAlign w:val="center"/>
            <w:hideMark/>
          </w:tcPr>
          <w:p w14:paraId="1FB0A389" w14:textId="77777777" w:rsidR="00572995" w:rsidRPr="00483EBE" w:rsidRDefault="00572995" w:rsidP="00E8324D">
            <w:pPr>
              <w:pStyle w:val="Tablas"/>
              <w:rPr>
                <w:sz w:val="12"/>
                <w:szCs w:val="12"/>
              </w:rPr>
            </w:pPr>
            <w:r w:rsidRPr="00483EBE">
              <w:rPr>
                <w:sz w:val="12"/>
                <w:szCs w:val="12"/>
              </w:rPr>
              <w:t>$323</w:t>
            </w:r>
          </w:p>
        </w:tc>
        <w:tc>
          <w:tcPr>
            <w:tcW w:w="0" w:type="auto"/>
            <w:tcBorders>
              <w:top w:val="nil"/>
              <w:left w:val="nil"/>
              <w:bottom w:val="single" w:sz="4" w:space="0" w:color="auto"/>
              <w:right w:val="single" w:sz="4" w:space="0" w:color="auto"/>
            </w:tcBorders>
            <w:shd w:val="clear" w:color="auto" w:fill="auto"/>
            <w:vAlign w:val="center"/>
            <w:hideMark/>
          </w:tcPr>
          <w:p w14:paraId="567E7325"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C142B02" w14:textId="77777777" w:rsidR="00572995" w:rsidRPr="00483EBE" w:rsidRDefault="00572995" w:rsidP="00E8324D">
            <w:pPr>
              <w:pStyle w:val="Tablas"/>
              <w:rPr>
                <w:sz w:val="12"/>
                <w:szCs w:val="12"/>
              </w:rPr>
            </w:pPr>
            <w:r w:rsidRPr="00483EBE">
              <w:rPr>
                <w:sz w:val="12"/>
                <w:szCs w:val="12"/>
              </w:rPr>
              <w:t>SEBD</w:t>
            </w:r>
          </w:p>
        </w:tc>
      </w:tr>
      <w:tr w:rsidR="00572995" w:rsidRPr="00483EBE" w14:paraId="21A072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677144"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3C71058F"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56EF2034" w14:textId="77777777" w:rsidR="00572995" w:rsidRPr="00483EBE" w:rsidRDefault="00572995" w:rsidP="00E8324D">
            <w:pPr>
              <w:pStyle w:val="Tablas"/>
              <w:rPr>
                <w:sz w:val="12"/>
                <w:szCs w:val="12"/>
              </w:rPr>
            </w:pPr>
            <w:r w:rsidRPr="00483EBE">
              <w:rPr>
                <w:sz w:val="12"/>
                <w:szCs w:val="12"/>
              </w:rPr>
              <w:t>$41,384</w:t>
            </w:r>
          </w:p>
        </w:tc>
        <w:tc>
          <w:tcPr>
            <w:tcW w:w="0" w:type="auto"/>
            <w:tcBorders>
              <w:top w:val="nil"/>
              <w:left w:val="nil"/>
              <w:bottom w:val="single" w:sz="4" w:space="0" w:color="auto"/>
              <w:right w:val="single" w:sz="4" w:space="0" w:color="auto"/>
            </w:tcBorders>
            <w:shd w:val="clear" w:color="auto" w:fill="auto"/>
            <w:vAlign w:val="center"/>
            <w:hideMark/>
          </w:tcPr>
          <w:p w14:paraId="2EB36241" w14:textId="77777777" w:rsidR="00572995" w:rsidRPr="00483EBE" w:rsidRDefault="00572995" w:rsidP="00E8324D">
            <w:pPr>
              <w:pStyle w:val="Tablas"/>
              <w:rPr>
                <w:sz w:val="12"/>
                <w:szCs w:val="12"/>
              </w:rPr>
            </w:pPr>
            <w:r w:rsidRPr="00483EBE">
              <w:rPr>
                <w:sz w:val="12"/>
                <w:szCs w:val="12"/>
              </w:rPr>
              <w:t>$1,971</w:t>
            </w:r>
          </w:p>
        </w:tc>
        <w:tc>
          <w:tcPr>
            <w:tcW w:w="0" w:type="auto"/>
            <w:tcBorders>
              <w:top w:val="nil"/>
              <w:left w:val="nil"/>
              <w:bottom w:val="single" w:sz="4" w:space="0" w:color="auto"/>
              <w:right w:val="single" w:sz="4" w:space="0" w:color="auto"/>
            </w:tcBorders>
            <w:shd w:val="clear" w:color="auto" w:fill="auto"/>
            <w:vAlign w:val="center"/>
            <w:hideMark/>
          </w:tcPr>
          <w:p w14:paraId="32CD18A7" w14:textId="77777777" w:rsidR="00572995" w:rsidRPr="00483EBE" w:rsidRDefault="00572995" w:rsidP="00E8324D">
            <w:pPr>
              <w:pStyle w:val="Tablas"/>
              <w:rPr>
                <w:sz w:val="12"/>
                <w:szCs w:val="12"/>
              </w:rPr>
            </w:pPr>
            <w:r w:rsidRPr="00483EBE">
              <w:rPr>
                <w:sz w:val="12"/>
                <w:szCs w:val="12"/>
              </w:rPr>
              <w:t>$164</w:t>
            </w:r>
          </w:p>
        </w:tc>
        <w:tc>
          <w:tcPr>
            <w:tcW w:w="0" w:type="auto"/>
            <w:tcBorders>
              <w:top w:val="nil"/>
              <w:left w:val="nil"/>
              <w:bottom w:val="single" w:sz="4" w:space="0" w:color="auto"/>
              <w:right w:val="single" w:sz="4" w:space="0" w:color="auto"/>
            </w:tcBorders>
            <w:shd w:val="clear" w:color="auto" w:fill="auto"/>
            <w:vAlign w:val="center"/>
            <w:hideMark/>
          </w:tcPr>
          <w:p w14:paraId="01378BA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AF41B2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C21FC1"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F48EEBA"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0BFB3794" w14:textId="77777777" w:rsidR="00572995" w:rsidRPr="00483EBE" w:rsidRDefault="00572995" w:rsidP="00E8324D">
            <w:pPr>
              <w:pStyle w:val="Tablas"/>
              <w:rPr>
                <w:sz w:val="12"/>
                <w:szCs w:val="12"/>
              </w:rPr>
            </w:pPr>
            <w:r w:rsidRPr="00483EBE">
              <w:rPr>
                <w:sz w:val="12"/>
                <w:szCs w:val="12"/>
              </w:rPr>
              <w:t>$140,023</w:t>
            </w:r>
          </w:p>
        </w:tc>
        <w:tc>
          <w:tcPr>
            <w:tcW w:w="0" w:type="auto"/>
            <w:tcBorders>
              <w:top w:val="nil"/>
              <w:left w:val="nil"/>
              <w:bottom w:val="single" w:sz="4" w:space="0" w:color="auto"/>
              <w:right w:val="single" w:sz="4" w:space="0" w:color="auto"/>
            </w:tcBorders>
            <w:shd w:val="clear" w:color="auto" w:fill="auto"/>
            <w:vAlign w:val="center"/>
            <w:hideMark/>
          </w:tcPr>
          <w:p w14:paraId="3F8FF2B8" w14:textId="77777777" w:rsidR="00572995" w:rsidRPr="00483EBE" w:rsidRDefault="00572995" w:rsidP="00E8324D">
            <w:pPr>
              <w:pStyle w:val="Tablas"/>
              <w:rPr>
                <w:sz w:val="12"/>
                <w:szCs w:val="12"/>
              </w:rPr>
            </w:pPr>
            <w:r w:rsidRPr="00483EBE">
              <w:rPr>
                <w:sz w:val="12"/>
                <w:szCs w:val="12"/>
              </w:rPr>
              <w:t>$3,685</w:t>
            </w:r>
          </w:p>
        </w:tc>
        <w:tc>
          <w:tcPr>
            <w:tcW w:w="0" w:type="auto"/>
            <w:tcBorders>
              <w:top w:val="nil"/>
              <w:left w:val="nil"/>
              <w:bottom w:val="single" w:sz="4" w:space="0" w:color="auto"/>
              <w:right w:val="single" w:sz="4" w:space="0" w:color="auto"/>
            </w:tcBorders>
            <w:shd w:val="clear" w:color="auto" w:fill="auto"/>
            <w:vAlign w:val="center"/>
            <w:hideMark/>
          </w:tcPr>
          <w:p w14:paraId="105F6167" w14:textId="77777777" w:rsidR="00572995" w:rsidRPr="00483EBE" w:rsidRDefault="00572995" w:rsidP="00E8324D">
            <w:pPr>
              <w:pStyle w:val="Tablas"/>
              <w:rPr>
                <w:sz w:val="12"/>
                <w:szCs w:val="12"/>
              </w:rPr>
            </w:pPr>
            <w:r w:rsidRPr="00483EBE">
              <w:rPr>
                <w:sz w:val="12"/>
                <w:szCs w:val="12"/>
              </w:rPr>
              <w:t>$307</w:t>
            </w:r>
          </w:p>
        </w:tc>
        <w:tc>
          <w:tcPr>
            <w:tcW w:w="0" w:type="auto"/>
            <w:tcBorders>
              <w:top w:val="nil"/>
              <w:left w:val="nil"/>
              <w:bottom w:val="single" w:sz="4" w:space="0" w:color="auto"/>
              <w:right w:val="single" w:sz="4" w:space="0" w:color="auto"/>
            </w:tcBorders>
            <w:shd w:val="clear" w:color="auto" w:fill="auto"/>
            <w:vAlign w:val="center"/>
            <w:hideMark/>
          </w:tcPr>
          <w:p w14:paraId="362856C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494F5A4" w14:textId="77777777" w:rsidR="00572995" w:rsidRPr="00483EBE" w:rsidRDefault="00572995" w:rsidP="00E8324D">
            <w:pPr>
              <w:pStyle w:val="Tablas"/>
              <w:rPr>
                <w:sz w:val="12"/>
                <w:szCs w:val="12"/>
              </w:rPr>
            </w:pPr>
            <w:r w:rsidRPr="00483EBE">
              <w:rPr>
                <w:sz w:val="12"/>
                <w:szCs w:val="12"/>
              </w:rPr>
              <w:t>SEBD</w:t>
            </w:r>
          </w:p>
        </w:tc>
      </w:tr>
      <w:tr w:rsidR="00572995" w:rsidRPr="00483EBE" w14:paraId="106871A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342CA56"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545918A3"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7913056B" w14:textId="77777777" w:rsidR="00572995" w:rsidRPr="00483EBE" w:rsidRDefault="00572995" w:rsidP="00E8324D">
            <w:pPr>
              <w:pStyle w:val="Tablas"/>
              <w:rPr>
                <w:sz w:val="12"/>
                <w:szCs w:val="12"/>
              </w:rPr>
            </w:pPr>
            <w:r w:rsidRPr="00483EBE">
              <w:rPr>
                <w:sz w:val="12"/>
                <w:szCs w:val="12"/>
              </w:rPr>
              <w:t>$66,180</w:t>
            </w:r>
          </w:p>
        </w:tc>
        <w:tc>
          <w:tcPr>
            <w:tcW w:w="0" w:type="auto"/>
            <w:tcBorders>
              <w:top w:val="nil"/>
              <w:left w:val="nil"/>
              <w:bottom w:val="single" w:sz="4" w:space="0" w:color="auto"/>
              <w:right w:val="single" w:sz="4" w:space="0" w:color="auto"/>
            </w:tcBorders>
            <w:shd w:val="clear" w:color="auto" w:fill="auto"/>
            <w:vAlign w:val="center"/>
            <w:hideMark/>
          </w:tcPr>
          <w:p w14:paraId="69C3E2C3" w14:textId="77777777" w:rsidR="00572995" w:rsidRPr="00483EBE" w:rsidRDefault="00572995" w:rsidP="00E8324D">
            <w:pPr>
              <w:pStyle w:val="Tablas"/>
              <w:rPr>
                <w:sz w:val="12"/>
                <w:szCs w:val="12"/>
              </w:rPr>
            </w:pPr>
            <w:r w:rsidRPr="00483EBE">
              <w:rPr>
                <w:sz w:val="12"/>
                <w:szCs w:val="12"/>
              </w:rPr>
              <w:t>$2,451</w:t>
            </w:r>
          </w:p>
        </w:tc>
        <w:tc>
          <w:tcPr>
            <w:tcW w:w="0" w:type="auto"/>
            <w:tcBorders>
              <w:top w:val="nil"/>
              <w:left w:val="nil"/>
              <w:bottom w:val="single" w:sz="4" w:space="0" w:color="auto"/>
              <w:right w:val="single" w:sz="4" w:space="0" w:color="auto"/>
            </w:tcBorders>
            <w:shd w:val="clear" w:color="auto" w:fill="auto"/>
            <w:vAlign w:val="center"/>
            <w:hideMark/>
          </w:tcPr>
          <w:p w14:paraId="1ADF4DA6" w14:textId="77777777" w:rsidR="00572995" w:rsidRPr="00483EBE" w:rsidRDefault="00572995" w:rsidP="00E8324D">
            <w:pPr>
              <w:pStyle w:val="Tablas"/>
              <w:rPr>
                <w:sz w:val="12"/>
                <w:szCs w:val="12"/>
              </w:rPr>
            </w:pPr>
            <w:r w:rsidRPr="00483EBE">
              <w:rPr>
                <w:sz w:val="12"/>
                <w:szCs w:val="12"/>
              </w:rPr>
              <w:t>$204</w:t>
            </w:r>
          </w:p>
        </w:tc>
        <w:tc>
          <w:tcPr>
            <w:tcW w:w="0" w:type="auto"/>
            <w:tcBorders>
              <w:top w:val="nil"/>
              <w:left w:val="nil"/>
              <w:bottom w:val="single" w:sz="4" w:space="0" w:color="auto"/>
              <w:right w:val="single" w:sz="4" w:space="0" w:color="auto"/>
            </w:tcBorders>
            <w:shd w:val="clear" w:color="auto" w:fill="auto"/>
            <w:vAlign w:val="center"/>
            <w:hideMark/>
          </w:tcPr>
          <w:p w14:paraId="03B2A7F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7E3176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04E437"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7CB3F51B"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1ECF18ED" w14:textId="77777777" w:rsidR="00572995" w:rsidRPr="00483EBE" w:rsidRDefault="00572995" w:rsidP="00E8324D">
            <w:pPr>
              <w:pStyle w:val="Tablas"/>
              <w:rPr>
                <w:sz w:val="12"/>
                <w:szCs w:val="12"/>
              </w:rPr>
            </w:pPr>
            <w:r w:rsidRPr="00483EBE">
              <w:rPr>
                <w:sz w:val="12"/>
                <w:szCs w:val="12"/>
              </w:rPr>
              <w:t>$123,384</w:t>
            </w:r>
          </w:p>
        </w:tc>
        <w:tc>
          <w:tcPr>
            <w:tcW w:w="0" w:type="auto"/>
            <w:tcBorders>
              <w:top w:val="nil"/>
              <w:left w:val="nil"/>
              <w:bottom w:val="single" w:sz="4" w:space="0" w:color="auto"/>
              <w:right w:val="single" w:sz="4" w:space="0" w:color="auto"/>
            </w:tcBorders>
            <w:shd w:val="clear" w:color="auto" w:fill="auto"/>
            <w:vAlign w:val="center"/>
            <w:hideMark/>
          </w:tcPr>
          <w:p w14:paraId="09FC095A" w14:textId="77777777" w:rsidR="00572995" w:rsidRPr="00483EBE" w:rsidRDefault="00572995" w:rsidP="00E8324D">
            <w:pPr>
              <w:pStyle w:val="Tablas"/>
              <w:rPr>
                <w:sz w:val="12"/>
                <w:szCs w:val="12"/>
              </w:rPr>
            </w:pPr>
            <w:r w:rsidRPr="00483EBE">
              <w:rPr>
                <w:sz w:val="12"/>
                <w:szCs w:val="12"/>
              </w:rPr>
              <w:t>$3,856</w:t>
            </w:r>
          </w:p>
        </w:tc>
        <w:tc>
          <w:tcPr>
            <w:tcW w:w="0" w:type="auto"/>
            <w:tcBorders>
              <w:top w:val="nil"/>
              <w:left w:val="nil"/>
              <w:bottom w:val="single" w:sz="4" w:space="0" w:color="auto"/>
              <w:right w:val="single" w:sz="4" w:space="0" w:color="auto"/>
            </w:tcBorders>
            <w:shd w:val="clear" w:color="auto" w:fill="auto"/>
            <w:vAlign w:val="center"/>
            <w:hideMark/>
          </w:tcPr>
          <w:p w14:paraId="24FF7F97" w14:textId="77777777" w:rsidR="00572995" w:rsidRPr="00483EBE" w:rsidRDefault="00572995" w:rsidP="00E8324D">
            <w:pPr>
              <w:pStyle w:val="Tablas"/>
              <w:rPr>
                <w:sz w:val="12"/>
                <w:szCs w:val="12"/>
              </w:rPr>
            </w:pPr>
            <w:r w:rsidRPr="00483EBE">
              <w:rPr>
                <w:sz w:val="12"/>
                <w:szCs w:val="12"/>
              </w:rPr>
              <w:t>$321</w:t>
            </w:r>
          </w:p>
        </w:tc>
        <w:tc>
          <w:tcPr>
            <w:tcW w:w="0" w:type="auto"/>
            <w:tcBorders>
              <w:top w:val="nil"/>
              <w:left w:val="nil"/>
              <w:bottom w:val="single" w:sz="4" w:space="0" w:color="auto"/>
              <w:right w:val="single" w:sz="4" w:space="0" w:color="auto"/>
            </w:tcBorders>
            <w:shd w:val="clear" w:color="auto" w:fill="auto"/>
            <w:vAlign w:val="center"/>
            <w:hideMark/>
          </w:tcPr>
          <w:p w14:paraId="78CE78A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3F8873A" w14:textId="77777777" w:rsidR="00572995" w:rsidRPr="00483EBE" w:rsidRDefault="00572995" w:rsidP="00E8324D">
            <w:pPr>
              <w:pStyle w:val="Tablas"/>
              <w:rPr>
                <w:sz w:val="12"/>
                <w:szCs w:val="12"/>
              </w:rPr>
            </w:pPr>
            <w:r w:rsidRPr="00483EBE">
              <w:rPr>
                <w:sz w:val="12"/>
                <w:szCs w:val="12"/>
              </w:rPr>
              <w:t>SEBD</w:t>
            </w:r>
          </w:p>
        </w:tc>
      </w:tr>
      <w:tr w:rsidR="00572995" w:rsidRPr="00483EBE" w14:paraId="0F4204F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DC9BEA"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575612BC"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1C198F04" w14:textId="77777777" w:rsidR="00572995" w:rsidRPr="00483EBE" w:rsidRDefault="00572995" w:rsidP="00E8324D">
            <w:pPr>
              <w:pStyle w:val="Tablas"/>
              <w:rPr>
                <w:sz w:val="12"/>
                <w:szCs w:val="12"/>
              </w:rPr>
            </w:pPr>
            <w:r w:rsidRPr="00483EBE">
              <w:rPr>
                <w:sz w:val="12"/>
                <w:szCs w:val="12"/>
              </w:rPr>
              <w:t>$55,704</w:t>
            </w:r>
          </w:p>
        </w:tc>
        <w:tc>
          <w:tcPr>
            <w:tcW w:w="0" w:type="auto"/>
            <w:tcBorders>
              <w:top w:val="nil"/>
              <w:left w:val="nil"/>
              <w:bottom w:val="single" w:sz="4" w:space="0" w:color="auto"/>
              <w:right w:val="single" w:sz="4" w:space="0" w:color="auto"/>
            </w:tcBorders>
            <w:shd w:val="clear" w:color="auto" w:fill="auto"/>
            <w:vAlign w:val="center"/>
            <w:hideMark/>
          </w:tcPr>
          <w:p w14:paraId="1B904254" w14:textId="77777777" w:rsidR="00572995" w:rsidRPr="00483EBE" w:rsidRDefault="00572995" w:rsidP="00E8324D">
            <w:pPr>
              <w:pStyle w:val="Tablas"/>
              <w:rPr>
                <w:sz w:val="12"/>
                <w:szCs w:val="12"/>
              </w:rPr>
            </w:pPr>
            <w:r w:rsidRPr="00483EBE">
              <w:rPr>
                <w:sz w:val="12"/>
                <w:szCs w:val="12"/>
              </w:rPr>
              <w:t>$1,797</w:t>
            </w:r>
          </w:p>
        </w:tc>
        <w:tc>
          <w:tcPr>
            <w:tcW w:w="0" w:type="auto"/>
            <w:tcBorders>
              <w:top w:val="nil"/>
              <w:left w:val="nil"/>
              <w:bottom w:val="single" w:sz="4" w:space="0" w:color="auto"/>
              <w:right w:val="single" w:sz="4" w:space="0" w:color="auto"/>
            </w:tcBorders>
            <w:shd w:val="clear" w:color="auto" w:fill="auto"/>
            <w:vAlign w:val="center"/>
            <w:hideMark/>
          </w:tcPr>
          <w:p w14:paraId="084D5B00" w14:textId="77777777" w:rsidR="00572995" w:rsidRPr="00483EBE" w:rsidRDefault="00572995" w:rsidP="00E8324D">
            <w:pPr>
              <w:pStyle w:val="Tablas"/>
              <w:rPr>
                <w:sz w:val="12"/>
                <w:szCs w:val="12"/>
              </w:rPr>
            </w:pPr>
            <w:r w:rsidRPr="00483EBE">
              <w:rPr>
                <w:sz w:val="12"/>
                <w:szCs w:val="12"/>
              </w:rPr>
              <w:t>$150</w:t>
            </w:r>
          </w:p>
        </w:tc>
        <w:tc>
          <w:tcPr>
            <w:tcW w:w="0" w:type="auto"/>
            <w:tcBorders>
              <w:top w:val="nil"/>
              <w:left w:val="nil"/>
              <w:bottom w:val="single" w:sz="4" w:space="0" w:color="auto"/>
              <w:right w:val="single" w:sz="4" w:space="0" w:color="auto"/>
            </w:tcBorders>
            <w:shd w:val="clear" w:color="auto" w:fill="auto"/>
            <w:vAlign w:val="center"/>
            <w:hideMark/>
          </w:tcPr>
          <w:p w14:paraId="1AA8B13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4A471B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AC2DCF"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3F664959"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5218AB6E" w14:textId="77777777" w:rsidR="00572995" w:rsidRPr="00483EBE" w:rsidRDefault="00572995" w:rsidP="00E8324D">
            <w:pPr>
              <w:pStyle w:val="Tablas"/>
              <w:rPr>
                <w:sz w:val="12"/>
                <w:szCs w:val="12"/>
              </w:rPr>
            </w:pPr>
            <w:r w:rsidRPr="00483EBE">
              <w:rPr>
                <w:sz w:val="12"/>
                <w:szCs w:val="12"/>
              </w:rPr>
              <w:t>$130,565</w:t>
            </w:r>
          </w:p>
        </w:tc>
        <w:tc>
          <w:tcPr>
            <w:tcW w:w="0" w:type="auto"/>
            <w:tcBorders>
              <w:top w:val="nil"/>
              <w:left w:val="nil"/>
              <w:bottom w:val="single" w:sz="4" w:space="0" w:color="auto"/>
              <w:right w:val="single" w:sz="4" w:space="0" w:color="auto"/>
            </w:tcBorders>
            <w:shd w:val="clear" w:color="auto" w:fill="auto"/>
            <w:vAlign w:val="center"/>
            <w:hideMark/>
          </w:tcPr>
          <w:p w14:paraId="17757B79" w14:textId="77777777" w:rsidR="00572995" w:rsidRPr="00483EBE" w:rsidRDefault="00572995" w:rsidP="00E8324D">
            <w:pPr>
              <w:pStyle w:val="Tablas"/>
              <w:rPr>
                <w:sz w:val="12"/>
                <w:szCs w:val="12"/>
              </w:rPr>
            </w:pPr>
            <w:r w:rsidRPr="00483EBE">
              <w:rPr>
                <w:sz w:val="12"/>
                <w:szCs w:val="12"/>
              </w:rPr>
              <w:t>$3,730</w:t>
            </w:r>
          </w:p>
        </w:tc>
        <w:tc>
          <w:tcPr>
            <w:tcW w:w="0" w:type="auto"/>
            <w:tcBorders>
              <w:top w:val="nil"/>
              <w:left w:val="nil"/>
              <w:bottom w:val="single" w:sz="4" w:space="0" w:color="auto"/>
              <w:right w:val="single" w:sz="4" w:space="0" w:color="auto"/>
            </w:tcBorders>
            <w:shd w:val="clear" w:color="auto" w:fill="auto"/>
            <w:vAlign w:val="center"/>
            <w:hideMark/>
          </w:tcPr>
          <w:p w14:paraId="110E82A3" w14:textId="77777777" w:rsidR="00572995" w:rsidRPr="00483EBE" w:rsidRDefault="00572995" w:rsidP="00E8324D">
            <w:pPr>
              <w:pStyle w:val="Tablas"/>
              <w:rPr>
                <w:sz w:val="12"/>
                <w:szCs w:val="12"/>
              </w:rPr>
            </w:pPr>
            <w:r w:rsidRPr="00483EBE">
              <w:rPr>
                <w:sz w:val="12"/>
                <w:szCs w:val="12"/>
              </w:rPr>
              <w:t>$311</w:t>
            </w:r>
          </w:p>
        </w:tc>
        <w:tc>
          <w:tcPr>
            <w:tcW w:w="0" w:type="auto"/>
            <w:tcBorders>
              <w:top w:val="nil"/>
              <w:left w:val="nil"/>
              <w:bottom w:val="single" w:sz="4" w:space="0" w:color="auto"/>
              <w:right w:val="single" w:sz="4" w:space="0" w:color="auto"/>
            </w:tcBorders>
            <w:shd w:val="clear" w:color="auto" w:fill="auto"/>
            <w:vAlign w:val="center"/>
            <w:hideMark/>
          </w:tcPr>
          <w:p w14:paraId="74B66B1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5378DA7" w14:textId="77777777" w:rsidR="00572995" w:rsidRPr="00483EBE" w:rsidRDefault="00572995" w:rsidP="00E8324D">
            <w:pPr>
              <w:pStyle w:val="Tablas"/>
              <w:rPr>
                <w:sz w:val="12"/>
                <w:szCs w:val="12"/>
              </w:rPr>
            </w:pPr>
            <w:r w:rsidRPr="00483EBE">
              <w:rPr>
                <w:sz w:val="12"/>
                <w:szCs w:val="12"/>
              </w:rPr>
              <w:t>SEBD</w:t>
            </w:r>
          </w:p>
        </w:tc>
      </w:tr>
      <w:tr w:rsidR="00572995" w:rsidRPr="00483EBE" w14:paraId="05FB381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C5C555"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283037E7" w14:textId="77777777" w:rsidR="00572995" w:rsidRPr="00483EBE" w:rsidRDefault="00572995" w:rsidP="00E8324D">
            <w:pPr>
              <w:pStyle w:val="Tablas"/>
              <w:rPr>
                <w:sz w:val="12"/>
                <w:szCs w:val="12"/>
              </w:rPr>
            </w:pPr>
            <w:r w:rsidRPr="00483EBE">
              <w:rPr>
                <w:sz w:val="12"/>
                <w:szCs w:val="12"/>
              </w:rPr>
              <w:t xml:space="preserve">48 </w:t>
            </w:r>
          </w:p>
        </w:tc>
        <w:tc>
          <w:tcPr>
            <w:tcW w:w="0" w:type="auto"/>
            <w:tcBorders>
              <w:top w:val="nil"/>
              <w:left w:val="nil"/>
              <w:bottom w:val="single" w:sz="4" w:space="0" w:color="auto"/>
              <w:right w:val="single" w:sz="4" w:space="0" w:color="auto"/>
            </w:tcBorders>
            <w:shd w:val="clear" w:color="auto" w:fill="auto"/>
            <w:vAlign w:val="center"/>
            <w:hideMark/>
          </w:tcPr>
          <w:p w14:paraId="5CDD73A8" w14:textId="77777777" w:rsidR="00572995" w:rsidRPr="00483EBE" w:rsidRDefault="00572995" w:rsidP="00E8324D">
            <w:pPr>
              <w:pStyle w:val="Tablas"/>
              <w:rPr>
                <w:sz w:val="12"/>
                <w:szCs w:val="12"/>
              </w:rPr>
            </w:pPr>
            <w:r w:rsidRPr="00483EBE">
              <w:rPr>
                <w:sz w:val="12"/>
                <w:szCs w:val="12"/>
              </w:rPr>
              <w:t>$106,951</w:t>
            </w:r>
          </w:p>
        </w:tc>
        <w:tc>
          <w:tcPr>
            <w:tcW w:w="0" w:type="auto"/>
            <w:tcBorders>
              <w:top w:val="nil"/>
              <w:left w:val="nil"/>
              <w:bottom w:val="single" w:sz="4" w:space="0" w:color="auto"/>
              <w:right w:val="single" w:sz="4" w:space="0" w:color="auto"/>
            </w:tcBorders>
            <w:shd w:val="clear" w:color="auto" w:fill="auto"/>
            <w:vAlign w:val="center"/>
            <w:hideMark/>
          </w:tcPr>
          <w:p w14:paraId="36AACC99" w14:textId="77777777" w:rsidR="00572995" w:rsidRPr="00483EBE" w:rsidRDefault="00572995" w:rsidP="00E8324D">
            <w:pPr>
              <w:pStyle w:val="Tablas"/>
              <w:rPr>
                <w:sz w:val="12"/>
                <w:szCs w:val="12"/>
              </w:rPr>
            </w:pPr>
            <w:r w:rsidRPr="00483EBE">
              <w:rPr>
                <w:sz w:val="12"/>
                <w:szCs w:val="12"/>
              </w:rPr>
              <w:t>$2,228</w:t>
            </w:r>
          </w:p>
        </w:tc>
        <w:tc>
          <w:tcPr>
            <w:tcW w:w="0" w:type="auto"/>
            <w:tcBorders>
              <w:top w:val="nil"/>
              <w:left w:val="nil"/>
              <w:bottom w:val="single" w:sz="4" w:space="0" w:color="auto"/>
              <w:right w:val="single" w:sz="4" w:space="0" w:color="auto"/>
            </w:tcBorders>
            <w:shd w:val="clear" w:color="auto" w:fill="auto"/>
            <w:vAlign w:val="center"/>
            <w:hideMark/>
          </w:tcPr>
          <w:p w14:paraId="5177D7E2" w14:textId="77777777" w:rsidR="00572995" w:rsidRPr="00483EBE" w:rsidRDefault="00572995" w:rsidP="00E8324D">
            <w:pPr>
              <w:pStyle w:val="Tablas"/>
              <w:rPr>
                <w:sz w:val="12"/>
                <w:szCs w:val="12"/>
              </w:rPr>
            </w:pPr>
            <w:r w:rsidRPr="00483EBE">
              <w:rPr>
                <w:sz w:val="12"/>
                <w:szCs w:val="12"/>
              </w:rPr>
              <w:t>$186</w:t>
            </w:r>
          </w:p>
        </w:tc>
        <w:tc>
          <w:tcPr>
            <w:tcW w:w="0" w:type="auto"/>
            <w:tcBorders>
              <w:top w:val="nil"/>
              <w:left w:val="nil"/>
              <w:bottom w:val="single" w:sz="4" w:space="0" w:color="auto"/>
              <w:right w:val="single" w:sz="4" w:space="0" w:color="auto"/>
            </w:tcBorders>
            <w:shd w:val="clear" w:color="auto" w:fill="auto"/>
            <w:vAlign w:val="center"/>
            <w:hideMark/>
          </w:tcPr>
          <w:p w14:paraId="7DA1CBD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315258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D4CCD90"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2676BEEB"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3486FA4A" w14:textId="77777777" w:rsidR="00572995" w:rsidRPr="00483EBE" w:rsidRDefault="00572995" w:rsidP="00E8324D">
            <w:pPr>
              <w:pStyle w:val="Tablas"/>
              <w:rPr>
                <w:sz w:val="12"/>
                <w:szCs w:val="12"/>
              </w:rPr>
            </w:pPr>
            <w:r w:rsidRPr="00483EBE">
              <w:rPr>
                <w:sz w:val="12"/>
                <w:szCs w:val="12"/>
              </w:rPr>
              <w:t>$63,125</w:t>
            </w:r>
          </w:p>
        </w:tc>
        <w:tc>
          <w:tcPr>
            <w:tcW w:w="0" w:type="auto"/>
            <w:tcBorders>
              <w:top w:val="nil"/>
              <w:left w:val="nil"/>
              <w:bottom w:val="single" w:sz="4" w:space="0" w:color="auto"/>
              <w:right w:val="single" w:sz="4" w:space="0" w:color="auto"/>
            </w:tcBorders>
            <w:shd w:val="clear" w:color="auto" w:fill="auto"/>
            <w:vAlign w:val="center"/>
            <w:hideMark/>
          </w:tcPr>
          <w:p w14:paraId="393CB636" w14:textId="77777777" w:rsidR="00572995" w:rsidRPr="00483EBE" w:rsidRDefault="00572995" w:rsidP="00E8324D">
            <w:pPr>
              <w:pStyle w:val="Tablas"/>
              <w:rPr>
                <w:sz w:val="12"/>
                <w:szCs w:val="12"/>
              </w:rPr>
            </w:pPr>
            <w:r w:rsidRPr="00483EBE">
              <w:rPr>
                <w:sz w:val="12"/>
                <w:szCs w:val="12"/>
              </w:rPr>
              <w:t>$3,156</w:t>
            </w:r>
          </w:p>
        </w:tc>
        <w:tc>
          <w:tcPr>
            <w:tcW w:w="0" w:type="auto"/>
            <w:tcBorders>
              <w:top w:val="nil"/>
              <w:left w:val="nil"/>
              <w:bottom w:val="single" w:sz="4" w:space="0" w:color="auto"/>
              <w:right w:val="single" w:sz="4" w:space="0" w:color="auto"/>
            </w:tcBorders>
            <w:shd w:val="clear" w:color="auto" w:fill="auto"/>
            <w:vAlign w:val="center"/>
            <w:hideMark/>
          </w:tcPr>
          <w:p w14:paraId="6926FA79"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1763F164"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0303F59" w14:textId="77777777" w:rsidR="00572995" w:rsidRPr="00483EBE" w:rsidRDefault="00572995" w:rsidP="00E8324D">
            <w:pPr>
              <w:pStyle w:val="Tablas"/>
              <w:rPr>
                <w:sz w:val="12"/>
                <w:szCs w:val="12"/>
              </w:rPr>
            </w:pPr>
            <w:r w:rsidRPr="00483EBE">
              <w:rPr>
                <w:sz w:val="12"/>
                <w:szCs w:val="12"/>
              </w:rPr>
              <w:t>SEBD</w:t>
            </w:r>
          </w:p>
        </w:tc>
      </w:tr>
      <w:tr w:rsidR="00572995" w:rsidRPr="00483EBE" w14:paraId="12271B0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A470E7"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6C8C0284" w14:textId="77777777" w:rsidR="00572995" w:rsidRPr="00483EBE" w:rsidRDefault="00572995" w:rsidP="00E8324D">
            <w:pPr>
              <w:pStyle w:val="Tablas"/>
              <w:rPr>
                <w:sz w:val="12"/>
                <w:szCs w:val="12"/>
              </w:rPr>
            </w:pPr>
            <w:r w:rsidRPr="00483EBE">
              <w:rPr>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14:paraId="52496F6C" w14:textId="77777777" w:rsidR="00572995" w:rsidRPr="00483EBE" w:rsidRDefault="00572995" w:rsidP="00E8324D">
            <w:pPr>
              <w:pStyle w:val="Tablas"/>
              <w:rPr>
                <w:sz w:val="12"/>
                <w:szCs w:val="12"/>
              </w:rPr>
            </w:pPr>
            <w:r w:rsidRPr="00483EBE">
              <w:rPr>
                <w:sz w:val="12"/>
                <w:szCs w:val="12"/>
              </w:rPr>
              <w:t>$135,096</w:t>
            </w:r>
          </w:p>
        </w:tc>
        <w:tc>
          <w:tcPr>
            <w:tcW w:w="0" w:type="auto"/>
            <w:tcBorders>
              <w:top w:val="nil"/>
              <w:left w:val="nil"/>
              <w:bottom w:val="single" w:sz="4" w:space="0" w:color="auto"/>
              <w:right w:val="single" w:sz="4" w:space="0" w:color="auto"/>
            </w:tcBorders>
            <w:shd w:val="clear" w:color="auto" w:fill="auto"/>
            <w:vAlign w:val="center"/>
            <w:hideMark/>
          </w:tcPr>
          <w:p w14:paraId="66446A9C" w14:textId="77777777" w:rsidR="00572995" w:rsidRPr="00483EBE" w:rsidRDefault="00572995" w:rsidP="00E8324D">
            <w:pPr>
              <w:pStyle w:val="Tablas"/>
              <w:rPr>
                <w:sz w:val="12"/>
                <w:szCs w:val="12"/>
              </w:rPr>
            </w:pPr>
            <w:r w:rsidRPr="00483EBE">
              <w:rPr>
                <w:sz w:val="12"/>
                <w:szCs w:val="12"/>
              </w:rPr>
              <w:t>$2,252</w:t>
            </w:r>
          </w:p>
        </w:tc>
        <w:tc>
          <w:tcPr>
            <w:tcW w:w="0" w:type="auto"/>
            <w:tcBorders>
              <w:top w:val="nil"/>
              <w:left w:val="nil"/>
              <w:bottom w:val="single" w:sz="4" w:space="0" w:color="auto"/>
              <w:right w:val="single" w:sz="4" w:space="0" w:color="auto"/>
            </w:tcBorders>
            <w:shd w:val="clear" w:color="auto" w:fill="auto"/>
            <w:vAlign w:val="center"/>
            <w:hideMark/>
          </w:tcPr>
          <w:p w14:paraId="69BABD7C" w14:textId="77777777" w:rsidR="00572995" w:rsidRPr="00483EBE" w:rsidRDefault="00572995" w:rsidP="00E8324D">
            <w:pPr>
              <w:pStyle w:val="Tablas"/>
              <w:rPr>
                <w:sz w:val="12"/>
                <w:szCs w:val="12"/>
              </w:rPr>
            </w:pPr>
            <w:r w:rsidRPr="00483EBE">
              <w:rPr>
                <w:sz w:val="12"/>
                <w:szCs w:val="12"/>
              </w:rPr>
              <w:t>$188</w:t>
            </w:r>
          </w:p>
        </w:tc>
        <w:tc>
          <w:tcPr>
            <w:tcW w:w="0" w:type="auto"/>
            <w:tcBorders>
              <w:top w:val="nil"/>
              <w:left w:val="nil"/>
              <w:bottom w:val="single" w:sz="4" w:space="0" w:color="auto"/>
              <w:right w:val="single" w:sz="4" w:space="0" w:color="auto"/>
            </w:tcBorders>
            <w:shd w:val="clear" w:color="auto" w:fill="auto"/>
            <w:vAlign w:val="center"/>
            <w:hideMark/>
          </w:tcPr>
          <w:p w14:paraId="3C041D9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4EFA75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F254CB"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03ABDA73"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72E81410" w14:textId="77777777" w:rsidR="00572995" w:rsidRPr="00483EBE" w:rsidRDefault="00572995" w:rsidP="00E8324D">
            <w:pPr>
              <w:pStyle w:val="Tablas"/>
              <w:rPr>
                <w:sz w:val="12"/>
                <w:szCs w:val="12"/>
              </w:rPr>
            </w:pPr>
            <w:r w:rsidRPr="00483EBE">
              <w:rPr>
                <w:sz w:val="12"/>
                <w:szCs w:val="12"/>
              </w:rPr>
              <w:t>$66,552</w:t>
            </w:r>
          </w:p>
        </w:tc>
        <w:tc>
          <w:tcPr>
            <w:tcW w:w="0" w:type="auto"/>
            <w:tcBorders>
              <w:top w:val="nil"/>
              <w:left w:val="nil"/>
              <w:bottom w:val="single" w:sz="4" w:space="0" w:color="auto"/>
              <w:right w:val="single" w:sz="4" w:space="0" w:color="auto"/>
            </w:tcBorders>
            <w:shd w:val="clear" w:color="auto" w:fill="auto"/>
            <w:vAlign w:val="center"/>
            <w:hideMark/>
          </w:tcPr>
          <w:p w14:paraId="4C56A30C" w14:textId="77777777" w:rsidR="00572995" w:rsidRPr="00483EBE" w:rsidRDefault="00572995" w:rsidP="00E8324D">
            <w:pPr>
              <w:pStyle w:val="Tablas"/>
              <w:rPr>
                <w:sz w:val="12"/>
                <w:szCs w:val="12"/>
              </w:rPr>
            </w:pPr>
            <w:r w:rsidRPr="00483EBE">
              <w:rPr>
                <w:sz w:val="12"/>
                <w:szCs w:val="12"/>
              </w:rPr>
              <w:t>$3,697</w:t>
            </w:r>
          </w:p>
        </w:tc>
        <w:tc>
          <w:tcPr>
            <w:tcW w:w="0" w:type="auto"/>
            <w:tcBorders>
              <w:top w:val="nil"/>
              <w:left w:val="nil"/>
              <w:bottom w:val="single" w:sz="4" w:space="0" w:color="auto"/>
              <w:right w:val="single" w:sz="4" w:space="0" w:color="auto"/>
            </w:tcBorders>
            <w:shd w:val="clear" w:color="auto" w:fill="auto"/>
            <w:vAlign w:val="center"/>
            <w:hideMark/>
          </w:tcPr>
          <w:p w14:paraId="32B9D94E" w14:textId="77777777" w:rsidR="00572995" w:rsidRPr="00483EBE" w:rsidRDefault="00572995" w:rsidP="00E8324D">
            <w:pPr>
              <w:pStyle w:val="Tablas"/>
              <w:rPr>
                <w:sz w:val="12"/>
                <w:szCs w:val="12"/>
              </w:rPr>
            </w:pPr>
            <w:r w:rsidRPr="00483EBE">
              <w:rPr>
                <w:sz w:val="12"/>
                <w:szCs w:val="12"/>
              </w:rPr>
              <w:t>$308</w:t>
            </w:r>
          </w:p>
        </w:tc>
        <w:tc>
          <w:tcPr>
            <w:tcW w:w="0" w:type="auto"/>
            <w:tcBorders>
              <w:top w:val="nil"/>
              <w:left w:val="nil"/>
              <w:bottom w:val="single" w:sz="4" w:space="0" w:color="auto"/>
              <w:right w:val="single" w:sz="4" w:space="0" w:color="auto"/>
            </w:tcBorders>
            <w:shd w:val="clear" w:color="auto" w:fill="auto"/>
            <w:vAlign w:val="center"/>
            <w:hideMark/>
          </w:tcPr>
          <w:p w14:paraId="1ED245E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3D15E9B" w14:textId="77777777" w:rsidR="00572995" w:rsidRPr="00483EBE" w:rsidRDefault="00572995" w:rsidP="00E8324D">
            <w:pPr>
              <w:pStyle w:val="Tablas"/>
              <w:rPr>
                <w:sz w:val="12"/>
                <w:szCs w:val="12"/>
              </w:rPr>
            </w:pPr>
            <w:r w:rsidRPr="00483EBE">
              <w:rPr>
                <w:sz w:val="12"/>
                <w:szCs w:val="12"/>
              </w:rPr>
              <w:t>SEBD</w:t>
            </w:r>
          </w:p>
        </w:tc>
      </w:tr>
      <w:tr w:rsidR="00572995" w:rsidRPr="00483EBE" w14:paraId="70AD54D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145AB27"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68C39A15" w14:textId="77777777" w:rsidR="00572995" w:rsidRPr="00483EBE" w:rsidRDefault="00572995" w:rsidP="00E8324D">
            <w:pPr>
              <w:pStyle w:val="Tablas"/>
              <w:rPr>
                <w:sz w:val="12"/>
                <w:szCs w:val="12"/>
              </w:rPr>
            </w:pPr>
            <w:r w:rsidRPr="00483EBE">
              <w:rPr>
                <w:sz w:val="12"/>
                <w:szCs w:val="12"/>
              </w:rPr>
              <w:t xml:space="preserve">61 </w:t>
            </w:r>
          </w:p>
        </w:tc>
        <w:tc>
          <w:tcPr>
            <w:tcW w:w="0" w:type="auto"/>
            <w:tcBorders>
              <w:top w:val="nil"/>
              <w:left w:val="nil"/>
              <w:bottom w:val="single" w:sz="4" w:space="0" w:color="auto"/>
              <w:right w:val="single" w:sz="4" w:space="0" w:color="auto"/>
            </w:tcBorders>
            <w:shd w:val="clear" w:color="auto" w:fill="auto"/>
            <w:vAlign w:val="center"/>
            <w:hideMark/>
          </w:tcPr>
          <w:p w14:paraId="32FB0A32" w14:textId="77777777" w:rsidR="00572995" w:rsidRPr="00483EBE" w:rsidRDefault="00572995" w:rsidP="00E8324D">
            <w:pPr>
              <w:pStyle w:val="Tablas"/>
              <w:rPr>
                <w:sz w:val="12"/>
                <w:szCs w:val="12"/>
              </w:rPr>
            </w:pPr>
            <w:r w:rsidRPr="00483EBE">
              <w:rPr>
                <w:sz w:val="12"/>
                <w:szCs w:val="12"/>
              </w:rPr>
              <w:t>$135,383</w:t>
            </w:r>
          </w:p>
        </w:tc>
        <w:tc>
          <w:tcPr>
            <w:tcW w:w="0" w:type="auto"/>
            <w:tcBorders>
              <w:top w:val="nil"/>
              <w:left w:val="nil"/>
              <w:bottom w:val="single" w:sz="4" w:space="0" w:color="auto"/>
              <w:right w:val="single" w:sz="4" w:space="0" w:color="auto"/>
            </w:tcBorders>
            <w:shd w:val="clear" w:color="auto" w:fill="auto"/>
            <w:vAlign w:val="center"/>
            <w:hideMark/>
          </w:tcPr>
          <w:p w14:paraId="63C2FB0D" w14:textId="77777777" w:rsidR="00572995" w:rsidRPr="00483EBE" w:rsidRDefault="00572995" w:rsidP="00E8324D">
            <w:pPr>
              <w:pStyle w:val="Tablas"/>
              <w:rPr>
                <w:sz w:val="12"/>
                <w:szCs w:val="12"/>
              </w:rPr>
            </w:pPr>
            <w:r w:rsidRPr="00483EBE">
              <w:rPr>
                <w:sz w:val="12"/>
                <w:szCs w:val="12"/>
              </w:rPr>
              <w:t>$2,219</w:t>
            </w:r>
          </w:p>
        </w:tc>
        <w:tc>
          <w:tcPr>
            <w:tcW w:w="0" w:type="auto"/>
            <w:tcBorders>
              <w:top w:val="nil"/>
              <w:left w:val="nil"/>
              <w:bottom w:val="single" w:sz="4" w:space="0" w:color="auto"/>
              <w:right w:val="single" w:sz="4" w:space="0" w:color="auto"/>
            </w:tcBorders>
            <w:shd w:val="clear" w:color="auto" w:fill="auto"/>
            <w:vAlign w:val="center"/>
            <w:hideMark/>
          </w:tcPr>
          <w:p w14:paraId="4A260839" w14:textId="77777777" w:rsidR="00572995" w:rsidRPr="00483EBE" w:rsidRDefault="00572995" w:rsidP="00E8324D">
            <w:pPr>
              <w:pStyle w:val="Tablas"/>
              <w:rPr>
                <w:sz w:val="12"/>
                <w:szCs w:val="12"/>
              </w:rPr>
            </w:pPr>
            <w:r w:rsidRPr="00483EBE">
              <w:rPr>
                <w:sz w:val="12"/>
                <w:szCs w:val="12"/>
              </w:rPr>
              <w:t>$185</w:t>
            </w:r>
          </w:p>
        </w:tc>
        <w:tc>
          <w:tcPr>
            <w:tcW w:w="0" w:type="auto"/>
            <w:tcBorders>
              <w:top w:val="nil"/>
              <w:left w:val="nil"/>
              <w:bottom w:val="single" w:sz="4" w:space="0" w:color="auto"/>
              <w:right w:val="single" w:sz="4" w:space="0" w:color="auto"/>
            </w:tcBorders>
            <w:shd w:val="clear" w:color="auto" w:fill="auto"/>
            <w:vAlign w:val="center"/>
            <w:hideMark/>
          </w:tcPr>
          <w:p w14:paraId="30165F2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54C487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8497AE"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0BBBCCA0"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EA5C482" w14:textId="77777777" w:rsidR="00572995" w:rsidRPr="00483EBE" w:rsidRDefault="00572995" w:rsidP="00E8324D">
            <w:pPr>
              <w:pStyle w:val="Tablas"/>
              <w:rPr>
                <w:sz w:val="12"/>
                <w:szCs w:val="12"/>
              </w:rPr>
            </w:pPr>
            <w:r w:rsidRPr="00483EBE">
              <w:rPr>
                <w:sz w:val="12"/>
                <w:szCs w:val="12"/>
              </w:rPr>
              <w:t>$11,374</w:t>
            </w:r>
          </w:p>
        </w:tc>
        <w:tc>
          <w:tcPr>
            <w:tcW w:w="0" w:type="auto"/>
            <w:tcBorders>
              <w:top w:val="nil"/>
              <w:left w:val="nil"/>
              <w:bottom w:val="single" w:sz="4" w:space="0" w:color="auto"/>
              <w:right w:val="single" w:sz="4" w:space="0" w:color="auto"/>
            </w:tcBorders>
            <w:shd w:val="clear" w:color="auto" w:fill="auto"/>
            <w:vAlign w:val="center"/>
            <w:hideMark/>
          </w:tcPr>
          <w:p w14:paraId="78707368" w14:textId="77777777" w:rsidR="00572995" w:rsidRPr="00483EBE" w:rsidRDefault="00572995" w:rsidP="00E8324D">
            <w:pPr>
              <w:pStyle w:val="Tablas"/>
              <w:rPr>
                <w:sz w:val="12"/>
                <w:szCs w:val="12"/>
              </w:rPr>
            </w:pPr>
            <w:r w:rsidRPr="00483EBE">
              <w:rPr>
                <w:sz w:val="12"/>
                <w:szCs w:val="12"/>
              </w:rPr>
              <w:t>$2,843</w:t>
            </w:r>
          </w:p>
        </w:tc>
        <w:tc>
          <w:tcPr>
            <w:tcW w:w="0" w:type="auto"/>
            <w:tcBorders>
              <w:top w:val="nil"/>
              <w:left w:val="nil"/>
              <w:bottom w:val="single" w:sz="4" w:space="0" w:color="auto"/>
              <w:right w:val="single" w:sz="4" w:space="0" w:color="auto"/>
            </w:tcBorders>
            <w:shd w:val="clear" w:color="auto" w:fill="auto"/>
            <w:vAlign w:val="center"/>
            <w:hideMark/>
          </w:tcPr>
          <w:p w14:paraId="0D08683A" w14:textId="77777777" w:rsidR="00572995" w:rsidRPr="00483EBE" w:rsidRDefault="00572995" w:rsidP="00E8324D">
            <w:pPr>
              <w:pStyle w:val="Tablas"/>
              <w:rPr>
                <w:sz w:val="12"/>
                <w:szCs w:val="12"/>
              </w:rPr>
            </w:pPr>
            <w:r w:rsidRPr="00483EBE">
              <w:rPr>
                <w:sz w:val="12"/>
                <w:szCs w:val="12"/>
              </w:rPr>
              <w:t>$237</w:t>
            </w:r>
          </w:p>
        </w:tc>
        <w:tc>
          <w:tcPr>
            <w:tcW w:w="0" w:type="auto"/>
            <w:tcBorders>
              <w:top w:val="nil"/>
              <w:left w:val="nil"/>
              <w:bottom w:val="single" w:sz="4" w:space="0" w:color="auto"/>
              <w:right w:val="single" w:sz="4" w:space="0" w:color="auto"/>
            </w:tcBorders>
            <w:shd w:val="clear" w:color="auto" w:fill="auto"/>
            <w:vAlign w:val="center"/>
            <w:hideMark/>
          </w:tcPr>
          <w:p w14:paraId="16932DE6"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7548635" w14:textId="77777777" w:rsidR="00572995" w:rsidRPr="00483EBE" w:rsidRDefault="00572995" w:rsidP="00E8324D">
            <w:pPr>
              <w:pStyle w:val="Tablas"/>
              <w:rPr>
                <w:sz w:val="12"/>
                <w:szCs w:val="12"/>
              </w:rPr>
            </w:pPr>
            <w:r w:rsidRPr="00483EBE">
              <w:rPr>
                <w:sz w:val="12"/>
                <w:szCs w:val="12"/>
              </w:rPr>
              <w:t>SEBD</w:t>
            </w:r>
          </w:p>
        </w:tc>
      </w:tr>
      <w:tr w:rsidR="00572995" w:rsidRPr="00483EBE" w14:paraId="230B16E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49C1DFC"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343725CA" w14:textId="77777777" w:rsidR="00572995" w:rsidRPr="00483EBE" w:rsidRDefault="00572995" w:rsidP="00E8324D">
            <w:pPr>
              <w:pStyle w:val="Tablas"/>
              <w:rPr>
                <w:sz w:val="12"/>
                <w:szCs w:val="12"/>
              </w:rPr>
            </w:pPr>
            <w:r w:rsidRPr="00483EBE">
              <w:rPr>
                <w:sz w:val="12"/>
                <w:szCs w:val="12"/>
              </w:rPr>
              <w:t xml:space="preserve">97 </w:t>
            </w:r>
          </w:p>
        </w:tc>
        <w:tc>
          <w:tcPr>
            <w:tcW w:w="0" w:type="auto"/>
            <w:tcBorders>
              <w:top w:val="nil"/>
              <w:left w:val="nil"/>
              <w:bottom w:val="single" w:sz="4" w:space="0" w:color="auto"/>
              <w:right w:val="single" w:sz="4" w:space="0" w:color="auto"/>
            </w:tcBorders>
            <w:shd w:val="clear" w:color="auto" w:fill="auto"/>
            <w:vAlign w:val="center"/>
            <w:hideMark/>
          </w:tcPr>
          <w:p w14:paraId="42B176AC" w14:textId="77777777" w:rsidR="00572995" w:rsidRPr="00483EBE" w:rsidRDefault="00572995" w:rsidP="00E8324D">
            <w:pPr>
              <w:pStyle w:val="Tablas"/>
              <w:rPr>
                <w:sz w:val="12"/>
                <w:szCs w:val="12"/>
              </w:rPr>
            </w:pPr>
            <w:r w:rsidRPr="00483EBE">
              <w:rPr>
                <w:sz w:val="12"/>
                <w:szCs w:val="12"/>
              </w:rPr>
              <w:t>$209,778</w:t>
            </w:r>
          </w:p>
        </w:tc>
        <w:tc>
          <w:tcPr>
            <w:tcW w:w="0" w:type="auto"/>
            <w:tcBorders>
              <w:top w:val="nil"/>
              <w:left w:val="nil"/>
              <w:bottom w:val="single" w:sz="4" w:space="0" w:color="auto"/>
              <w:right w:val="single" w:sz="4" w:space="0" w:color="auto"/>
            </w:tcBorders>
            <w:shd w:val="clear" w:color="auto" w:fill="auto"/>
            <w:vAlign w:val="center"/>
            <w:hideMark/>
          </w:tcPr>
          <w:p w14:paraId="2D22787B" w14:textId="77777777" w:rsidR="00572995" w:rsidRPr="00483EBE" w:rsidRDefault="00572995" w:rsidP="00E8324D">
            <w:pPr>
              <w:pStyle w:val="Tablas"/>
              <w:rPr>
                <w:sz w:val="12"/>
                <w:szCs w:val="12"/>
              </w:rPr>
            </w:pPr>
            <w:r w:rsidRPr="00483EBE">
              <w:rPr>
                <w:sz w:val="12"/>
                <w:szCs w:val="12"/>
              </w:rPr>
              <w:t>$2,163</w:t>
            </w:r>
          </w:p>
        </w:tc>
        <w:tc>
          <w:tcPr>
            <w:tcW w:w="0" w:type="auto"/>
            <w:tcBorders>
              <w:top w:val="nil"/>
              <w:left w:val="nil"/>
              <w:bottom w:val="single" w:sz="4" w:space="0" w:color="auto"/>
              <w:right w:val="single" w:sz="4" w:space="0" w:color="auto"/>
            </w:tcBorders>
            <w:shd w:val="clear" w:color="auto" w:fill="auto"/>
            <w:vAlign w:val="center"/>
            <w:hideMark/>
          </w:tcPr>
          <w:p w14:paraId="1E74D1EA" w14:textId="77777777" w:rsidR="00572995" w:rsidRPr="00483EBE" w:rsidRDefault="00572995" w:rsidP="00E8324D">
            <w:pPr>
              <w:pStyle w:val="Tablas"/>
              <w:rPr>
                <w:sz w:val="12"/>
                <w:szCs w:val="12"/>
              </w:rPr>
            </w:pPr>
            <w:r w:rsidRPr="00483EBE">
              <w:rPr>
                <w:sz w:val="12"/>
                <w:szCs w:val="12"/>
              </w:rPr>
              <w:t>$180</w:t>
            </w:r>
          </w:p>
        </w:tc>
        <w:tc>
          <w:tcPr>
            <w:tcW w:w="0" w:type="auto"/>
            <w:tcBorders>
              <w:top w:val="nil"/>
              <w:left w:val="nil"/>
              <w:bottom w:val="single" w:sz="4" w:space="0" w:color="auto"/>
              <w:right w:val="single" w:sz="4" w:space="0" w:color="auto"/>
            </w:tcBorders>
            <w:shd w:val="clear" w:color="auto" w:fill="auto"/>
            <w:vAlign w:val="center"/>
            <w:hideMark/>
          </w:tcPr>
          <w:p w14:paraId="02A5BF9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BB31B6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2F36AF"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5B519025"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6313BA99" w14:textId="77777777" w:rsidR="00572995" w:rsidRPr="00483EBE" w:rsidRDefault="00572995" w:rsidP="00E8324D">
            <w:pPr>
              <w:pStyle w:val="Tablas"/>
              <w:rPr>
                <w:sz w:val="12"/>
                <w:szCs w:val="12"/>
              </w:rPr>
            </w:pPr>
            <w:r w:rsidRPr="00483EBE">
              <w:rPr>
                <w:sz w:val="12"/>
                <w:szCs w:val="12"/>
              </w:rPr>
              <w:t>$29,179</w:t>
            </w:r>
          </w:p>
        </w:tc>
        <w:tc>
          <w:tcPr>
            <w:tcW w:w="0" w:type="auto"/>
            <w:tcBorders>
              <w:top w:val="nil"/>
              <w:left w:val="nil"/>
              <w:bottom w:val="single" w:sz="4" w:space="0" w:color="auto"/>
              <w:right w:val="single" w:sz="4" w:space="0" w:color="auto"/>
            </w:tcBorders>
            <w:shd w:val="clear" w:color="auto" w:fill="auto"/>
            <w:vAlign w:val="center"/>
            <w:hideMark/>
          </w:tcPr>
          <w:p w14:paraId="06EA73A6" w14:textId="77777777" w:rsidR="00572995" w:rsidRPr="00483EBE" w:rsidRDefault="00572995" w:rsidP="00E8324D">
            <w:pPr>
              <w:pStyle w:val="Tablas"/>
              <w:rPr>
                <w:sz w:val="12"/>
                <w:szCs w:val="12"/>
              </w:rPr>
            </w:pPr>
            <w:r w:rsidRPr="00483EBE">
              <w:rPr>
                <w:sz w:val="12"/>
                <w:szCs w:val="12"/>
              </w:rPr>
              <w:t>$3,647</w:t>
            </w:r>
          </w:p>
        </w:tc>
        <w:tc>
          <w:tcPr>
            <w:tcW w:w="0" w:type="auto"/>
            <w:tcBorders>
              <w:top w:val="nil"/>
              <w:left w:val="nil"/>
              <w:bottom w:val="single" w:sz="4" w:space="0" w:color="auto"/>
              <w:right w:val="single" w:sz="4" w:space="0" w:color="auto"/>
            </w:tcBorders>
            <w:shd w:val="clear" w:color="auto" w:fill="auto"/>
            <w:vAlign w:val="center"/>
            <w:hideMark/>
          </w:tcPr>
          <w:p w14:paraId="6B6368A4" w14:textId="77777777" w:rsidR="00572995" w:rsidRPr="00483EBE" w:rsidRDefault="00572995" w:rsidP="00E8324D">
            <w:pPr>
              <w:pStyle w:val="Tablas"/>
              <w:rPr>
                <w:sz w:val="12"/>
                <w:szCs w:val="12"/>
              </w:rPr>
            </w:pPr>
            <w:r w:rsidRPr="00483EBE">
              <w:rPr>
                <w:sz w:val="12"/>
                <w:szCs w:val="12"/>
              </w:rPr>
              <w:t>$304</w:t>
            </w:r>
          </w:p>
        </w:tc>
        <w:tc>
          <w:tcPr>
            <w:tcW w:w="0" w:type="auto"/>
            <w:tcBorders>
              <w:top w:val="nil"/>
              <w:left w:val="nil"/>
              <w:bottom w:val="single" w:sz="4" w:space="0" w:color="auto"/>
              <w:right w:val="single" w:sz="4" w:space="0" w:color="auto"/>
            </w:tcBorders>
            <w:shd w:val="clear" w:color="auto" w:fill="auto"/>
            <w:vAlign w:val="center"/>
            <w:hideMark/>
          </w:tcPr>
          <w:p w14:paraId="5FB2446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4F701C0" w14:textId="77777777" w:rsidR="00572995" w:rsidRPr="00483EBE" w:rsidRDefault="00572995" w:rsidP="00E8324D">
            <w:pPr>
              <w:pStyle w:val="Tablas"/>
              <w:rPr>
                <w:sz w:val="12"/>
                <w:szCs w:val="12"/>
              </w:rPr>
            </w:pPr>
            <w:r w:rsidRPr="00483EBE">
              <w:rPr>
                <w:sz w:val="12"/>
                <w:szCs w:val="12"/>
              </w:rPr>
              <w:t>SEBD</w:t>
            </w:r>
          </w:p>
        </w:tc>
      </w:tr>
      <w:tr w:rsidR="00572995" w:rsidRPr="00483EBE" w14:paraId="32A5A0D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B79F121"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10248A0F" w14:textId="77777777" w:rsidR="00572995" w:rsidRPr="00483EBE" w:rsidRDefault="00572995" w:rsidP="00E8324D">
            <w:pPr>
              <w:pStyle w:val="Tablas"/>
              <w:rPr>
                <w:sz w:val="12"/>
                <w:szCs w:val="12"/>
              </w:rPr>
            </w:pPr>
            <w:r w:rsidRPr="00483EBE">
              <w:rPr>
                <w:sz w:val="12"/>
                <w:szCs w:val="12"/>
              </w:rPr>
              <w:t xml:space="preserve">96 </w:t>
            </w:r>
          </w:p>
        </w:tc>
        <w:tc>
          <w:tcPr>
            <w:tcW w:w="0" w:type="auto"/>
            <w:tcBorders>
              <w:top w:val="nil"/>
              <w:left w:val="nil"/>
              <w:bottom w:val="single" w:sz="4" w:space="0" w:color="auto"/>
              <w:right w:val="single" w:sz="4" w:space="0" w:color="auto"/>
            </w:tcBorders>
            <w:shd w:val="clear" w:color="auto" w:fill="auto"/>
            <w:vAlign w:val="center"/>
            <w:hideMark/>
          </w:tcPr>
          <w:p w14:paraId="64D119B8" w14:textId="77777777" w:rsidR="00572995" w:rsidRPr="00483EBE" w:rsidRDefault="00572995" w:rsidP="00E8324D">
            <w:pPr>
              <w:pStyle w:val="Tablas"/>
              <w:rPr>
                <w:sz w:val="12"/>
                <w:szCs w:val="12"/>
              </w:rPr>
            </w:pPr>
            <w:r w:rsidRPr="00483EBE">
              <w:rPr>
                <w:sz w:val="12"/>
                <w:szCs w:val="12"/>
              </w:rPr>
              <w:t>$236,146</w:t>
            </w:r>
          </w:p>
        </w:tc>
        <w:tc>
          <w:tcPr>
            <w:tcW w:w="0" w:type="auto"/>
            <w:tcBorders>
              <w:top w:val="nil"/>
              <w:left w:val="nil"/>
              <w:bottom w:val="single" w:sz="4" w:space="0" w:color="auto"/>
              <w:right w:val="single" w:sz="4" w:space="0" w:color="auto"/>
            </w:tcBorders>
            <w:shd w:val="clear" w:color="auto" w:fill="auto"/>
            <w:vAlign w:val="center"/>
            <w:hideMark/>
          </w:tcPr>
          <w:p w14:paraId="44D4917E" w14:textId="77777777" w:rsidR="00572995" w:rsidRPr="00483EBE" w:rsidRDefault="00572995" w:rsidP="00E8324D">
            <w:pPr>
              <w:pStyle w:val="Tablas"/>
              <w:rPr>
                <w:sz w:val="12"/>
                <w:szCs w:val="12"/>
              </w:rPr>
            </w:pPr>
            <w:r w:rsidRPr="00483EBE">
              <w:rPr>
                <w:sz w:val="12"/>
                <w:szCs w:val="12"/>
              </w:rPr>
              <w:t>$2,460</w:t>
            </w:r>
          </w:p>
        </w:tc>
        <w:tc>
          <w:tcPr>
            <w:tcW w:w="0" w:type="auto"/>
            <w:tcBorders>
              <w:top w:val="nil"/>
              <w:left w:val="nil"/>
              <w:bottom w:val="single" w:sz="4" w:space="0" w:color="auto"/>
              <w:right w:val="single" w:sz="4" w:space="0" w:color="auto"/>
            </w:tcBorders>
            <w:shd w:val="clear" w:color="auto" w:fill="auto"/>
            <w:vAlign w:val="center"/>
            <w:hideMark/>
          </w:tcPr>
          <w:p w14:paraId="29DE6CF6" w14:textId="77777777" w:rsidR="00572995" w:rsidRPr="00483EBE" w:rsidRDefault="00572995" w:rsidP="00E8324D">
            <w:pPr>
              <w:pStyle w:val="Tablas"/>
              <w:rPr>
                <w:sz w:val="12"/>
                <w:szCs w:val="12"/>
              </w:rPr>
            </w:pPr>
            <w:r w:rsidRPr="00483EBE">
              <w:rPr>
                <w:sz w:val="12"/>
                <w:szCs w:val="12"/>
              </w:rPr>
              <w:t>$205</w:t>
            </w:r>
          </w:p>
        </w:tc>
        <w:tc>
          <w:tcPr>
            <w:tcW w:w="0" w:type="auto"/>
            <w:tcBorders>
              <w:top w:val="nil"/>
              <w:left w:val="nil"/>
              <w:bottom w:val="single" w:sz="4" w:space="0" w:color="auto"/>
              <w:right w:val="single" w:sz="4" w:space="0" w:color="auto"/>
            </w:tcBorders>
            <w:shd w:val="clear" w:color="auto" w:fill="auto"/>
            <w:vAlign w:val="center"/>
            <w:hideMark/>
          </w:tcPr>
          <w:p w14:paraId="5506D93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2C796C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DF11A6D"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58FAD47"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53F759EE" w14:textId="77777777" w:rsidR="00572995" w:rsidRPr="00483EBE" w:rsidRDefault="00572995" w:rsidP="00E8324D">
            <w:pPr>
              <w:pStyle w:val="Tablas"/>
              <w:rPr>
                <w:sz w:val="12"/>
                <w:szCs w:val="12"/>
              </w:rPr>
            </w:pPr>
            <w:r w:rsidRPr="00483EBE">
              <w:rPr>
                <w:sz w:val="12"/>
                <w:szCs w:val="12"/>
              </w:rPr>
              <w:t>$35,338</w:t>
            </w:r>
          </w:p>
        </w:tc>
        <w:tc>
          <w:tcPr>
            <w:tcW w:w="0" w:type="auto"/>
            <w:tcBorders>
              <w:top w:val="nil"/>
              <w:left w:val="nil"/>
              <w:bottom w:val="single" w:sz="4" w:space="0" w:color="auto"/>
              <w:right w:val="single" w:sz="4" w:space="0" w:color="auto"/>
            </w:tcBorders>
            <w:shd w:val="clear" w:color="auto" w:fill="auto"/>
            <w:vAlign w:val="center"/>
            <w:hideMark/>
          </w:tcPr>
          <w:p w14:paraId="5341D0D5" w14:textId="77777777" w:rsidR="00572995" w:rsidRPr="00483EBE" w:rsidRDefault="00572995" w:rsidP="00E8324D">
            <w:pPr>
              <w:pStyle w:val="Tablas"/>
              <w:rPr>
                <w:sz w:val="12"/>
                <w:szCs w:val="12"/>
              </w:rPr>
            </w:pPr>
            <w:r w:rsidRPr="00483EBE">
              <w:rPr>
                <w:sz w:val="12"/>
                <w:szCs w:val="12"/>
              </w:rPr>
              <w:t>$2,718</w:t>
            </w:r>
          </w:p>
        </w:tc>
        <w:tc>
          <w:tcPr>
            <w:tcW w:w="0" w:type="auto"/>
            <w:tcBorders>
              <w:top w:val="nil"/>
              <w:left w:val="nil"/>
              <w:bottom w:val="single" w:sz="4" w:space="0" w:color="auto"/>
              <w:right w:val="single" w:sz="4" w:space="0" w:color="auto"/>
            </w:tcBorders>
            <w:shd w:val="clear" w:color="auto" w:fill="auto"/>
            <w:vAlign w:val="center"/>
            <w:hideMark/>
          </w:tcPr>
          <w:p w14:paraId="1EF55F43" w14:textId="77777777" w:rsidR="00572995" w:rsidRPr="00483EBE" w:rsidRDefault="00572995" w:rsidP="00E8324D">
            <w:pPr>
              <w:pStyle w:val="Tablas"/>
              <w:rPr>
                <w:sz w:val="12"/>
                <w:szCs w:val="12"/>
              </w:rPr>
            </w:pPr>
            <w:r w:rsidRPr="00483EBE">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465445B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A023B31" w14:textId="77777777" w:rsidR="00572995" w:rsidRPr="00483EBE" w:rsidRDefault="00572995" w:rsidP="00E8324D">
            <w:pPr>
              <w:pStyle w:val="Tablas"/>
              <w:rPr>
                <w:sz w:val="12"/>
                <w:szCs w:val="12"/>
              </w:rPr>
            </w:pPr>
            <w:r w:rsidRPr="00483EBE">
              <w:rPr>
                <w:sz w:val="12"/>
                <w:szCs w:val="12"/>
              </w:rPr>
              <w:t>SEBD</w:t>
            </w:r>
          </w:p>
        </w:tc>
      </w:tr>
      <w:tr w:rsidR="00572995" w:rsidRPr="00483EBE" w14:paraId="7F0347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71924DD"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3AA7FF50" w14:textId="77777777" w:rsidR="00572995" w:rsidRPr="00483EBE" w:rsidRDefault="00572995" w:rsidP="00E8324D">
            <w:pPr>
              <w:pStyle w:val="Tablas"/>
              <w:rPr>
                <w:sz w:val="12"/>
                <w:szCs w:val="12"/>
              </w:rPr>
            </w:pPr>
            <w:r w:rsidRPr="00483EBE">
              <w:rPr>
                <w:sz w:val="12"/>
                <w:szCs w:val="12"/>
              </w:rPr>
              <w:t xml:space="preserve">111 </w:t>
            </w:r>
          </w:p>
        </w:tc>
        <w:tc>
          <w:tcPr>
            <w:tcW w:w="0" w:type="auto"/>
            <w:tcBorders>
              <w:top w:val="nil"/>
              <w:left w:val="nil"/>
              <w:bottom w:val="single" w:sz="4" w:space="0" w:color="auto"/>
              <w:right w:val="single" w:sz="4" w:space="0" w:color="auto"/>
            </w:tcBorders>
            <w:shd w:val="clear" w:color="auto" w:fill="auto"/>
            <w:vAlign w:val="center"/>
            <w:hideMark/>
          </w:tcPr>
          <w:p w14:paraId="59FA6F69" w14:textId="77777777" w:rsidR="00572995" w:rsidRPr="00483EBE" w:rsidRDefault="00572995" w:rsidP="00E8324D">
            <w:pPr>
              <w:pStyle w:val="Tablas"/>
              <w:rPr>
                <w:sz w:val="12"/>
                <w:szCs w:val="12"/>
              </w:rPr>
            </w:pPr>
            <w:r w:rsidRPr="00483EBE">
              <w:rPr>
                <w:sz w:val="12"/>
                <w:szCs w:val="12"/>
              </w:rPr>
              <w:t>$266,968</w:t>
            </w:r>
          </w:p>
        </w:tc>
        <w:tc>
          <w:tcPr>
            <w:tcW w:w="0" w:type="auto"/>
            <w:tcBorders>
              <w:top w:val="nil"/>
              <w:left w:val="nil"/>
              <w:bottom w:val="single" w:sz="4" w:space="0" w:color="auto"/>
              <w:right w:val="single" w:sz="4" w:space="0" w:color="auto"/>
            </w:tcBorders>
            <w:shd w:val="clear" w:color="auto" w:fill="auto"/>
            <w:vAlign w:val="center"/>
            <w:hideMark/>
          </w:tcPr>
          <w:p w14:paraId="7790F6B1" w14:textId="77777777" w:rsidR="00572995" w:rsidRPr="00483EBE" w:rsidRDefault="00572995" w:rsidP="00E8324D">
            <w:pPr>
              <w:pStyle w:val="Tablas"/>
              <w:rPr>
                <w:sz w:val="12"/>
                <w:szCs w:val="12"/>
              </w:rPr>
            </w:pPr>
            <w:r w:rsidRPr="00483EBE">
              <w:rPr>
                <w:sz w:val="12"/>
                <w:szCs w:val="12"/>
              </w:rPr>
              <w:t>$2,405</w:t>
            </w:r>
          </w:p>
        </w:tc>
        <w:tc>
          <w:tcPr>
            <w:tcW w:w="0" w:type="auto"/>
            <w:tcBorders>
              <w:top w:val="nil"/>
              <w:left w:val="nil"/>
              <w:bottom w:val="single" w:sz="4" w:space="0" w:color="auto"/>
              <w:right w:val="single" w:sz="4" w:space="0" w:color="auto"/>
            </w:tcBorders>
            <w:shd w:val="clear" w:color="auto" w:fill="auto"/>
            <w:vAlign w:val="center"/>
            <w:hideMark/>
          </w:tcPr>
          <w:p w14:paraId="0F54E58E" w14:textId="77777777" w:rsidR="00572995" w:rsidRPr="00483EBE" w:rsidRDefault="00572995" w:rsidP="00E8324D">
            <w:pPr>
              <w:pStyle w:val="Tablas"/>
              <w:rPr>
                <w:sz w:val="12"/>
                <w:szCs w:val="12"/>
              </w:rPr>
            </w:pPr>
            <w:r w:rsidRPr="00483EBE">
              <w:rPr>
                <w:sz w:val="12"/>
                <w:szCs w:val="12"/>
              </w:rPr>
              <w:t>$200</w:t>
            </w:r>
          </w:p>
        </w:tc>
        <w:tc>
          <w:tcPr>
            <w:tcW w:w="0" w:type="auto"/>
            <w:tcBorders>
              <w:top w:val="nil"/>
              <w:left w:val="nil"/>
              <w:bottom w:val="single" w:sz="4" w:space="0" w:color="auto"/>
              <w:right w:val="single" w:sz="4" w:space="0" w:color="auto"/>
            </w:tcBorders>
            <w:shd w:val="clear" w:color="auto" w:fill="auto"/>
            <w:vAlign w:val="center"/>
            <w:hideMark/>
          </w:tcPr>
          <w:p w14:paraId="46F738C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54ADD8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2046D9"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154ADA63"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3A8BCA3" w14:textId="77777777" w:rsidR="00572995" w:rsidRPr="00483EBE" w:rsidRDefault="00572995" w:rsidP="00E8324D">
            <w:pPr>
              <w:pStyle w:val="Tablas"/>
              <w:rPr>
                <w:sz w:val="12"/>
                <w:szCs w:val="12"/>
              </w:rPr>
            </w:pPr>
            <w:r w:rsidRPr="00483EBE">
              <w:rPr>
                <w:sz w:val="12"/>
                <w:szCs w:val="12"/>
              </w:rPr>
              <w:t>$13,033</w:t>
            </w:r>
          </w:p>
        </w:tc>
        <w:tc>
          <w:tcPr>
            <w:tcW w:w="0" w:type="auto"/>
            <w:tcBorders>
              <w:top w:val="nil"/>
              <w:left w:val="nil"/>
              <w:bottom w:val="single" w:sz="4" w:space="0" w:color="auto"/>
              <w:right w:val="single" w:sz="4" w:space="0" w:color="auto"/>
            </w:tcBorders>
            <w:shd w:val="clear" w:color="auto" w:fill="auto"/>
            <w:vAlign w:val="center"/>
            <w:hideMark/>
          </w:tcPr>
          <w:p w14:paraId="2B59ADA8" w14:textId="77777777" w:rsidR="00572995" w:rsidRPr="00483EBE" w:rsidRDefault="00572995" w:rsidP="00E8324D">
            <w:pPr>
              <w:pStyle w:val="Tablas"/>
              <w:rPr>
                <w:sz w:val="12"/>
                <w:szCs w:val="12"/>
              </w:rPr>
            </w:pPr>
            <w:r w:rsidRPr="00483EBE">
              <w:rPr>
                <w:sz w:val="12"/>
                <w:szCs w:val="12"/>
              </w:rPr>
              <w:t>$2,607</w:t>
            </w:r>
          </w:p>
        </w:tc>
        <w:tc>
          <w:tcPr>
            <w:tcW w:w="0" w:type="auto"/>
            <w:tcBorders>
              <w:top w:val="nil"/>
              <w:left w:val="nil"/>
              <w:bottom w:val="single" w:sz="4" w:space="0" w:color="auto"/>
              <w:right w:val="single" w:sz="4" w:space="0" w:color="auto"/>
            </w:tcBorders>
            <w:shd w:val="clear" w:color="auto" w:fill="auto"/>
            <w:vAlign w:val="center"/>
            <w:hideMark/>
          </w:tcPr>
          <w:p w14:paraId="2A67C400"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69D6EFC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5BA16A2" w14:textId="77777777" w:rsidR="00572995" w:rsidRPr="00483EBE" w:rsidRDefault="00572995" w:rsidP="00E8324D">
            <w:pPr>
              <w:pStyle w:val="Tablas"/>
              <w:rPr>
                <w:sz w:val="12"/>
                <w:szCs w:val="12"/>
              </w:rPr>
            </w:pPr>
            <w:r w:rsidRPr="00483EBE">
              <w:rPr>
                <w:sz w:val="12"/>
                <w:szCs w:val="12"/>
              </w:rPr>
              <w:t>SEBD</w:t>
            </w:r>
          </w:p>
        </w:tc>
      </w:tr>
      <w:tr w:rsidR="00572995" w:rsidRPr="00483EBE" w14:paraId="5AF07CD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BDBD77E"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7BE6C154" w14:textId="77777777" w:rsidR="00572995" w:rsidRPr="00483EBE" w:rsidRDefault="00572995" w:rsidP="00E8324D">
            <w:pPr>
              <w:pStyle w:val="Tablas"/>
              <w:rPr>
                <w:sz w:val="12"/>
                <w:szCs w:val="12"/>
              </w:rPr>
            </w:pPr>
            <w:r w:rsidRPr="00483EBE">
              <w:rPr>
                <w:sz w:val="12"/>
                <w:szCs w:val="12"/>
              </w:rPr>
              <w:t xml:space="preserve">96 </w:t>
            </w:r>
          </w:p>
        </w:tc>
        <w:tc>
          <w:tcPr>
            <w:tcW w:w="0" w:type="auto"/>
            <w:tcBorders>
              <w:top w:val="nil"/>
              <w:left w:val="nil"/>
              <w:bottom w:val="single" w:sz="4" w:space="0" w:color="auto"/>
              <w:right w:val="single" w:sz="4" w:space="0" w:color="auto"/>
            </w:tcBorders>
            <w:shd w:val="clear" w:color="auto" w:fill="auto"/>
            <w:vAlign w:val="center"/>
            <w:hideMark/>
          </w:tcPr>
          <w:p w14:paraId="5E93BB6F" w14:textId="77777777" w:rsidR="00572995" w:rsidRPr="00483EBE" w:rsidRDefault="00572995" w:rsidP="00E8324D">
            <w:pPr>
              <w:pStyle w:val="Tablas"/>
              <w:rPr>
                <w:sz w:val="12"/>
                <w:szCs w:val="12"/>
              </w:rPr>
            </w:pPr>
            <w:r w:rsidRPr="00483EBE">
              <w:rPr>
                <w:sz w:val="12"/>
                <w:szCs w:val="12"/>
              </w:rPr>
              <w:t>$233,994</w:t>
            </w:r>
          </w:p>
        </w:tc>
        <w:tc>
          <w:tcPr>
            <w:tcW w:w="0" w:type="auto"/>
            <w:tcBorders>
              <w:top w:val="nil"/>
              <w:left w:val="nil"/>
              <w:bottom w:val="single" w:sz="4" w:space="0" w:color="auto"/>
              <w:right w:val="single" w:sz="4" w:space="0" w:color="auto"/>
            </w:tcBorders>
            <w:shd w:val="clear" w:color="auto" w:fill="auto"/>
            <w:vAlign w:val="center"/>
            <w:hideMark/>
          </w:tcPr>
          <w:p w14:paraId="648A7E58" w14:textId="77777777" w:rsidR="00572995" w:rsidRPr="00483EBE" w:rsidRDefault="00572995" w:rsidP="00E8324D">
            <w:pPr>
              <w:pStyle w:val="Tablas"/>
              <w:rPr>
                <w:sz w:val="12"/>
                <w:szCs w:val="12"/>
              </w:rPr>
            </w:pPr>
            <w:r w:rsidRPr="00483EBE">
              <w:rPr>
                <w:sz w:val="12"/>
                <w:szCs w:val="12"/>
              </w:rPr>
              <w:t>$2,437</w:t>
            </w:r>
          </w:p>
        </w:tc>
        <w:tc>
          <w:tcPr>
            <w:tcW w:w="0" w:type="auto"/>
            <w:tcBorders>
              <w:top w:val="nil"/>
              <w:left w:val="nil"/>
              <w:bottom w:val="single" w:sz="4" w:space="0" w:color="auto"/>
              <w:right w:val="single" w:sz="4" w:space="0" w:color="auto"/>
            </w:tcBorders>
            <w:shd w:val="clear" w:color="auto" w:fill="auto"/>
            <w:vAlign w:val="center"/>
            <w:hideMark/>
          </w:tcPr>
          <w:p w14:paraId="301DDAD3" w14:textId="77777777" w:rsidR="00572995" w:rsidRPr="00483EBE" w:rsidRDefault="00572995" w:rsidP="00E8324D">
            <w:pPr>
              <w:pStyle w:val="Tablas"/>
              <w:rPr>
                <w:sz w:val="12"/>
                <w:szCs w:val="12"/>
              </w:rPr>
            </w:pPr>
            <w:r w:rsidRPr="00483EBE">
              <w:rPr>
                <w:sz w:val="12"/>
                <w:szCs w:val="12"/>
              </w:rPr>
              <w:t>$203</w:t>
            </w:r>
          </w:p>
        </w:tc>
        <w:tc>
          <w:tcPr>
            <w:tcW w:w="0" w:type="auto"/>
            <w:tcBorders>
              <w:top w:val="nil"/>
              <w:left w:val="nil"/>
              <w:bottom w:val="single" w:sz="4" w:space="0" w:color="auto"/>
              <w:right w:val="single" w:sz="4" w:space="0" w:color="auto"/>
            </w:tcBorders>
            <w:shd w:val="clear" w:color="auto" w:fill="auto"/>
            <w:vAlign w:val="center"/>
            <w:hideMark/>
          </w:tcPr>
          <w:p w14:paraId="046096D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888575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18B1072"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7F02EAEF"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2DFBC70A" w14:textId="77777777" w:rsidR="00572995" w:rsidRPr="00483EBE" w:rsidRDefault="00572995" w:rsidP="00E8324D">
            <w:pPr>
              <w:pStyle w:val="Tablas"/>
              <w:rPr>
                <w:sz w:val="12"/>
                <w:szCs w:val="12"/>
              </w:rPr>
            </w:pPr>
            <w:r w:rsidRPr="00483EBE">
              <w:rPr>
                <w:sz w:val="12"/>
                <w:szCs w:val="12"/>
              </w:rPr>
              <w:t>$7,812</w:t>
            </w:r>
          </w:p>
        </w:tc>
        <w:tc>
          <w:tcPr>
            <w:tcW w:w="0" w:type="auto"/>
            <w:tcBorders>
              <w:top w:val="nil"/>
              <w:left w:val="nil"/>
              <w:bottom w:val="single" w:sz="4" w:space="0" w:color="auto"/>
              <w:right w:val="single" w:sz="4" w:space="0" w:color="auto"/>
            </w:tcBorders>
            <w:shd w:val="clear" w:color="auto" w:fill="auto"/>
            <w:vAlign w:val="center"/>
            <w:hideMark/>
          </w:tcPr>
          <w:p w14:paraId="2F0F99FC" w14:textId="77777777" w:rsidR="00572995" w:rsidRPr="00483EBE" w:rsidRDefault="00572995" w:rsidP="00E8324D">
            <w:pPr>
              <w:pStyle w:val="Tablas"/>
              <w:rPr>
                <w:sz w:val="12"/>
                <w:szCs w:val="12"/>
              </w:rPr>
            </w:pPr>
            <w:r w:rsidRPr="00483EBE">
              <w:rPr>
                <w:sz w:val="12"/>
                <w:szCs w:val="12"/>
              </w:rPr>
              <w:t>$2,604</w:t>
            </w:r>
          </w:p>
        </w:tc>
        <w:tc>
          <w:tcPr>
            <w:tcW w:w="0" w:type="auto"/>
            <w:tcBorders>
              <w:top w:val="nil"/>
              <w:left w:val="nil"/>
              <w:bottom w:val="single" w:sz="4" w:space="0" w:color="auto"/>
              <w:right w:val="single" w:sz="4" w:space="0" w:color="auto"/>
            </w:tcBorders>
            <w:shd w:val="clear" w:color="auto" w:fill="auto"/>
            <w:vAlign w:val="center"/>
            <w:hideMark/>
          </w:tcPr>
          <w:p w14:paraId="049319BD"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1A4F1C3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7F91D93" w14:textId="77777777" w:rsidR="00572995" w:rsidRPr="00483EBE" w:rsidRDefault="00572995" w:rsidP="00E8324D">
            <w:pPr>
              <w:pStyle w:val="Tablas"/>
              <w:rPr>
                <w:sz w:val="12"/>
                <w:szCs w:val="12"/>
              </w:rPr>
            </w:pPr>
            <w:r w:rsidRPr="00483EBE">
              <w:rPr>
                <w:sz w:val="12"/>
                <w:szCs w:val="12"/>
              </w:rPr>
              <w:t>SEBD</w:t>
            </w:r>
          </w:p>
        </w:tc>
      </w:tr>
      <w:tr w:rsidR="00572995" w:rsidRPr="00483EBE" w14:paraId="11DA62C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F17E1F"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09805271" w14:textId="77777777" w:rsidR="00572995" w:rsidRPr="00483EBE" w:rsidRDefault="00572995" w:rsidP="00E8324D">
            <w:pPr>
              <w:pStyle w:val="Tablas"/>
              <w:rPr>
                <w:sz w:val="12"/>
                <w:szCs w:val="12"/>
              </w:rPr>
            </w:pPr>
            <w:r w:rsidRPr="00483EBE">
              <w:rPr>
                <w:sz w:val="12"/>
                <w:szCs w:val="12"/>
              </w:rPr>
              <w:t xml:space="preserve">139 </w:t>
            </w:r>
          </w:p>
        </w:tc>
        <w:tc>
          <w:tcPr>
            <w:tcW w:w="0" w:type="auto"/>
            <w:tcBorders>
              <w:top w:val="nil"/>
              <w:left w:val="nil"/>
              <w:bottom w:val="single" w:sz="4" w:space="0" w:color="auto"/>
              <w:right w:val="single" w:sz="4" w:space="0" w:color="auto"/>
            </w:tcBorders>
            <w:shd w:val="clear" w:color="auto" w:fill="auto"/>
            <w:vAlign w:val="center"/>
            <w:hideMark/>
          </w:tcPr>
          <w:p w14:paraId="1AE7711A" w14:textId="77777777" w:rsidR="00572995" w:rsidRPr="00483EBE" w:rsidRDefault="00572995" w:rsidP="00E8324D">
            <w:pPr>
              <w:pStyle w:val="Tablas"/>
              <w:rPr>
                <w:sz w:val="12"/>
                <w:szCs w:val="12"/>
              </w:rPr>
            </w:pPr>
            <w:r w:rsidRPr="00483EBE">
              <w:rPr>
                <w:sz w:val="12"/>
                <w:szCs w:val="12"/>
              </w:rPr>
              <w:t>$355,444</w:t>
            </w:r>
          </w:p>
        </w:tc>
        <w:tc>
          <w:tcPr>
            <w:tcW w:w="0" w:type="auto"/>
            <w:tcBorders>
              <w:top w:val="nil"/>
              <w:left w:val="nil"/>
              <w:bottom w:val="single" w:sz="4" w:space="0" w:color="auto"/>
              <w:right w:val="single" w:sz="4" w:space="0" w:color="auto"/>
            </w:tcBorders>
            <w:shd w:val="clear" w:color="auto" w:fill="auto"/>
            <w:vAlign w:val="center"/>
            <w:hideMark/>
          </w:tcPr>
          <w:p w14:paraId="3BEAA0D4" w14:textId="77777777" w:rsidR="00572995" w:rsidRPr="00483EBE" w:rsidRDefault="00572995" w:rsidP="00E8324D">
            <w:pPr>
              <w:pStyle w:val="Tablas"/>
              <w:rPr>
                <w:sz w:val="12"/>
                <w:szCs w:val="12"/>
              </w:rPr>
            </w:pPr>
            <w:r w:rsidRPr="00483EBE">
              <w:rPr>
                <w:sz w:val="12"/>
                <w:szCs w:val="12"/>
              </w:rPr>
              <w:t>$2,557</w:t>
            </w:r>
          </w:p>
        </w:tc>
        <w:tc>
          <w:tcPr>
            <w:tcW w:w="0" w:type="auto"/>
            <w:tcBorders>
              <w:top w:val="nil"/>
              <w:left w:val="nil"/>
              <w:bottom w:val="single" w:sz="4" w:space="0" w:color="auto"/>
              <w:right w:val="single" w:sz="4" w:space="0" w:color="auto"/>
            </w:tcBorders>
            <w:shd w:val="clear" w:color="auto" w:fill="auto"/>
            <w:vAlign w:val="center"/>
            <w:hideMark/>
          </w:tcPr>
          <w:p w14:paraId="3328A934" w14:textId="77777777" w:rsidR="00572995" w:rsidRPr="00483EBE" w:rsidRDefault="00572995" w:rsidP="00E8324D">
            <w:pPr>
              <w:pStyle w:val="Tablas"/>
              <w:rPr>
                <w:sz w:val="12"/>
                <w:szCs w:val="12"/>
              </w:rPr>
            </w:pPr>
            <w:r w:rsidRPr="00483EBE">
              <w:rPr>
                <w:sz w:val="12"/>
                <w:szCs w:val="12"/>
              </w:rPr>
              <w:t>$213</w:t>
            </w:r>
          </w:p>
        </w:tc>
        <w:tc>
          <w:tcPr>
            <w:tcW w:w="0" w:type="auto"/>
            <w:tcBorders>
              <w:top w:val="nil"/>
              <w:left w:val="nil"/>
              <w:bottom w:val="single" w:sz="4" w:space="0" w:color="auto"/>
              <w:right w:val="single" w:sz="4" w:space="0" w:color="auto"/>
            </w:tcBorders>
            <w:shd w:val="clear" w:color="auto" w:fill="auto"/>
            <w:vAlign w:val="center"/>
            <w:hideMark/>
          </w:tcPr>
          <w:p w14:paraId="39EFEE9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4A18B6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46E8348"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1EAF1ADA"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3EA5F1CA" w14:textId="77777777" w:rsidR="00572995" w:rsidRPr="00483EBE" w:rsidRDefault="00572995" w:rsidP="00E8324D">
            <w:pPr>
              <w:pStyle w:val="Tablas"/>
              <w:rPr>
                <w:sz w:val="12"/>
                <w:szCs w:val="12"/>
              </w:rPr>
            </w:pPr>
            <w:r w:rsidRPr="00483EBE">
              <w:rPr>
                <w:sz w:val="12"/>
                <w:szCs w:val="12"/>
              </w:rPr>
              <w:t>$17,421</w:t>
            </w:r>
          </w:p>
        </w:tc>
        <w:tc>
          <w:tcPr>
            <w:tcW w:w="0" w:type="auto"/>
            <w:tcBorders>
              <w:top w:val="nil"/>
              <w:left w:val="nil"/>
              <w:bottom w:val="single" w:sz="4" w:space="0" w:color="auto"/>
              <w:right w:val="single" w:sz="4" w:space="0" w:color="auto"/>
            </w:tcBorders>
            <w:shd w:val="clear" w:color="auto" w:fill="auto"/>
            <w:vAlign w:val="center"/>
            <w:hideMark/>
          </w:tcPr>
          <w:p w14:paraId="7F39AEFE" w14:textId="77777777" w:rsidR="00572995" w:rsidRPr="00483EBE" w:rsidRDefault="00572995" w:rsidP="00E8324D">
            <w:pPr>
              <w:pStyle w:val="Tablas"/>
              <w:rPr>
                <w:sz w:val="12"/>
                <w:szCs w:val="12"/>
              </w:rPr>
            </w:pPr>
            <w:r w:rsidRPr="00483EBE">
              <w:rPr>
                <w:sz w:val="12"/>
                <w:szCs w:val="12"/>
              </w:rPr>
              <w:t>$2,904</w:t>
            </w:r>
          </w:p>
        </w:tc>
        <w:tc>
          <w:tcPr>
            <w:tcW w:w="0" w:type="auto"/>
            <w:tcBorders>
              <w:top w:val="nil"/>
              <w:left w:val="nil"/>
              <w:bottom w:val="single" w:sz="4" w:space="0" w:color="auto"/>
              <w:right w:val="single" w:sz="4" w:space="0" w:color="auto"/>
            </w:tcBorders>
            <w:shd w:val="clear" w:color="auto" w:fill="auto"/>
            <w:vAlign w:val="center"/>
            <w:hideMark/>
          </w:tcPr>
          <w:p w14:paraId="62FB3398" w14:textId="77777777" w:rsidR="00572995" w:rsidRPr="00483EBE" w:rsidRDefault="00572995" w:rsidP="00E8324D">
            <w:pPr>
              <w:pStyle w:val="Tablas"/>
              <w:rPr>
                <w:sz w:val="12"/>
                <w:szCs w:val="12"/>
              </w:rPr>
            </w:pPr>
            <w:r w:rsidRPr="00483EBE">
              <w:rPr>
                <w:sz w:val="12"/>
                <w:szCs w:val="12"/>
              </w:rPr>
              <w:t>$242</w:t>
            </w:r>
          </w:p>
        </w:tc>
        <w:tc>
          <w:tcPr>
            <w:tcW w:w="0" w:type="auto"/>
            <w:tcBorders>
              <w:top w:val="nil"/>
              <w:left w:val="nil"/>
              <w:bottom w:val="single" w:sz="4" w:space="0" w:color="auto"/>
              <w:right w:val="single" w:sz="4" w:space="0" w:color="auto"/>
            </w:tcBorders>
            <w:shd w:val="clear" w:color="auto" w:fill="auto"/>
            <w:vAlign w:val="center"/>
            <w:hideMark/>
          </w:tcPr>
          <w:p w14:paraId="59F728A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9DF9815" w14:textId="77777777" w:rsidR="00572995" w:rsidRPr="00483EBE" w:rsidRDefault="00572995" w:rsidP="00E8324D">
            <w:pPr>
              <w:pStyle w:val="Tablas"/>
              <w:rPr>
                <w:sz w:val="12"/>
                <w:szCs w:val="12"/>
              </w:rPr>
            </w:pPr>
            <w:r w:rsidRPr="00483EBE">
              <w:rPr>
                <w:sz w:val="12"/>
                <w:szCs w:val="12"/>
              </w:rPr>
              <w:t>SEBD</w:t>
            </w:r>
          </w:p>
        </w:tc>
      </w:tr>
      <w:tr w:rsidR="00572995" w:rsidRPr="00483EBE" w14:paraId="4B05763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0C3D98"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2AA3A6C5" w14:textId="77777777" w:rsidR="00572995" w:rsidRPr="00483EBE" w:rsidRDefault="00572995" w:rsidP="00E8324D">
            <w:pPr>
              <w:pStyle w:val="Tablas"/>
              <w:rPr>
                <w:sz w:val="12"/>
                <w:szCs w:val="12"/>
              </w:rPr>
            </w:pPr>
            <w:r w:rsidRPr="00483EBE">
              <w:rPr>
                <w:sz w:val="12"/>
                <w:szCs w:val="12"/>
              </w:rPr>
              <w:t xml:space="preserve">145 </w:t>
            </w:r>
          </w:p>
        </w:tc>
        <w:tc>
          <w:tcPr>
            <w:tcW w:w="0" w:type="auto"/>
            <w:tcBorders>
              <w:top w:val="nil"/>
              <w:left w:val="nil"/>
              <w:bottom w:val="single" w:sz="4" w:space="0" w:color="auto"/>
              <w:right w:val="single" w:sz="4" w:space="0" w:color="auto"/>
            </w:tcBorders>
            <w:shd w:val="clear" w:color="auto" w:fill="auto"/>
            <w:vAlign w:val="center"/>
            <w:hideMark/>
          </w:tcPr>
          <w:p w14:paraId="63419009" w14:textId="77777777" w:rsidR="00572995" w:rsidRPr="00483EBE" w:rsidRDefault="00572995" w:rsidP="00E8324D">
            <w:pPr>
              <w:pStyle w:val="Tablas"/>
              <w:rPr>
                <w:sz w:val="12"/>
                <w:szCs w:val="12"/>
              </w:rPr>
            </w:pPr>
            <w:r w:rsidRPr="00483EBE">
              <w:rPr>
                <w:sz w:val="12"/>
                <w:szCs w:val="12"/>
              </w:rPr>
              <w:t>$382,075</w:t>
            </w:r>
          </w:p>
        </w:tc>
        <w:tc>
          <w:tcPr>
            <w:tcW w:w="0" w:type="auto"/>
            <w:tcBorders>
              <w:top w:val="nil"/>
              <w:left w:val="nil"/>
              <w:bottom w:val="single" w:sz="4" w:space="0" w:color="auto"/>
              <w:right w:val="single" w:sz="4" w:space="0" w:color="auto"/>
            </w:tcBorders>
            <w:shd w:val="clear" w:color="auto" w:fill="auto"/>
            <w:vAlign w:val="center"/>
            <w:hideMark/>
          </w:tcPr>
          <w:p w14:paraId="653F8A26" w14:textId="77777777" w:rsidR="00572995" w:rsidRPr="00483EBE" w:rsidRDefault="00572995" w:rsidP="00E8324D">
            <w:pPr>
              <w:pStyle w:val="Tablas"/>
              <w:rPr>
                <w:sz w:val="12"/>
                <w:szCs w:val="12"/>
              </w:rPr>
            </w:pPr>
            <w:r w:rsidRPr="00483EBE">
              <w:rPr>
                <w:sz w:val="12"/>
                <w:szCs w:val="12"/>
              </w:rPr>
              <w:t>$2,635</w:t>
            </w:r>
          </w:p>
        </w:tc>
        <w:tc>
          <w:tcPr>
            <w:tcW w:w="0" w:type="auto"/>
            <w:tcBorders>
              <w:top w:val="nil"/>
              <w:left w:val="nil"/>
              <w:bottom w:val="single" w:sz="4" w:space="0" w:color="auto"/>
              <w:right w:val="single" w:sz="4" w:space="0" w:color="auto"/>
            </w:tcBorders>
            <w:shd w:val="clear" w:color="auto" w:fill="auto"/>
            <w:vAlign w:val="center"/>
            <w:hideMark/>
          </w:tcPr>
          <w:p w14:paraId="51A3CEB0" w14:textId="77777777" w:rsidR="00572995" w:rsidRPr="00483EBE" w:rsidRDefault="00572995" w:rsidP="00E8324D">
            <w:pPr>
              <w:pStyle w:val="Tablas"/>
              <w:rPr>
                <w:sz w:val="12"/>
                <w:szCs w:val="12"/>
              </w:rPr>
            </w:pPr>
            <w:r w:rsidRPr="00483EBE">
              <w:rPr>
                <w:sz w:val="12"/>
                <w:szCs w:val="12"/>
              </w:rPr>
              <w:t>$220</w:t>
            </w:r>
          </w:p>
        </w:tc>
        <w:tc>
          <w:tcPr>
            <w:tcW w:w="0" w:type="auto"/>
            <w:tcBorders>
              <w:top w:val="nil"/>
              <w:left w:val="nil"/>
              <w:bottom w:val="single" w:sz="4" w:space="0" w:color="auto"/>
              <w:right w:val="single" w:sz="4" w:space="0" w:color="auto"/>
            </w:tcBorders>
            <w:shd w:val="clear" w:color="auto" w:fill="auto"/>
            <w:vAlign w:val="center"/>
            <w:hideMark/>
          </w:tcPr>
          <w:p w14:paraId="143D0B9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4F21E3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7DB13E"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0C05772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8B82480"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5B5D1179"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1C743A08"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31E30E0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E9E53E5" w14:textId="77777777" w:rsidR="00572995" w:rsidRPr="00483EBE" w:rsidRDefault="00572995" w:rsidP="00E8324D">
            <w:pPr>
              <w:pStyle w:val="Tablas"/>
              <w:rPr>
                <w:sz w:val="12"/>
                <w:szCs w:val="12"/>
              </w:rPr>
            </w:pPr>
            <w:r w:rsidRPr="00483EBE">
              <w:rPr>
                <w:sz w:val="12"/>
                <w:szCs w:val="12"/>
              </w:rPr>
              <w:t>SEBD</w:t>
            </w:r>
          </w:p>
        </w:tc>
      </w:tr>
      <w:tr w:rsidR="00572995" w:rsidRPr="00483EBE" w14:paraId="11270AE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953044"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15696617" w14:textId="77777777" w:rsidR="00572995" w:rsidRPr="00483EBE" w:rsidRDefault="00572995" w:rsidP="00E8324D">
            <w:pPr>
              <w:pStyle w:val="Tablas"/>
              <w:rPr>
                <w:sz w:val="12"/>
                <w:szCs w:val="12"/>
              </w:rPr>
            </w:pPr>
            <w:r w:rsidRPr="00483EBE">
              <w:rPr>
                <w:sz w:val="12"/>
                <w:szCs w:val="12"/>
              </w:rPr>
              <w:t xml:space="preserve">143 </w:t>
            </w:r>
          </w:p>
        </w:tc>
        <w:tc>
          <w:tcPr>
            <w:tcW w:w="0" w:type="auto"/>
            <w:tcBorders>
              <w:top w:val="nil"/>
              <w:left w:val="nil"/>
              <w:bottom w:val="single" w:sz="4" w:space="0" w:color="auto"/>
              <w:right w:val="single" w:sz="4" w:space="0" w:color="auto"/>
            </w:tcBorders>
            <w:shd w:val="clear" w:color="auto" w:fill="auto"/>
            <w:vAlign w:val="center"/>
            <w:hideMark/>
          </w:tcPr>
          <w:p w14:paraId="077E3B7A" w14:textId="77777777" w:rsidR="00572995" w:rsidRPr="00483EBE" w:rsidRDefault="00572995" w:rsidP="00E8324D">
            <w:pPr>
              <w:pStyle w:val="Tablas"/>
              <w:rPr>
                <w:sz w:val="12"/>
                <w:szCs w:val="12"/>
              </w:rPr>
            </w:pPr>
            <w:r w:rsidRPr="00483EBE">
              <w:rPr>
                <w:sz w:val="12"/>
                <w:szCs w:val="12"/>
              </w:rPr>
              <w:t>$385,445</w:t>
            </w:r>
          </w:p>
        </w:tc>
        <w:tc>
          <w:tcPr>
            <w:tcW w:w="0" w:type="auto"/>
            <w:tcBorders>
              <w:top w:val="nil"/>
              <w:left w:val="nil"/>
              <w:bottom w:val="single" w:sz="4" w:space="0" w:color="auto"/>
              <w:right w:val="single" w:sz="4" w:space="0" w:color="auto"/>
            </w:tcBorders>
            <w:shd w:val="clear" w:color="auto" w:fill="auto"/>
            <w:vAlign w:val="center"/>
            <w:hideMark/>
          </w:tcPr>
          <w:p w14:paraId="10BC76DD" w14:textId="77777777" w:rsidR="00572995" w:rsidRPr="00483EBE" w:rsidRDefault="00572995" w:rsidP="00E8324D">
            <w:pPr>
              <w:pStyle w:val="Tablas"/>
              <w:rPr>
                <w:sz w:val="12"/>
                <w:szCs w:val="12"/>
              </w:rPr>
            </w:pPr>
            <w:r w:rsidRPr="00483EBE">
              <w:rPr>
                <w:sz w:val="12"/>
                <w:szCs w:val="12"/>
              </w:rPr>
              <w:t>$2,695</w:t>
            </w:r>
          </w:p>
        </w:tc>
        <w:tc>
          <w:tcPr>
            <w:tcW w:w="0" w:type="auto"/>
            <w:tcBorders>
              <w:top w:val="nil"/>
              <w:left w:val="nil"/>
              <w:bottom w:val="single" w:sz="4" w:space="0" w:color="auto"/>
              <w:right w:val="single" w:sz="4" w:space="0" w:color="auto"/>
            </w:tcBorders>
            <w:shd w:val="clear" w:color="auto" w:fill="auto"/>
            <w:vAlign w:val="center"/>
            <w:hideMark/>
          </w:tcPr>
          <w:p w14:paraId="2928B0F6" w14:textId="77777777" w:rsidR="00572995" w:rsidRPr="00483EBE" w:rsidRDefault="00572995" w:rsidP="00E8324D">
            <w:pPr>
              <w:pStyle w:val="Tablas"/>
              <w:rPr>
                <w:sz w:val="12"/>
                <w:szCs w:val="12"/>
              </w:rPr>
            </w:pPr>
            <w:r w:rsidRPr="00483EBE">
              <w:rPr>
                <w:sz w:val="12"/>
                <w:szCs w:val="12"/>
              </w:rPr>
              <w:t>$225</w:t>
            </w:r>
          </w:p>
        </w:tc>
        <w:tc>
          <w:tcPr>
            <w:tcW w:w="0" w:type="auto"/>
            <w:tcBorders>
              <w:top w:val="nil"/>
              <w:left w:val="nil"/>
              <w:bottom w:val="single" w:sz="4" w:space="0" w:color="auto"/>
              <w:right w:val="single" w:sz="4" w:space="0" w:color="auto"/>
            </w:tcBorders>
            <w:shd w:val="clear" w:color="auto" w:fill="auto"/>
            <w:vAlign w:val="center"/>
            <w:hideMark/>
          </w:tcPr>
          <w:p w14:paraId="19199B7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66D223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C705A8"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2530B7C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9080F09"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2535A4C3"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15FE942D"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628732D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7B5B67F" w14:textId="77777777" w:rsidR="00572995" w:rsidRPr="00483EBE" w:rsidRDefault="00572995" w:rsidP="00E8324D">
            <w:pPr>
              <w:pStyle w:val="Tablas"/>
              <w:rPr>
                <w:sz w:val="12"/>
                <w:szCs w:val="12"/>
              </w:rPr>
            </w:pPr>
            <w:r w:rsidRPr="00483EBE">
              <w:rPr>
                <w:sz w:val="12"/>
                <w:szCs w:val="12"/>
              </w:rPr>
              <w:t>SEBD</w:t>
            </w:r>
          </w:p>
        </w:tc>
      </w:tr>
      <w:tr w:rsidR="00572995" w:rsidRPr="00483EBE" w14:paraId="6A90DAC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1DA98B0"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5A205E12" w14:textId="77777777" w:rsidR="00572995" w:rsidRPr="00483EBE" w:rsidRDefault="00572995" w:rsidP="00E8324D">
            <w:pPr>
              <w:pStyle w:val="Tablas"/>
              <w:rPr>
                <w:sz w:val="12"/>
                <w:szCs w:val="12"/>
              </w:rPr>
            </w:pPr>
            <w:r w:rsidRPr="00483EBE">
              <w:rPr>
                <w:sz w:val="12"/>
                <w:szCs w:val="12"/>
              </w:rPr>
              <w:t xml:space="preserve">139 </w:t>
            </w:r>
          </w:p>
        </w:tc>
        <w:tc>
          <w:tcPr>
            <w:tcW w:w="0" w:type="auto"/>
            <w:tcBorders>
              <w:top w:val="nil"/>
              <w:left w:val="nil"/>
              <w:bottom w:val="single" w:sz="4" w:space="0" w:color="auto"/>
              <w:right w:val="single" w:sz="4" w:space="0" w:color="auto"/>
            </w:tcBorders>
            <w:shd w:val="clear" w:color="auto" w:fill="auto"/>
            <w:vAlign w:val="center"/>
            <w:hideMark/>
          </w:tcPr>
          <w:p w14:paraId="26C5B2FB" w14:textId="77777777" w:rsidR="00572995" w:rsidRPr="00483EBE" w:rsidRDefault="00572995" w:rsidP="00E8324D">
            <w:pPr>
              <w:pStyle w:val="Tablas"/>
              <w:rPr>
                <w:sz w:val="12"/>
                <w:szCs w:val="12"/>
              </w:rPr>
            </w:pPr>
            <w:r w:rsidRPr="00483EBE">
              <w:rPr>
                <w:sz w:val="12"/>
                <w:szCs w:val="12"/>
              </w:rPr>
              <w:t>$373,689</w:t>
            </w:r>
          </w:p>
        </w:tc>
        <w:tc>
          <w:tcPr>
            <w:tcW w:w="0" w:type="auto"/>
            <w:tcBorders>
              <w:top w:val="nil"/>
              <w:left w:val="nil"/>
              <w:bottom w:val="single" w:sz="4" w:space="0" w:color="auto"/>
              <w:right w:val="single" w:sz="4" w:space="0" w:color="auto"/>
            </w:tcBorders>
            <w:shd w:val="clear" w:color="auto" w:fill="auto"/>
            <w:vAlign w:val="center"/>
            <w:hideMark/>
          </w:tcPr>
          <w:p w14:paraId="097003E1" w14:textId="77777777" w:rsidR="00572995" w:rsidRPr="00483EBE" w:rsidRDefault="00572995" w:rsidP="00E8324D">
            <w:pPr>
              <w:pStyle w:val="Tablas"/>
              <w:rPr>
                <w:sz w:val="12"/>
                <w:szCs w:val="12"/>
              </w:rPr>
            </w:pPr>
            <w:r w:rsidRPr="00483EBE">
              <w:rPr>
                <w:sz w:val="12"/>
                <w:szCs w:val="12"/>
              </w:rPr>
              <w:t>$2,688</w:t>
            </w:r>
          </w:p>
        </w:tc>
        <w:tc>
          <w:tcPr>
            <w:tcW w:w="0" w:type="auto"/>
            <w:tcBorders>
              <w:top w:val="nil"/>
              <w:left w:val="nil"/>
              <w:bottom w:val="single" w:sz="4" w:space="0" w:color="auto"/>
              <w:right w:val="single" w:sz="4" w:space="0" w:color="auto"/>
            </w:tcBorders>
            <w:shd w:val="clear" w:color="auto" w:fill="auto"/>
            <w:vAlign w:val="center"/>
            <w:hideMark/>
          </w:tcPr>
          <w:p w14:paraId="29518729" w14:textId="77777777" w:rsidR="00572995" w:rsidRPr="00483EBE" w:rsidRDefault="00572995" w:rsidP="00E8324D">
            <w:pPr>
              <w:pStyle w:val="Tablas"/>
              <w:rPr>
                <w:sz w:val="12"/>
                <w:szCs w:val="12"/>
              </w:rPr>
            </w:pPr>
            <w:r w:rsidRPr="00483EBE">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37BB011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C26B1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3816C0F"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671B44F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C3125C0"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2481F9D0" w14:textId="77777777" w:rsidR="00572995" w:rsidRPr="00483EBE" w:rsidRDefault="00572995" w:rsidP="00E8324D">
            <w:pPr>
              <w:pStyle w:val="Tablas"/>
              <w:rPr>
                <w:sz w:val="12"/>
                <w:szCs w:val="12"/>
              </w:rPr>
            </w:pPr>
            <w:r w:rsidRPr="00483EBE">
              <w:rPr>
                <w:sz w:val="12"/>
                <w:szCs w:val="12"/>
              </w:rPr>
              <w:t>$2,580</w:t>
            </w:r>
          </w:p>
        </w:tc>
        <w:tc>
          <w:tcPr>
            <w:tcW w:w="0" w:type="auto"/>
            <w:tcBorders>
              <w:top w:val="nil"/>
              <w:left w:val="nil"/>
              <w:bottom w:val="single" w:sz="4" w:space="0" w:color="auto"/>
              <w:right w:val="single" w:sz="4" w:space="0" w:color="auto"/>
            </w:tcBorders>
            <w:shd w:val="clear" w:color="auto" w:fill="auto"/>
            <w:vAlign w:val="center"/>
            <w:hideMark/>
          </w:tcPr>
          <w:p w14:paraId="295969D8"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663E4FA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F8348E8" w14:textId="77777777" w:rsidR="00572995" w:rsidRPr="00483EBE" w:rsidRDefault="00572995" w:rsidP="00E8324D">
            <w:pPr>
              <w:pStyle w:val="Tablas"/>
              <w:rPr>
                <w:sz w:val="12"/>
                <w:szCs w:val="12"/>
              </w:rPr>
            </w:pPr>
            <w:r w:rsidRPr="00483EBE">
              <w:rPr>
                <w:sz w:val="12"/>
                <w:szCs w:val="12"/>
              </w:rPr>
              <w:t>SEBD</w:t>
            </w:r>
          </w:p>
        </w:tc>
      </w:tr>
      <w:tr w:rsidR="00572995" w:rsidRPr="00483EBE" w14:paraId="1037377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226C150"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33D307E9" w14:textId="77777777" w:rsidR="00572995" w:rsidRPr="00483EBE" w:rsidRDefault="00572995" w:rsidP="00E8324D">
            <w:pPr>
              <w:pStyle w:val="Tablas"/>
              <w:rPr>
                <w:sz w:val="12"/>
                <w:szCs w:val="12"/>
              </w:rPr>
            </w:pPr>
            <w:r w:rsidRPr="00483EBE">
              <w:rPr>
                <w:sz w:val="12"/>
                <w:szCs w:val="12"/>
              </w:rPr>
              <w:t xml:space="preserve">138 </w:t>
            </w:r>
          </w:p>
        </w:tc>
        <w:tc>
          <w:tcPr>
            <w:tcW w:w="0" w:type="auto"/>
            <w:tcBorders>
              <w:top w:val="nil"/>
              <w:left w:val="nil"/>
              <w:bottom w:val="single" w:sz="4" w:space="0" w:color="auto"/>
              <w:right w:val="single" w:sz="4" w:space="0" w:color="auto"/>
            </w:tcBorders>
            <w:shd w:val="clear" w:color="auto" w:fill="auto"/>
            <w:vAlign w:val="center"/>
            <w:hideMark/>
          </w:tcPr>
          <w:p w14:paraId="41E3340F" w14:textId="77777777" w:rsidR="00572995" w:rsidRPr="00483EBE" w:rsidRDefault="00572995" w:rsidP="00E8324D">
            <w:pPr>
              <w:pStyle w:val="Tablas"/>
              <w:rPr>
                <w:sz w:val="12"/>
                <w:szCs w:val="12"/>
              </w:rPr>
            </w:pPr>
            <w:r w:rsidRPr="00483EBE">
              <w:rPr>
                <w:sz w:val="12"/>
                <w:szCs w:val="12"/>
              </w:rPr>
              <w:t>$381,448</w:t>
            </w:r>
          </w:p>
        </w:tc>
        <w:tc>
          <w:tcPr>
            <w:tcW w:w="0" w:type="auto"/>
            <w:tcBorders>
              <w:top w:val="nil"/>
              <w:left w:val="nil"/>
              <w:bottom w:val="single" w:sz="4" w:space="0" w:color="auto"/>
              <w:right w:val="single" w:sz="4" w:space="0" w:color="auto"/>
            </w:tcBorders>
            <w:shd w:val="clear" w:color="auto" w:fill="auto"/>
            <w:vAlign w:val="center"/>
            <w:hideMark/>
          </w:tcPr>
          <w:p w14:paraId="4451090D" w14:textId="77777777" w:rsidR="00572995" w:rsidRPr="00483EBE" w:rsidRDefault="00572995" w:rsidP="00E8324D">
            <w:pPr>
              <w:pStyle w:val="Tablas"/>
              <w:rPr>
                <w:sz w:val="12"/>
                <w:szCs w:val="12"/>
              </w:rPr>
            </w:pPr>
            <w:r w:rsidRPr="00483EBE">
              <w:rPr>
                <w:sz w:val="12"/>
                <w:szCs w:val="12"/>
              </w:rPr>
              <w:t>$2,764</w:t>
            </w:r>
          </w:p>
        </w:tc>
        <w:tc>
          <w:tcPr>
            <w:tcW w:w="0" w:type="auto"/>
            <w:tcBorders>
              <w:top w:val="nil"/>
              <w:left w:val="nil"/>
              <w:bottom w:val="single" w:sz="4" w:space="0" w:color="auto"/>
              <w:right w:val="single" w:sz="4" w:space="0" w:color="auto"/>
            </w:tcBorders>
            <w:shd w:val="clear" w:color="auto" w:fill="auto"/>
            <w:vAlign w:val="center"/>
            <w:hideMark/>
          </w:tcPr>
          <w:p w14:paraId="73D51D3F"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51CFFEC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36F2E0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45B2C9"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4BE8A69B"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74C5D21" w14:textId="77777777" w:rsidR="00572995" w:rsidRPr="00483EBE" w:rsidRDefault="00572995" w:rsidP="00E8324D">
            <w:pPr>
              <w:pStyle w:val="Tablas"/>
              <w:rPr>
                <w:sz w:val="12"/>
                <w:szCs w:val="12"/>
              </w:rPr>
            </w:pPr>
            <w:r w:rsidRPr="00483EBE">
              <w:rPr>
                <w:sz w:val="12"/>
                <w:szCs w:val="12"/>
              </w:rPr>
              <w:t>$3,089</w:t>
            </w:r>
          </w:p>
        </w:tc>
        <w:tc>
          <w:tcPr>
            <w:tcW w:w="0" w:type="auto"/>
            <w:tcBorders>
              <w:top w:val="nil"/>
              <w:left w:val="nil"/>
              <w:bottom w:val="single" w:sz="4" w:space="0" w:color="auto"/>
              <w:right w:val="single" w:sz="4" w:space="0" w:color="auto"/>
            </w:tcBorders>
            <w:shd w:val="clear" w:color="auto" w:fill="auto"/>
            <w:vAlign w:val="center"/>
            <w:hideMark/>
          </w:tcPr>
          <w:p w14:paraId="079D8625" w14:textId="77777777" w:rsidR="00572995" w:rsidRPr="00483EBE" w:rsidRDefault="00572995" w:rsidP="00E8324D">
            <w:pPr>
              <w:pStyle w:val="Tablas"/>
              <w:rPr>
                <w:sz w:val="12"/>
                <w:szCs w:val="12"/>
              </w:rPr>
            </w:pPr>
            <w:r w:rsidRPr="00483EBE">
              <w:rPr>
                <w:sz w:val="12"/>
                <w:szCs w:val="12"/>
              </w:rPr>
              <w:t>$3,089</w:t>
            </w:r>
          </w:p>
        </w:tc>
        <w:tc>
          <w:tcPr>
            <w:tcW w:w="0" w:type="auto"/>
            <w:tcBorders>
              <w:top w:val="nil"/>
              <w:left w:val="nil"/>
              <w:bottom w:val="single" w:sz="4" w:space="0" w:color="auto"/>
              <w:right w:val="single" w:sz="4" w:space="0" w:color="auto"/>
            </w:tcBorders>
            <w:shd w:val="clear" w:color="auto" w:fill="auto"/>
            <w:vAlign w:val="center"/>
            <w:hideMark/>
          </w:tcPr>
          <w:p w14:paraId="412FF409" w14:textId="77777777" w:rsidR="00572995" w:rsidRPr="00483EBE" w:rsidRDefault="00572995" w:rsidP="00E8324D">
            <w:pPr>
              <w:pStyle w:val="Tablas"/>
              <w:rPr>
                <w:sz w:val="12"/>
                <w:szCs w:val="12"/>
              </w:rPr>
            </w:pPr>
            <w:r w:rsidRPr="00483EBE">
              <w:rPr>
                <w:sz w:val="12"/>
                <w:szCs w:val="12"/>
              </w:rPr>
              <w:t>$257</w:t>
            </w:r>
          </w:p>
        </w:tc>
        <w:tc>
          <w:tcPr>
            <w:tcW w:w="0" w:type="auto"/>
            <w:tcBorders>
              <w:top w:val="nil"/>
              <w:left w:val="nil"/>
              <w:bottom w:val="single" w:sz="4" w:space="0" w:color="auto"/>
              <w:right w:val="single" w:sz="4" w:space="0" w:color="auto"/>
            </w:tcBorders>
            <w:shd w:val="clear" w:color="auto" w:fill="auto"/>
            <w:vAlign w:val="center"/>
            <w:hideMark/>
          </w:tcPr>
          <w:p w14:paraId="67B1D8C1" w14:textId="77777777" w:rsidR="00572995" w:rsidRPr="00483EBE" w:rsidRDefault="00572995" w:rsidP="00E8324D">
            <w:pPr>
              <w:pStyle w:val="Tablas"/>
              <w:rPr>
                <w:sz w:val="12"/>
                <w:szCs w:val="12"/>
              </w:rPr>
            </w:pPr>
            <w:r w:rsidRPr="00483EBE">
              <w:rPr>
                <w:sz w:val="12"/>
                <w:szCs w:val="12"/>
              </w:rPr>
              <w:t>INVALIDEZ BANANERAS</w:t>
            </w:r>
          </w:p>
        </w:tc>
        <w:tc>
          <w:tcPr>
            <w:tcW w:w="582" w:type="dxa"/>
            <w:tcBorders>
              <w:top w:val="nil"/>
              <w:left w:val="nil"/>
              <w:bottom w:val="single" w:sz="4" w:space="0" w:color="auto"/>
              <w:right w:val="single" w:sz="8" w:space="0" w:color="auto"/>
            </w:tcBorders>
            <w:shd w:val="clear" w:color="auto" w:fill="auto"/>
            <w:vAlign w:val="center"/>
            <w:hideMark/>
          </w:tcPr>
          <w:p w14:paraId="2CD55C00" w14:textId="77777777" w:rsidR="00572995" w:rsidRPr="00483EBE" w:rsidRDefault="00572995" w:rsidP="00E8324D">
            <w:pPr>
              <w:pStyle w:val="Tablas"/>
              <w:rPr>
                <w:sz w:val="12"/>
                <w:szCs w:val="12"/>
              </w:rPr>
            </w:pPr>
            <w:r w:rsidRPr="00483EBE">
              <w:rPr>
                <w:sz w:val="12"/>
                <w:szCs w:val="12"/>
              </w:rPr>
              <w:t>SEBD</w:t>
            </w:r>
          </w:p>
        </w:tc>
      </w:tr>
      <w:tr w:rsidR="00572995" w:rsidRPr="00483EBE" w14:paraId="64CC545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57339C"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7963B2AC" w14:textId="77777777" w:rsidR="00572995" w:rsidRPr="00483EBE" w:rsidRDefault="00572995" w:rsidP="00E8324D">
            <w:pPr>
              <w:pStyle w:val="Tablas"/>
              <w:rPr>
                <w:sz w:val="12"/>
                <w:szCs w:val="12"/>
              </w:rPr>
            </w:pPr>
            <w:r w:rsidRPr="00483EBE">
              <w:rPr>
                <w:sz w:val="12"/>
                <w:szCs w:val="12"/>
              </w:rPr>
              <w:t xml:space="preserve">181 </w:t>
            </w:r>
          </w:p>
        </w:tc>
        <w:tc>
          <w:tcPr>
            <w:tcW w:w="0" w:type="auto"/>
            <w:tcBorders>
              <w:top w:val="nil"/>
              <w:left w:val="nil"/>
              <w:bottom w:val="single" w:sz="4" w:space="0" w:color="auto"/>
              <w:right w:val="single" w:sz="4" w:space="0" w:color="auto"/>
            </w:tcBorders>
            <w:shd w:val="clear" w:color="auto" w:fill="auto"/>
            <w:vAlign w:val="center"/>
            <w:hideMark/>
          </w:tcPr>
          <w:p w14:paraId="00CA69DF" w14:textId="77777777" w:rsidR="00572995" w:rsidRPr="00483EBE" w:rsidRDefault="00572995" w:rsidP="00E8324D">
            <w:pPr>
              <w:pStyle w:val="Tablas"/>
              <w:rPr>
                <w:sz w:val="12"/>
                <w:szCs w:val="12"/>
              </w:rPr>
            </w:pPr>
            <w:r w:rsidRPr="00483EBE">
              <w:rPr>
                <w:sz w:val="12"/>
                <w:szCs w:val="12"/>
              </w:rPr>
              <w:t>$551,496</w:t>
            </w:r>
          </w:p>
        </w:tc>
        <w:tc>
          <w:tcPr>
            <w:tcW w:w="0" w:type="auto"/>
            <w:tcBorders>
              <w:top w:val="nil"/>
              <w:left w:val="nil"/>
              <w:bottom w:val="single" w:sz="4" w:space="0" w:color="auto"/>
              <w:right w:val="single" w:sz="4" w:space="0" w:color="auto"/>
            </w:tcBorders>
            <w:shd w:val="clear" w:color="auto" w:fill="auto"/>
            <w:vAlign w:val="center"/>
            <w:hideMark/>
          </w:tcPr>
          <w:p w14:paraId="704C4D60" w14:textId="77777777" w:rsidR="00572995" w:rsidRPr="00483EBE" w:rsidRDefault="00572995" w:rsidP="00E8324D">
            <w:pPr>
              <w:pStyle w:val="Tablas"/>
              <w:rPr>
                <w:sz w:val="12"/>
                <w:szCs w:val="12"/>
              </w:rPr>
            </w:pPr>
            <w:r w:rsidRPr="00483EBE">
              <w:rPr>
                <w:sz w:val="12"/>
                <w:szCs w:val="12"/>
              </w:rPr>
              <w:t>$3,047</w:t>
            </w:r>
          </w:p>
        </w:tc>
        <w:tc>
          <w:tcPr>
            <w:tcW w:w="0" w:type="auto"/>
            <w:tcBorders>
              <w:top w:val="nil"/>
              <w:left w:val="nil"/>
              <w:bottom w:val="single" w:sz="4" w:space="0" w:color="auto"/>
              <w:right w:val="single" w:sz="4" w:space="0" w:color="auto"/>
            </w:tcBorders>
            <w:shd w:val="clear" w:color="auto" w:fill="auto"/>
            <w:vAlign w:val="center"/>
            <w:hideMark/>
          </w:tcPr>
          <w:p w14:paraId="3A415303" w14:textId="77777777" w:rsidR="00572995" w:rsidRPr="00483EBE" w:rsidRDefault="00572995" w:rsidP="00E8324D">
            <w:pPr>
              <w:pStyle w:val="Tablas"/>
              <w:rPr>
                <w:sz w:val="12"/>
                <w:szCs w:val="12"/>
              </w:rPr>
            </w:pPr>
            <w:r w:rsidRPr="00483EBE">
              <w:rPr>
                <w:sz w:val="12"/>
                <w:szCs w:val="12"/>
              </w:rPr>
              <w:t>$254</w:t>
            </w:r>
          </w:p>
        </w:tc>
        <w:tc>
          <w:tcPr>
            <w:tcW w:w="0" w:type="auto"/>
            <w:tcBorders>
              <w:top w:val="nil"/>
              <w:left w:val="nil"/>
              <w:bottom w:val="single" w:sz="4" w:space="0" w:color="auto"/>
              <w:right w:val="single" w:sz="4" w:space="0" w:color="auto"/>
            </w:tcBorders>
            <w:shd w:val="clear" w:color="auto" w:fill="auto"/>
            <w:vAlign w:val="center"/>
            <w:hideMark/>
          </w:tcPr>
          <w:p w14:paraId="771A781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D7F3BE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2972C5"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4224BA5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60DA673" w14:textId="77777777" w:rsidR="00572995" w:rsidRPr="00483EBE" w:rsidRDefault="00572995" w:rsidP="00E8324D">
            <w:pPr>
              <w:pStyle w:val="Tablas"/>
              <w:rPr>
                <w:sz w:val="12"/>
                <w:szCs w:val="12"/>
              </w:rPr>
            </w:pPr>
            <w:r w:rsidRPr="00483EBE">
              <w:rPr>
                <w:sz w:val="12"/>
                <w:szCs w:val="12"/>
              </w:rPr>
              <w:t>$3,680</w:t>
            </w:r>
          </w:p>
        </w:tc>
        <w:tc>
          <w:tcPr>
            <w:tcW w:w="0" w:type="auto"/>
            <w:tcBorders>
              <w:top w:val="nil"/>
              <w:left w:val="nil"/>
              <w:bottom w:val="single" w:sz="4" w:space="0" w:color="auto"/>
              <w:right w:val="single" w:sz="4" w:space="0" w:color="auto"/>
            </w:tcBorders>
            <w:shd w:val="clear" w:color="auto" w:fill="auto"/>
            <w:vAlign w:val="center"/>
            <w:hideMark/>
          </w:tcPr>
          <w:p w14:paraId="24B75382" w14:textId="77777777" w:rsidR="00572995" w:rsidRPr="00483EBE" w:rsidRDefault="00572995" w:rsidP="00E8324D">
            <w:pPr>
              <w:pStyle w:val="Tablas"/>
              <w:rPr>
                <w:sz w:val="12"/>
                <w:szCs w:val="12"/>
              </w:rPr>
            </w:pPr>
            <w:r w:rsidRPr="00483EBE">
              <w:rPr>
                <w:sz w:val="12"/>
                <w:szCs w:val="12"/>
              </w:rPr>
              <w:t>$1,840</w:t>
            </w:r>
          </w:p>
        </w:tc>
        <w:tc>
          <w:tcPr>
            <w:tcW w:w="0" w:type="auto"/>
            <w:tcBorders>
              <w:top w:val="nil"/>
              <w:left w:val="nil"/>
              <w:bottom w:val="single" w:sz="4" w:space="0" w:color="auto"/>
              <w:right w:val="single" w:sz="4" w:space="0" w:color="auto"/>
            </w:tcBorders>
            <w:shd w:val="clear" w:color="auto" w:fill="auto"/>
            <w:vAlign w:val="center"/>
            <w:hideMark/>
          </w:tcPr>
          <w:p w14:paraId="280B71E1" w14:textId="77777777" w:rsidR="00572995" w:rsidRPr="00483EBE" w:rsidRDefault="00572995" w:rsidP="00E8324D">
            <w:pPr>
              <w:pStyle w:val="Tablas"/>
              <w:rPr>
                <w:sz w:val="12"/>
                <w:szCs w:val="12"/>
              </w:rPr>
            </w:pPr>
            <w:r w:rsidRPr="00483EBE">
              <w:rPr>
                <w:sz w:val="12"/>
                <w:szCs w:val="12"/>
              </w:rPr>
              <w:t>$153</w:t>
            </w:r>
          </w:p>
        </w:tc>
        <w:tc>
          <w:tcPr>
            <w:tcW w:w="0" w:type="auto"/>
            <w:tcBorders>
              <w:top w:val="nil"/>
              <w:left w:val="nil"/>
              <w:bottom w:val="single" w:sz="4" w:space="0" w:color="auto"/>
              <w:right w:val="single" w:sz="4" w:space="0" w:color="auto"/>
            </w:tcBorders>
            <w:shd w:val="clear" w:color="auto" w:fill="auto"/>
            <w:vAlign w:val="center"/>
            <w:hideMark/>
          </w:tcPr>
          <w:p w14:paraId="5A1C7B6F"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1B84218" w14:textId="77777777" w:rsidR="00572995" w:rsidRPr="00483EBE" w:rsidRDefault="00572995" w:rsidP="00E8324D">
            <w:pPr>
              <w:pStyle w:val="Tablas"/>
              <w:rPr>
                <w:sz w:val="12"/>
                <w:szCs w:val="12"/>
              </w:rPr>
            </w:pPr>
            <w:r w:rsidRPr="00483EBE">
              <w:rPr>
                <w:sz w:val="12"/>
                <w:szCs w:val="12"/>
              </w:rPr>
              <w:t>SEBD</w:t>
            </w:r>
          </w:p>
        </w:tc>
      </w:tr>
      <w:tr w:rsidR="00572995" w:rsidRPr="00483EBE" w14:paraId="7B63B3B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DCD0566"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0D54C178" w14:textId="77777777" w:rsidR="00572995" w:rsidRPr="00483EBE" w:rsidRDefault="00572995" w:rsidP="00E8324D">
            <w:pPr>
              <w:pStyle w:val="Tablas"/>
              <w:rPr>
                <w:sz w:val="12"/>
                <w:szCs w:val="12"/>
              </w:rPr>
            </w:pPr>
            <w:r w:rsidRPr="00483EBE">
              <w:rPr>
                <w:sz w:val="12"/>
                <w:szCs w:val="12"/>
              </w:rPr>
              <w:t xml:space="preserve">192 </w:t>
            </w:r>
          </w:p>
        </w:tc>
        <w:tc>
          <w:tcPr>
            <w:tcW w:w="0" w:type="auto"/>
            <w:tcBorders>
              <w:top w:val="nil"/>
              <w:left w:val="nil"/>
              <w:bottom w:val="single" w:sz="4" w:space="0" w:color="auto"/>
              <w:right w:val="single" w:sz="4" w:space="0" w:color="auto"/>
            </w:tcBorders>
            <w:shd w:val="clear" w:color="auto" w:fill="auto"/>
            <w:vAlign w:val="center"/>
            <w:hideMark/>
          </w:tcPr>
          <w:p w14:paraId="078EE0E7" w14:textId="77777777" w:rsidR="00572995" w:rsidRPr="00483EBE" w:rsidRDefault="00572995" w:rsidP="00E8324D">
            <w:pPr>
              <w:pStyle w:val="Tablas"/>
              <w:rPr>
                <w:sz w:val="12"/>
                <w:szCs w:val="12"/>
              </w:rPr>
            </w:pPr>
            <w:r w:rsidRPr="00483EBE">
              <w:rPr>
                <w:sz w:val="12"/>
                <w:szCs w:val="12"/>
              </w:rPr>
              <w:t>$568,706</w:t>
            </w:r>
          </w:p>
        </w:tc>
        <w:tc>
          <w:tcPr>
            <w:tcW w:w="0" w:type="auto"/>
            <w:tcBorders>
              <w:top w:val="nil"/>
              <w:left w:val="nil"/>
              <w:bottom w:val="single" w:sz="4" w:space="0" w:color="auto"/>
              <w:right w:val="single" w:sz="4" w:space="0" w:color="auto"/>
            </w:tcBorders>
            <w:shd w:val="clear" w:color="auto" w:fill="auto"/>
            <w:vAlign w:val="center"/>
            <w:hideMark/>
          </w:tcPr>
          <w:p w14:paraId="0F56BC43" w14:textId="77777777" w:rsidR="00572995" w:rsidRPr="00483EBE" w:rsidRDefault="00572995" w:rsidP="00E8324D">
            <w:pPr>
              <w:pStyle w:val="Tablas"/>
              <w:rPr>
                <w:sz w:val="12"/>
                <w:szCs w:val="12"/>
              </w:rPr>
            </w:pPr>
            <w:r w:rsidRPr="00483EBE">
              <w:rPr>
                <w:sz w:val="12"/>
                <w:szCs w:val="12"/>
              </w:rPr>
              <w:t>$2,962</w:t>
            </w:r>
          </w:p>
        </w:tc>
        <w:tc>
          <w:tcPr>
            <w:tcW w:w="0" w:type="auto"/>
            <w:tcBorders>
              <w:top w:val="nil"/>
              <w:left w:val="nil"/>
              <w:bottom w:val="single" w:sz="4" w:space="0" w:color="auto"/>
              <w:right w:val="single" w:sz="4" w:space="0" w:color="auto"/>
            </w:tcBorders>
            <w:shd w:val="clear" w:color="auto" w:fill="auto"/>
            <w:vAlign w:val="center"/>
            <w:hideMark/>
          </w:tcPr>
          <w:p w14:paraId="0D810E9D"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2B1A605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DEE07F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FB4C1A9"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747640F1"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7A64181" w14:textId="77777777" w:rsidR="00572995" w:rsidRPr="00483EBE" w:rsidRDefault="00572995" w:rsidP="00E8324D">
            <w:pPr>
              <w:pStyle w:val="Tablas"/>
              <w:rPr>
                <w:sz w:val="12"/>
                <w:szCs w:val="12"/>
              </w:rPr>
            </w:pPr>
            <w:r w:rsidRPr="00483EBE">
              <w:rPr>
                <w:sz w:val="12"/>
                <w:szCs w:val="12"/>
              </w:rPr>
              <w:t>$10,657</w:t>
            </w:r>
          </w:p>
        </w:tc>
        <w:tc>
          <w:tcPr>
            <w:tcW w:w="0" w:type="auto"/>
            <w:tcBorders>
              <w:top w:val="nil"/>
              <w:left w:val="nil"/>
              <w:bottom w:val="single" w:sz="4" w:space="0" w:color="auto"/>
              <w:right w:val="single" w:sz="4" w:space="0" w:color="auto"/>
            </w:tcBorders>
            <w:shd w:val="clear" w:color="auto" w:fill="auto"/>
            <w:vAlign w:val="center"/>
            <w:hideMark/>
          </w:tcPr>
          <w:p w14:paraId="402BD7B1" w14:textId="77777777" w:rsidR="00572995" w:rsidRPr="00483EBE" w:rsidRDefault="00572995" w:rsidP="00E8324D">
            <w:pPr>
              <w:pStyle w:val="Tablas"/>
              <w:rPr>
                <w:sz w:val="12"/>
                <w:szCs w:val="12"/>
              </w:rPr>
            </w:pPr>
            <w:r w:rsidRPr="00483EBE">
              <w:rPr>
                <w:sz w:val="12"/>
                <w:szCs w:val="12"/>
              </w:rPr>
              <w:t>$2,131</w:t>
            </w:r>
          </w:p>
        </w:tc>
        <w:tc>
          <w:tcPr>
            <w:tcW w:w="0" w:type="auto"/>
            <w:tcBorders>
              <w:top w:val="nil"/>
              <w:left w:val="nil"/>
              <w:bottom w:val="single" w:sz="4" w:space="0" w:color="auto"/>
              <w:right w:val="single" w:sz="4" w:space="0" w:color="auto"/>
            </w:tcBorders>
            <w:shd w:val="clear" w:color="auto" w:fill="auto"/>
            <w:vAlign w:val="center"/>
            <w:hideMark/>
          </w:tcPr>
          <w:p w14:paraId="6CFE7571" w14:textId="77777777" w:rsidR="00572995" w:rsidRPr="00483EBE" w:rsidRDefault="00572995" w:rsidP="00E8324D">
            <w:pPr>
              <w:pStyle w:val="Tablas"/>
              <w:rPr>
                <w:sz w:val="12"/>
                <w:szCs w:val="12"/>
              </w:rPr>
            </w:pPr>
            <w:r w:rsidRPr="00483EBE">
              <w:rPr>
                <w:sz w:val="12"/>
                <w:szCs w:val="12"/>
              </w:rPr>
              <w:t>$178</w:t>
            </w:r>
          </w:p>
        </w:tc>
        <w:tc>
          <w:tcPr>
            <w:tcW w:w="0" w:type="auto"/>
            <w:tcBorders>
              <w:top w:val="nil"/>
              <w:left w:val="nil"/>
              <w:bottom w:val="single" w:sz="4" w:space="0" w:color="auto"/>
              <w:right w:val="single" w:sz="4" w:space="0" w:color="auto"/>
            </w:tcBorders>
            <w:shd w:val="clear" w:color="auto" w:fill="auto"/>
            <w:vAlign w:val="center"/>
            <w:hideMark/>
          </w:tcPr>
          <w:p w14:paraId="78EC6F93"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181609A" w14:textId="77777777" w:rsidR="00572995" w:rsidRPr="00483EBE" w:rsidRDefault="00572995" w:rsidP="00E8324D">
            <w:pPr>
              <w:pStyle w:val="Tablas"/>
              <w:rPr>
                <w:sz w:val="12"/>
                <w:szCs w:val="12"/>
              </w:rPr>
            </w:pPr>
            <w:r w:rsidRPr="00483EBE">
              <w:rPr>
                <w:sz w:val="12"/>
                <w:szCs w:val="12"/>
              </w:rPr>
              <w:t>SEBD</w:t>
            </w:r>
          </w:p>
        </w:tc>
      </w:tr>
      <w:tr w:rsidR="00572995" w:rsidRPr="00483EBE" w14:paraId="4FDE34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F216B3"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745D92E3" w14:textId="77777777" w:rsidR="00572995" w:rsidRPr="00483EBE" w:rsidRDefault="00572995" w:rsidP="00E8324D">
            <w:pPr>
              <w:pStyle w:val="Tablas"/>
              <w:rPr>
                <w:sz w:val="12"/>
                <w:szCs w:val="12"/>
              </w:rPr>
            </w:pPr>
            <w:r w:rsidRPr="00483EBE">
              <w:rPr>
                <w:sz w:val="12"/>
                <w:szCs w:val="12"/>
              </w:rPr>
              <w:t xml:space="preserve">174 </w:t>
            </w:r>
          </w:p>
        </w:tc>
        <w:tc>
          <w:tcPr>
            <w:tcW w:w="0" w:type="auto"/>
            <w:tcBorders>
              <w:top w:val="nil"/>
              <w:left w:val="nil"/>
              <w:bottom w:val="single" w:sz="4" w:space="0" w:color="auto"/>
              <w:right w:val="single" w:sz="4" w:space="0" w:color="auto"/>
            </w:tcBorders>
            <w:shd w:val="clear" w:color="auto" w:fill="auto"/>
            <w:vAlign w:val="center"/>
            <w:hideMark/>
          </w:tcPr>
          <w:p w14:paraId="44D901B4" w14:textId="77777777" w:rsidR="00572995" w:rsidRPr="00483EBE" w:rsidRDefault="00572995" w:rsidP="00E8324D">
            <w:pPr>
              <w:pStyle w:val="Tablas"/>
              <w:rPr>
                <w:sz w:val="12"/>
                <w:szCs w:val="12"/>
              </w:rPr>
            </w:pPr>
            <w:r w:rsidRPr="00483EBE">
              <w:rPr>
                <w:sz w:val="12"/>
                <w:szCs w:val="12"/>
              </w:rPr>
              <w:t>$481,131</w:t>
            </w:r>
          </w:p>
        </w:tc>
        <w:tc>
          <w:tcPr>
            <w:tcW w:w="0" w:type="auto"/>
            <w:tcBorders>
              <w:top w:val="nil"/>
              <w:left w:val="nil"/>
              <w:bottom w:val="single" w:sz="4" w:space="0" w:color="auto"/>
              <w:right w:val="single" w:sz="4" w:space="0" w:color="auto"/>
            </w:tcBorders>
            <w:shd w:val="clear" w:color="auto" w:fill="auto"/>
            <w:vAlign w:val="center"/>
            <w:hideMark/>
          </w:tcPr>
          <w:p w14:paraId="54233E51" w14:textId="77777777" w:rsidR="00572995" w:rsidRPr="00483EBE" w:rsidRDefault="00572995" w:rsidP="00E8324D">
            <w:pPr>
              <w:pStyle w:val="Tablas"/>
              <w:rPr>
                <w:sz w:val="12"/>
                <w:szCs w:val="12"/>
              </w:rPr>
            </w:pPr>
            <w:r w:rsidRPr="00483EBE">
              <w:rPr>
                <w:sz w:val="12"/>
                <w:szCs w:val="12"/>
              </w:rPr>
              <w:t>$2,765</w:t>
            </w:r>
          </w:p>
        </w:tc>
        <w:tc>
          <w:tcPr>
            <w:tcW w:w="0" w:type="auto"/>
            <w:tcBorders>
              <w:top w:val="nil"/>
              <w:left w:val="nil"/>
              <w:bottom w:val="single" w:sz="4" w:space="0" w:color="auto"/>
              <w:right w:val="single" w:sz="4" w:space="0" w:color="auto"/>
            </w:tcBorders>
            <w:shd w:val="clear" w:color="auto" w:fill="auto"/>
            <w:vAlign w:val="center"/>
            <w:hideMark/>
          </w:tcPr>
          <w:p w14:paraId="671A80CA"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7ECBBDA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9372AD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474953E"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078E120A"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7056CB0B" w14:textId="77777777" w:rsidR="00572995" w:rsidRPr="00483EBE" w:rsidRDefault="00572995" w:rsidP="00E8324D">
            <w:pPr>
              <w:pStyle w:val="Tablas"/>
              <w:rPr>
                <w:sz w:val="12"/>
                <w:szCs w:val="12"/>
              </w:rPr>
            </w:pPr>
            <w:r w:rsidRPr="00483EBE">
              <w:rPr>
                <w:sz w:val="12"/>
                <w:szCs w:val="12"/>
              </w:rPr>
              <w:t>$13,105</w:t>
            </w:r>
          </w:p>
        </w:tc>
        <w:tc>
          <w:tcPr>
            <w:tcW w:w="0" w:type="auto"/>
            <w:tcBorders>
              <w:top w:val="nil"/>
              <w:left w:val="nil"/>
              <w:bottom w:val="single" w:sz="4" w:space="0" w:color="auto"/>
              <w:right w:val="single" w:sz="4" w:space="0" w:color="auto"/>
            </w:tcBorders>
            <w:shd w:val="clear" w:color="auto" w:fill="auto"/>
            <w:vAlign w:val="center"/>
            <w:hideMark/>
          </w:tcPr>
          <w:p w14:paraId="4CB854CA" w14:textId="77777777" w:rsidR="00572995" w:rsidRPr="00483EBE" w:rsidRDefault="00572995" w:rsidP="00E8324D">
            <w:pPr>
              <w:pStyle w:val="Tablas"/>
              <w:rPr>
                <w:sz w:val="12"/>
                <w:szCs w:val="12"/>
              </w:rPr>
            </w:pPr>
            <w:r w:rsidRPr="00483EBE">
              <w:rPr>
                <w:sz w:val="12"/>
                <w:szCs w:val="12"/>
              </w:rPr>
              <w:t>$2,184</w:t>
            </w:r>
          </w:p>
        </w:tc>
        <w:tc>
          <w:tcPr>
            <w:tcW w:w="0" w:type="auto"/>
            <w:tcBorders>
              <w:top w:val="nil"/>
              <w:left w:val="nil"/>
              <w:bottom w:val="single" w:sz="4" w:space="0" w:color="auto"/>
              <w:right w:val="single" w:sz="4" w:space="0" w:color="auto"/>
            </w:tcBorders>
            <w:shd w:val="clear" w:color="auto" w:fill="auto"/>
            <w:vAlign w:val="center"/>
            <w:hideMark/>
          </w:tcPr>
          <w:p w14:paraId="5699A385" w14:textId="77777777" w:rsidR="00572995" w:rsidRPr="00483EBE" w:rsidRDefault="00572995" w:rsidP="00E8324D">
            <w:pPr>
              <w:pStyle w:val="Tablas"/>
              <w:rPr>
                <w:sz w:val="12"/>
                <w:szCs w:val="12"/>
              </w:rPr>
            </w:pPr>
            <w:r w:rsidRPr="00483EBE">
              <w:rPr>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14:paraId="5F2312D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F977130" w14:textId="77777777" w:rsidR="00572995" w:rsidRPr="00483EBE" w:rsidRDefault="00572995" w:rsidP="00E8324D">
            <w:pPr>
              <w:pStyle w:val="Tablas"/>
              <w:rPr>
                <w:sz w:val="12"/>
                <w:szCs w:val="12"/>
              </w:rPr>
            </w:pPr>
            <w:r w:rsidRPr="00483EBE">
              <w:rPr>
                <w:sz w:val="12"/>
                <w:szCs w:val="12"/>
              </w:rPr>
              <w:t>SEBD</w:t>
            </w:r>
          </w:p>
        </w:tc>
      </w:tr>
      <w:tr w:rsidR="00572995" w:rsidRPr="00483EBE" w14:paraId="227E7E0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91DCB6"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68CCF866" w14:textId="77777777" w:rsidR="00572995" w:rsidRPr="00483EBE" w:rsidRDefault="00572995" w:rsidP="00E8324D">
            <w:pPr>
              <w:pStyle w:val="Tablas"/>
              <w:rPr>
                <w:sz w:val="12"/>
                <w:szCs w:val="12"/>
              </w:rPr>
            </w:pPr>
            <w:r w:rsidRPr="00483EBE">
              <w:rPr>
                <w:sz w:val="12"/>
                <w:szCs w:val="12"/>
              </w:rPr>
              <w:t xml:space="preserve">185 </w:t>
            </w:r>
          </w:p>
        </w:tc>
        <w:tc>
          <w:tcPr>
            <w:tcW w:w="0" w:type="auto"/>
            <w:tcBorders>
              <w:top w:val="nil"/>
              <w:left w:val="nil"/>
              <w:bottom w:val="single" w:sz="4" w:space="0" w:color="auto"/>
              <w:right w:val="single" w:sz="4" w:space="0" w:color="auto"/>
            </w:tcBorders>
            <w:shd w:val="clear" w:color="auto" w:fill="auto"/>
            <w:vAlign w:val="center"/>
            <w:hideMark/>
          </w:tcPr>
          <w:p w14:paraId="1A62496F" w14:textId="77777777" w:rsidR="00572995" w:rsidRPr="00483EBE" w:rsidRDefault="00572995" w:rsidP="00E8324D">
            <w:pPr>
              <w:pStyle w:val="Tablas"/>
              <w:rPr>
                <w:sz w:val="12"/>
                <w:szCs w:val="12"/>
              </w:rPr>
            </w:pPr>
            <w:r w:rsidRPr="00483EBE">
              <w:rPr>
                <w:sz w:val="12"/>
                <w:szCs w:val="12"/>
              </w:rPr>
              <w:t>$576,875</w:t>
            </w:r>
          </w:p>
        </w:tc>
        <w:tc>
          <w:tcPr>
            <w:tcW w:w="0" w:type="auto"/>
            <w:tcBorders>
              <w:top w:val="nil"/>
              <w:left w:val="nil"/>
              <w:bottom w:val="single" w:sz="4" w:space="0" w:color="auto"/>
              <w:right w:val="single" w:sz="4" w:space="0" w:color="auto"/>
            </w:tcBorders>
            <w:shd w:val="clear" w:color="auto" w:fill="auto"/>
            <w:vAlign w:val="center"/>
            <w:hideMark/>
          </w:tcPr>
          <w:p w14:paraId="47A7DBC6" w14:textId="77777777" w:rsidR="00572995" w:rsidRPr="00483EBE" w:rsidRDefault="00572995" w:rsidP="00E8324D">
            <w:pPr>
              <w:pStyle w:val="Tablas"/>
              <w:rPr>
                <w:sz w:val="12"/>
                <w:szCs w:val="12"/>
              </w:rPr>
            </w:pPr>
            <w:r w:rsidRPr="00483EBE">
              <w:rPr>
                <w:sz w:val="12"/>
                <w:szCs w:val="12"/>
              </w:rPr>
              <w:t>$3,118</w:t>
            </w:r>
          </w:p>
        </w:tc>
        <w:tc>
          <w:tcPr>
            <w:tcW w:w="0" w:type="auto"/>
            <w:tcBorders>
              <w:top w:val="nil"/>
              <w:left w:val="nil"/>
              <w:bottom w:val="single" w:sz="4" w:space="0" w:color="auto"/>
              <w:right w:val="single" w:sz="4" w:space="0" w:color="auto"/>
            </w:tcBorders>
            <w:shd w:val="clear" w:color="auto" w:fill="auto"/>
            <w:vAlign w:val="center"/>
            <w:hideMark/>
          </w:tcPr>
          <w:p w14:paraId="0DA71A77"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5EAF116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D3BBC3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7B15ADB"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69F77692"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58CB859" w14:textId="77777777" w:rsidR="00572995" w:rsidRPr="00483EBE" w:rsidRDefault="00572995" w:rsidP="00E8324D">
            <w:pPr>
              <w:pStyle w:val="Tablas"/>
              <w:rPr>
                <w:sz w:val="12"/>
                <w:szCs w:val="12"/>
              </w:rPr>
            </w:pPr>
            <w:r w:rsidRPr="00483EBE">
              <w:rPr>
                <w:sz w:val="12"/>
                <w:szCs w:val="12"/>
              </w:rPr>
              <w:t>$26,077</w:t>
            </w:r>
          </w:p>
        </w:tc>
        <w:tc>
          <w:tcPr>
            <w:tcW w:w="0" w:type="auto"/>
            <w:tcBorders>
              <w:top w:val="nil"/>
              <w:left w:val="nil"/>
              <w:bottom w:val="single" w:sz="4" w:space="0" w:color="auto"/>
              <w:right w:val="single" w:sz="4" w:space="0" w:color="auto"/>
            </w:tcBorders>
            <w:shd w:val="clear" w:color="auto" w:fill="auto"/>
            <w:vAlign w:val="center"/>
            <w:hideMark/>
          </w:tcPr>
          <w:p w14:paraId="12890B19" w14:textId="77777777" w:rsidR="00572995" w:rsidRPr="00483EBE" w:rsidRDefault="00572995" w:rsidP="00E8324D">
            <w:pPr>
              <w:pStyle w:val="Tablas"/>
              <w:rPr>
                <w:sz w:val="12"/>
                <w:szCs w:val="12"/>
              </w:rPr>
            </w:pPr>
            <w:r w:rsidRPr="00483EBE">
              <w:rPr>
                <w:sz w:val="12"/>
                <w:szCs w:val="12"/>
              </w:rPr>
              <w:t>$6,519</w:t>
            </w:r>
          </w:p>
        </w:tc>
        <w:tc>
          <w:tcPr>
            <w:tcW w:w="0" w:type="auto"/>
            <w:tcBorders>
              <w:top w:val="nil"/>
              <w:left w:val="nil"/>
              <w:bottom w:val="single" w:sz="4" w:space="0" w:color="auto"/>
              <w:right w:val="single" w:sz="4" w:space="0" w:color="auto"/>
            </w:tcBorders>
            <w:shd w:val="clear" w:color="auto" w:fill="auto"/>
            <w:vAlign w:val="center"/>
            <w:hideMark/>
          </w:tcPr>
          <w:p w14:paraId="2E7B6C9D" w14:textId="77777777" w:rsidR="00572995" w:rsidRPr="00483EBE" w:rsidRDefault="00572995" w:rsidP="00E8324D">
            <w:pPr>
              <w:pStyle w:val="Tablas"/>
              <w:rPr>
                <w:sz w:val="12"/>
                <w:szCs w:val="12"/>
              </w:rPr>
            </w:pPr>
            <w:r w:rsidRPr="00483EBE">
              <w:rPr>
                <w:sz w:val="12"/>
                <w:szCs w:val="12"/>
              </w:rPr>
              <w:t>$543</w:t>
            </w:r>
          </w:p>
        </w:tc>
        <w:tc>
          <w:tcPr>
            <w:tcW w:w="0" w:type="auto"/>
            <w:tcBorders>
              <w:top w:val="nil"/>
              <w:left w:val="nil"/>
              <w:bottom w:val="single" w:sz="4" w:space="0" w:color="auto"/>
              <w:right w:val="single" w:sz="4" w:space="0" w:color="auto"/>
            </w:tcBorders>
            <w:shd w:val="clear" w:color="auto" w:fill="auto"/>
            <w:vAlign w:val="center"/>
            <w:hideMark/>
          </w:tcPr>
          <w:p w14:paraId="5002952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E20FC5F" w14:textId="77777777" w:rsidR="00572995" w:rsidRPr="00483EBE" w:rsidRDefault="00572995" w:rsidP="00E8324D">
            <w:pPr>
              <w:pStyle w:val="Tablas"/>
              <w:rPr>
                <w:sz w:val="12"/>
                <w:szCs w:val="12"/>
              </w:rPr>
            </w:pPr>
            <w:r w:rsidRPr="00483EBE">
              <w:rPr>
                <w:sz w:val="12"/>
                <w:szCs w:val="12"/>
              </w:rPr>
              <w:t>SEBD</w:t>
            </w:r>
          </w:p>
        </w:tc>
      </w:tr>
      <w:tr w:rsidR="00572995" w:rsidRPr="00483EBE" w14:paraId="7C032B4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9B50717"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60DDDA91" w14:textId="77777777" w:rsidR="00572995" w:rsidRPr="00483EBE" w:rsidRDefault="00572995" w:rsidP="00E8324D">
            <w:pPr>
              <w:pStyle w:val="Tablas"/>
              <w:rPr>
                <w:sz w:val="12"/>
                <w:szCs w:val="12"/>
              </w:rPr>
            </w:pPr>
            <w:r w:rsidRPr="00483EBE">
              <w:rPr>
                <w:sz w:val="12"/>
                <w:szCs w:val="12"/>
              </w:rPr>
              <w:t xml:space="preserve">172 </w:t>
            </w:r>
          </w:p>
        </w:tc>
        <w:tc>
          <w:tcPr>
            <w:tcW w:w="0" w:type="auto"/>
            <w:tcBorders>
              <w:top w:val="nil"/>
              <w:left w:val="nil"/>
              <w:bottom w:val="single" w:sz="4" w:space="0" w:color="auto"/>
              <w:right w:val="single" w:sz="4" w:space="0" w:color="auto"/>
            </w:tcBorders>
            <w:shd w:val="clear" w:color="auto" w:fill="auto"/>
            <w:vAlign w:val="center"/>
            <w:hideMark/>
          </w:tcPr>
          <w:p w14:paraId="3A16C504" w14:textId="77777777" w:rsidR="00572995" w:rsidRPr="00483EBE" w:rsidRDefault="00572995" w:rsidP="00E8324D">
            <w:pPr>
              <w:pStyle w:val="Tablas"/>
              <w:rPr>
                <w:sz w:val="12"/>
                <w:szCs w:val="12"/>
              </w:rPr>
            </w:pPr>
            <w:r w:rsidRPr="00483EBE">
              <w:rPr>
                <w:sz w:val="12"/>
                <w:szCs w:val="12"/>
              </w:rPr>
              <w:t>$561,266</w:t>
            </w:r>
          </w:p>
        </w:tc>
        <w:tc>
          <w:tcPr>
            <w:tcW w:w="0" w:type="auto"/>
            <w:tcBorders>
              <w:top w:val="nil"/>
              <w:left w:val="nil"/>
              <w:bottom w:val="single" w:sz="4" w:space="0" w:color="auto"/>
              <w:right w:val="single" w:sz="4" w:space="0" w:color="auto"/>
            </w:tcBorders>
            <w:shd w:val="clear" w:color="auto" w:fill="auto"/>
            <w:vAlign w:val="center"/>
            <w:hideMark/>
          </w:tcPr>
          <w:p w14:paraId="16910A37" w14:textId="77777777" w:rsidR="00572995" w:rsidRPr="00483EBE" w:rsidRDefault="00572995" w:rsidP="00E8324D">
            <w:pPr>
              <w:pStyle w:val="Tablas"/>
              <w:rPr>
                <w:sz w:val="12"/>
                <w:szCs w:val="12"/>
              </w:rPr>
            </w:pPr>
            <w:r w:rsidRPr="00483EBE">
              <w:rPr>
                <w:sz w:val="12"/>
                <w:szCs w:val="12"/>
              </w:rPr>
              <w:t>$3,263</w:t>
            </w:r>
          </w:p>
        </w:tc>
        <w:tc>
          <w:tcPr>
            <w:tcW w:w="0" w:type="auto"/>
            <w:tcBorders>
              <w:top w:val="nil"/>
              <w:left w:val="nil"/>
              <w:bottom w:val="single" w:sz="4" w:space="0" w:color="auto"/>
              <w:right w:val="single" w:sz="4" w:space="0" w:color="auto"/>
            </w:tcBorders>
            <w:shd w:val="clear" w:color="auto" w:fill="auto"/>
            <w:vAlign w:val="center"/>
            <w:hideMark/>
          </w:tcPr>
          <w:p w14:paraId="554198B3" w14:textId="77777777" w:rsidR="00572995" w:rsidRPr="00483EBE" w:rsidRDefault="00572995" w:rsidP="00E8324D">
            <w:pPr>
              <w:pStyle w:val="Tablas"/>
              <w:rPr>
                <w:sz w:val="12"/>
                <w:szCs w:val="12"/>
              </w:rPr>
            </w:pPr>
            <w:r w:rsidRPr="00483EBE">
              <w:rPr>
                <w:sz w:val="12"/>
                <w:szCs w:val="12"/>
              </w:rPr>
              <w:t>$272</w:t>
            </w:r>
          </w:p>
        </w:tc>
        <w:tc>
          <w:tcPr>
            <w:tcW w:w="0" w:type="auto"/>
            <w:tcBorders>
              <w:top w:val="nil"/>
              <w:left w:val="nil"/>
              <w:bottom w:val="single" w:sz="4" w:space="0" w:color="auto"/>
              <w:right w:val="single" w:sz="4" w:space="0" w:color="auto"/>
            </w:tcBorders>
            <w:shd w:val="clear" w:color="auto" w:fill="auto"/>
            <w:vAlign w:val="center"/>
            <w:hideMark/>
          </w:tcPr>
          <w:p w14:paraId="508BF81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4BAA91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7F57315"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0E4CA80D"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2DD7AFC6" w14:textId="77777777" w:rsidR="00572995" w:rsidRPr="00483EBE" w:rsidRDefault="00572995" w:rsidP="00E8324D">
            <w:pPr>
              <w:pStyle w:val="Tablas"/>
              <w:rPr>
                <w:sz w:val="12"/>
                <w:szCs w:val="12"/>
              </w:rPr>
            </w:pPr>
            <w:r w:rsidRPr="00483EBE">
              <w:rPr>
                <w:sz w:val="12"/>
                <w:szCs w:val="12"/>
              </w:rPr>
              <w:t>$26,258</w:t>
            </w:r>
          </w:p>
        </w:tc>
        <w:tc>
          <w:tcPr>
            <w:tcW w:w="0" w:type="auto"/>
            <w:tcBorders>
              <w:top w:val="nil"/>
              <w:left w:val="nil"/>
              <w:bottom w:val="single" w:sz="4" w:space="0" w:color="auto"/>
              <w:right w:val="single" w:sz="4" w:space="0" w:color="auto"/>
            </w:tcBorders>
            <w:shd w:val="clear" w:color="auto" w:fill="auto"/>
            <w:vAlign w:val="center"/>
            <w:hideMark/>
          </w:tcPr>
          <w:p w14:paraId="467F097C" w14:textId="77777777" w:rsidR="00572995" w:rsidRPr="00483EBE" w:rsidRDefault="00572995" w:rsidP="00E8324D">
            <w:pPr>
              <w:pStyle w:val="Tablas"/>
              <w:rPr>
                <w:sz w:val="12"/>
                <w:szCs w:val="12"/>
              </w:rPr>
            </w:pPr>
            <w:r w:rsidRPr="00483EBE">
              <w:rPr>
                <w:sz w:val="12"/>
                <w:szCs w:val="12"/>
              </w:rPr>
              <w:t>$2,387</w:t>
            </w:r>
          </w:p>
        </w:tc>
        <w:tc>
          <w:tcPr>
            <w:tcW w:w="0" w:type="auto"/>
            <w:tcBorders>
              <w:top w:val="nil"/>
              <w:left w:val="nil"/>
              <w:bottom w:val="single" w:sz="4" w:space="0" w:color="auto"/>
              <w:right w:val="single" w:sz="4" w:space="0" w:color="auto"/>
            </w:tcBorders>
            <w:shd w:val="clear" w:color="auto" w:fill="auto"/>
            <w:vAlign w:val="center"/>
            <w:hideMark/>
          </w:tcPr>
          <w:p w14:paraId="129BA9A0" w14:textId="77777777" w:rsidR="00572995" w:rsidRPr="00483EBE" w:rsidRDefault="00572995" w:rsidP="00E8324D">
            <w:pPr>
              <w:pStyle w:val="Tablas"/>
              <w:rPr>
                <w:sz w:val="12"/>
                <w:szCs w:val="12"/>
              </w:rPr>
            </w:pPr>
            <w:r w:rsidRPr="00483EBE">
              <w:rPr>
                <w:sz w:val="12"/>
                <w:szCs w:val="12"/>
              </w:rPr>
              <w:t>$199</w:t>
            </w:r>
          </w:p>
        </w:tc>
        <w:tc>
          <w:tcPr>
            <w:tcW w:w="0" w:type="auto"/>
            <w:tcBorders>
              <w:top w:val="nil"/>
              <w:left w:val="nil"/>
              <w:bottom w:val="single" w:sz="4" w:space="0" w:color="auto"/>
              <w:right w:val="single" w:sz="4" w:space="0" w:color="auto"/>
            </w:tcBorders>
            <w:shd w:val="clear" w:color="auto" w:fill="auto"/>
            <w:vAlign w:val="center"/>
            <w:hideMark/>
          </w:tcPr>
          <w:p w14:paraId="78C70EDA"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791B616" w14:textId="77777777" w:rsidR="00572995" w:rsidRPr="00483EBE" w:rsidRDefault="00572995" w:rsidP="00E8324D">
            <w:pPr>
              <w:pStyle w:val="Tablas"/>
              <w:rPr>
                <w:sz w:val="12"/>
                <w:szCs w:val="12"/>
              </w:rPr>
            </w:pPr>
            <w:r w:rsidRPr="00483EBE">
              <w:rPr>
                <w:sz w:val="12"/>
                <w:szCs w:val="12"/>
              </w:rPr>
              <w:t>SEBD</w:t>
            </w:r>
          </w:p>
        </w:tc>
      </w:tr>
      <w:tr w:rsidR="00572995" w:rsidRPr="00483EBE" w14:paraId="09A7ACB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09F3E79"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182C6421" w14:textId="77777777" w:rsidR="00572995" w:rsidRPr="00483EBE" w:rsidRDefault="00572995" w:rsidP="00E8324D">
            <w:pPr>
              <w:pStyle w:val="Tablas"/>
              <w:rPr>
                <w:sz w:val="12"/>
                <w:szCs w:val="12"/>
              </w:rPr>
            </w:pPr>
            <w:r w:rsidRPr="00483EBE">
              <w:rPr>
                <w:sz w:val="12"/>
                <w:szCs w:val="12"/>
              </w:rPr>
              <w:t xml:space="preserve">210 </w:t>
            </w:r>
          </w:p>
        </w:tc>
        <w:tc>
          <w:tcPr>
            <w:tcW w:w="0" w:type="auto"/>
            <w:tcBorders>
              <w:top w:val="nil"/>
              <w:left w:val="nil"/>
              <w:bottom w:val="single" w:sz="4" w:space="0" w:color="auto"/>
              <w:right w:val="single" w:sz="4" w:space="0" w:color="auto"/>
            </w:tcBorders>
            <w:shd w:val="clear" w:color="auto" w:fill="auto"/>
            <w:vAlign w:val="center"/>
            <w:hideMark/>
          </w:tcPr>
          <w:p w14:paraId="7A09F3FE" w14:textId="77777777" w:rsidR="00572995" w:rsidRPr="00483EBE" w:rsidRDefault="00572995" w:rsidP="00E8324D">
            <w:pPr>
              <w:pStyle w:val="Tablas"/>
              <w:rPr>
                <w:sz w:val="12"/>
                <w:szCs w:val="12"/>
              </w:rPr>
            </w:pPr>
            <w:r w:rsidRPr="00483EBE">
              <w:rPr>
                <w:sz w:val="12"/>
                <w:szCs w:val="12"/>
              </w:rPr>
              <w:t>$606,910</w:t>
            </w:r>
          </w:p>
        </w:tc>
        <w:tc>
          <w:tcPr>
            <w:tcW w:w="0" w:type="auto"/>
            <w:tcBorders>
              <w:top w:val="nil"/>
              <w:left w:val="nil"/>
              <w:bottom w:val="single" w:sz="4" w:space="0" w:color="auto"/>
              <w:right w:val="single" w:sz="4" w:space="0" w:color="auto"/>
            </w:tcBorders>
            <w:shd w:val="clear" w:color="auto" w:fill="auto"/>
            <w:vAlign w:val="center"/>
            <w:hideMark/>
          </w:tcPr>
          <w:p w14:paraId="6AE24557" w14:textId="77777777" w:rsidR="00572995" w:rsidRPr="00483EBE" w:rsidRDefault="00572995" w:rsidP="00E8324D">
            <w:pPr>
              <w:pStyle w:val="Tablas"/>
              <w:rPr>
                <w:sz w:val="12"/>
                <w:szCs w:val="12"/>
              </w:rPr>
            </w:pPr>
            <w:r w:rsidRPr="00483EBE">
              <w:rPr>
                <w:sz w:val="12"/>
                <w:szCs w:val="12"/>
              </w:rPr>
              <w:t>$2,890</w:t>
            </w:r>
          </w:p>
        </w:tc>
        <w:tc>
          <w:tcPr>
            <w:tcW w:w="0" w:type="auto"/>
            <w:tcBorders>
              <w:top w:val="nil"/>
              <w:left w:val="nil"/>
              <w:bottom w:val="single" w:sz="4" w:space="0" w:color="auto"/>
              <w:right w:val="single" w:sz="4" w:space="0" w:color="auto"/>
            </w:tcBorders>
            <w:shd w:val="clear" w:color="auto" w:fill="auto"/>
            <w:vAlign w:val="center"/>
            <w:hideMark/>
          </w:tcPr>
          <w:p w14:paraId="058B145E"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4399141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2A3B9A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E16F219"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1152712B"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22CC280F" w14:textId="77777777" w:rsidR="00572995" w:rsidRPr="00483EBE" w:rsidRDefault="00572995" w:rsidP="00E8324D">
            <w:pPr>
              <w:pStyle w:val="Tablas"/>
              <w:rPr>
                <w:sz w:val="12"/>
                <w:szCs w:val="12"/>
              </w:rPr>
            </w:pPr>
            <w:r w:rsidRPr="00483EBE">
              <w:rPr>
                <w:sz w:val="12"/>
                <w:szCs w:val="12"/>
              </w:rPr>
              <w:t>$27,734</w:t>
            </w:r>
          </w:p>
        </w:tc>
        <w:tc>
          <w:tcPr>
            <w:tcW w:w="0" w:type="auto"/>
            <w:tcBorders>
              <w:top w:val="nil"/>
              <w:left w:val="nil"/>
              <w:bottom w:val="single" w:sz="4" w:space="0" w:color="auto"/>
              <w:right w:val="single" w:sz="4" w:space="0" w:color="auto"/>
            </w:tcBorders>
            <w:shd w:val="clear" w:color="auto" w:fill="auto"/>
            <w:vAlign w:val="center"/>
            <w:hideMark/>
          </w:tcPr>
          <w:p w14:paraId="0D298C16" w14:textId="77777777" w:rsidR="00572995" w:rsidRPr="00483EBE" w:rsidRDefault="00572995" w:rsidP="00E8324D">
            <w:pPr>
              <w:pStyle w:val="Tablas"/>
              <w:rPr>
                <w:sz w:val="12"/>
                <w:szCs w:val="12"/>
              </w:rPr>
            </w:pPr>
            <w:r w:rsidRPr="00483EBE">
              <w:rPr>
                <w:sz w:val="12"/>
                <w:szCs w:val="12"/>
              </w:rPr>
              <w:t>$2,773</w:t>
            </w:r>
          </w:p>
        </w:tc>
        <w:tc>
          <w:tcPr>
            <w:tcW w:w="0" w:type="auto"/>
            <w:tcBorders>
              <w:top w:val="nil"/>
              <w:left w:val="nil"/>
              <w:bottom w:val="single" w:sz="4" w:space="0" w:color="auto"/>
              <w:right w:val="single" w:sz="4" w:space="0" w:color="auto"/>
            </w:tcBorders>
            <w:shd w:val="clear" w:color="auto" w:fill="auto"/>
            <w:vAlign w:val="center"/>
            <w:hideMark/>
          </w:tcPr>
          <w:p w14:paraId="0DEFEA28" w14:textId="77777777" w:rsidR="00572995" w:rsidRPr="00483EBE" w:rsidRDefault="00572995" w:rsidP="00E8324D">
            <w:pPr>
              <w:pStyle w:val="Tablas"/>
              <w:rPr>
                <w:sz w:val="12"/>
                <w:szCs w:val="12"/>
              </w:rPr>
            </w:pPr>
            <w:r w:rsidRPr="00483EBE">
              <w:rPr>
                <w:sz w:val="12"/>
                <w:szCs w:val="12"/>
              </w:rPr>
              <w:t>$231</w:t>
            </w:r>
          </w:p>
        </w:tc>
        <w:tc>
          <w:tcPr>
            <w:tcW w:w="0" w:type="auto"/>
            <w:tcBorders>
              <w:top w:val="nil"/>
              <w:left w:val="nil"/>
              <w:bottom w:val="single" w:sz="4" w:space="0" w:color="auto"/>
              <w:right w:val="single" w:sz="4" w:space="0" w:color="auto"/>
            </w:tcBorders>
            <w:shd w:val="clear" w:color="auto" w:fill="auto"/>
            <w:vAlign w:val="center"/>
            <w:hideMark/>
          </w:tcPr>
          <w:p w14:paraId="47F6C2E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0A088A9" w14:textId="77777777" w:rsidR="00572995" w:rsidRPr="00483EBE" w:rsidRDefault="00572995" w:rsidP="00E8324D">
            <w:pPr>
              <w:pStyle w:val="Tablas"/>
              <w:rPr>
                <w:sz w:val="12"/>
                <w:szCs w:val="12"/>
              </w:rPr>
            </w:pPr>
            <w:r w:rsidRPr="00483EBE">
              <w:rPr>
                <w:sz w:val="12"/>
                <w:szCs w:val="12"/>
              </w:rPr>
              <w:t>SEBD</w:t>
            </w:r>
          </w:p>
        </w:tc>
      </w:tr>
      <w:tr w:rsidR="00572995" w:rsidRPr="00483EBE" w14:paraId="2DBC704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098A7FE"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7B717CC2" w14:textId="77777777" w:rsidR="00572995" w:rsidRPr="00483EBE" w:rsidRDefault="00572995" w:rsidP="00E8324D">
            <w:pPr>
              <w:pStyle w:val="Tablas"/>
              <w:rPr>
                <w:sz w:val="12"/>
                <w:szCs w:val="12"/>
              </w:rPr>
            </w:pPr>
            <w:r w:rsidRPr="00483EBE">
              <w:rPr>
                <w:sz w:val="12"/>
                <w:szCs w:val="12"/>
              </w:rPr>
              <w:t xml:space="preserve">197 </w:t>
            </w:r>
          </w:p>
        </w:tc>
        <w:tc>
          <w:tcPr>
            <w:tcW w:w="0" w:type="auto"/>
            <w:tcBorders>
              <w:top w:val="nil"/>
              <w:left w:val="nil"/>
              <w:bottom w:val="single" w:sz="4" w:space="0" w:color="auto"/>
              <w:right w:val="single" w:sz="4" w:space="0" w:color="auto"/>
            </w:tcBorders>
            <w:shd w:val="clear" w:color="auto" w:fill="auto"/>
            <w:vAlign w:val="center"/>
            <w:hideMark/>
          </w:tcPr>
          <w:p w14:paraId="4BCC153D" w14:textId="77777777" w:rsidR="00572995" w:rsidRPr="00483EBE" w:rsidRDefault="00572995" w:rsidP="00E8324D">
            <w:pPr>
              <w:pStyle w:val="Tablas"/>
              <w:rPr>
                <w:sz w:val="12"/>
                <w:szCs w:val="12"/>
              </w:rPr>
            </w:pPr>
            <w:r w:rsidRPr="00483EBE">
              <w:rPr>
                <w:sz w:val="12"/>
                <w:szCs w:val="12"/>
              </w:rPr>
              <w:t>$595,749</w:t>
            </w:r>
          </w:p>
        </w:tc>
        <w:tc>
          <w:tcPr>
            <w:tcW w:w="0" w:type="auto"/>
            <w:tcBorders>
              <w:top w:val="nil"/>
              <w:left w:val="nil"/>
              <w:bottom w:val="single" w:sz="4" w:space="0" w:color="auto"/>
              <w:right w:val="single" w:sz="4" w:space="0" w:color="auto"/>
            </w:tcBorders>
            <w:shd w:val="clear" w:color="auto" w:fill="auto"/>
            <w:vAlign w:val="center"/>
            <w:hideMark/>
          </w:tcPr>
          <w:p w14:paraId="6F57A6CA" w14:textId="77777777" w:rsidR="00572995" w:rsidRPr="00483EBE" w:rsidRDefault="00572995" w:rsidP="00E8324D">
            <w:pPr>
              <w:pStyle w:val="Tablas"/>
              <w:rPr>
                <w:sz w:val="12"/>
                <w:szCs w:val="12"/>
              </w:rPr>
            </w:pPr>
            <w:r w:rsidRPr="00483EBE">
              <w:rPr>
                <w:sz w:val="12"/>
                <w:szCs w:val="12"/>
              </w:rPr>
              <w:t>$3,024</w:t>
            </w:r>
          </w:p>
        </w:tc>
        <w:tc>
          <w:tcPr>
            <w:tcW w:w="0" w:type="auto"/>
            <w:tcBorders>
              <w:top w:val="nil"/>
              <w:left w:val="nil"/>
              <w:bottom w:val="single" w:sz="4" w:space="0" w:color="auto"/>
              <w:right w:val="single" w:sz="4" w:space="0" w:color="auto"/>
            </w:tcBorders>
            <w:shd w:val="clear" w:color="auto" w:fill="auto"/>
            <w:vAlign w:val="center"/>
            <w:hideMark/>
          </w:tcPr>
          <w:p w14:paraId="10A6873A" w14:textId="77777777" w:rsidR="00572995" w:rsidRPr="00483EBE" w:rsidRDefault="00572995" w:rsidP="00E8324D">
            <w:pPr>
              <w:pStyle w:val="Tablas"/>
              <w:rPr>
                <w:sz w:val="12"/>
                <w:szCs w:val="12"/>
              </w:rPr>
            </w:pPr>
            <w:r w:rsidRPr="00483EBE">
              <w:rPr>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5F9E68A7"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B21AB6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BA6FDB"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4C61F6AE"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65414E0C" w14:textId="77777777" w:rsidR="00572995" w:rsidRPr="00483EBE" w:rsidRDefault="00572995" w:rsidP="00E8324D">
            <w:pPr>
              <w:pStyle w:val="Tablas"/>
              <w:rPr>
                <w:sz w:val="12"/>
                <w:szCs w:val="12"/>
              </w:rPr>
            </w:pPr>
            <w:r w:rsidRPr="00483EBE">
              <w:rPr>
                <w:sz w:val="12"/>
                <w:szCs w:val="12"/>
              </w:rPr>
              <w:t>$44,775</w:t>
            </w:r>
          </w:p>
        </w:tc>
        <w:tc>
          <w:tcPr>
            <w:tcW w:w="0" w:type="auto"/>
            <w:tcBorders>
              <w:top w:val="nil"/>
              <w:left w:val="nil"/>
              <w:bottom w:val="single" w:sz="4" w:space="0" w:color="auto"/>
              <w:right w:val="single" w:sz="4" w:space="0" w:color="auto"/>
            </w:tcBorders>
            <w:shd w:val="clear" w:color="auto" w:fill="auto"/>
            <w:vAlign w:val="center"/>
            <w:hideMark/>
          </w:tcPr>
          <w:p w14:paraId="155BFE39" w14:textId="77777777" w:rsidR="00572995" w:rsidRPr="00483EBE" w:rsidRDefault="00572995" w:rsidP="00E8324D">
            <w:pPr>
              <w:pStyle w:val="Tablas"/>
              <w:rPr>
                <w:sz w:val="12"/>
                <w:szCs w:val="12"/>
              </w:rPr>
            </w:pPr>
            <w:r w:rsidRPr="00483EBE">
              <w:rPr>
                <w:sz w:val="12"/>
                <w:szCs w:val="12"/>
              </w:rPr>
              <w:t>$3,198</w:t>
            </w:r>
          </w:p>
        </w:tc>
        <w:tc>
          <w:tcPr>
            <w:tcW w:w="0" w:type="auto"/>
            <w:tcBorders>
              <w:top w:val="nil"/>
              <w:left w:val="nil"/>
              <w:bottom w:val="single" w:sz="4" w:space="0" w:color="auto"/>
              <w:right w:val="single" w:sz="4" w:space="0" w:color="auto"/>
            </w:tcBorders>
            <w:shd w:val="clear" w:color="auto" w:fill="auto"/>
            <w:vAlign w:val="center"/>
            <w:hideMark/>
          </w:tcPr>
          <w:p w14:paraId="05349EB6" w14:textId="77777777" w:rsidR="00572995" w:rsidRPr="00483EBE" w:rsidRDefault="00572995" w:rsidP="00E8324D">
            <w:pPr>
              <w:pStyle w:val="Tablas"/>
              <w:rPr>
                <w:sz w:val="12"/>
                <w:szCs w:val="12"/>
              </w:rPr>
            </w:pPr>
            <w:r w:rsidRPr="00483EBE">
              <w:rPr>
                <w:sz w:val="12"/>
                <w:szCs w:val="12"/>
              </w:rPr>
              <w:t>$267</w:t>
            </w:r>
          </w:p>
        </w:tc>
        <w:tc>
          <w:tcPr>
            <w:tcW w:w="0" w:type="auto"/>
            <w:tcBorders>
              <w:top w:val="nil"/>
              <w:left w:val="nil"/>
              <w:bottom w:val="single" w:sz="4" w:space="0" w:color="auto"/>
              <w:right w:val="single" w:sz="4" w:space="0" w:color="auto"/>
            </w:tcBorders>
            <w:shd w:val="clear" w:color="auto" w:fill="auto"/>
            <w:vAlign w:val="center"/>
            <w:hideMark/>
          </w:tcPr>
          <w:p w14:paraId="4EB962F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9167612" w14:textId="77777777" w:rsidR="00572995" w:rsidRPr="00483EBE" w:rsidRDefault="00572995" w:rsidP="00E8324D">
            <w:pPr>
              <w:pStyle w:val="Tablas"/>
              <w:rPr>
                <w:sz w:val="12"/>
                <w:szCs w:val="12"/>
              </w:rPr>
            </w:pPr>
            <w:r w:rsidRPr="00483EBE">
              <w:rPr>
                <w:sz w:val="12"/>
                <w:szCs w:val="12"/>
              </w:rPr>
              <w:t>SEBD</w:t>
            </w:r>
          </w:p>
        </w:tc>
      </w:tr>
      <w:tr w:rsidR="00572995" w:rsidRPr="00483EBE" w14:paraId="12666BF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2CF2B2"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24675D66" w14:textId="77777777" w:rsidR="00572995" w:rsidRPr="00483EBE" w:rsidRDefault="00572995" w:rsidP="00E8324D">
            <w:pPr>
              <w:pStyle w:val="Tablas"/>
              <w:rPr>
                <w:sz w:val="12"/>
                <w:szCs w:val="12"/>
              </w:rPr>
            </w:pPr>
            <w:r w:rsidRPr="00483EBE">
              <w:rPr>
                <w:sz w:val="12"/>
                <w:szCs w:val="12"/>
              </w:rPr>
              <w:t xml:space="preserve">227 </w:t>
            </w:r>
          </w:p>
        </w:tc>
        <w:tc>
          <w:tcPr>
            <w:tcW w:w="0" w:type="auto"/>
            <w:tcBorders>
              <w:top w:val="nil"/>
              <w:left w:val="nil"/>
              <w:bottom w:val="single" w:sz="4" w:space="0" w:color="auto"/>
              <w:right w:val="single" w:sz="4" w:space="0" w:color="auto"/>
            </w:tcBorders>
            <w:shd w:val="clear" w:color="auto" w:fill="auto"/>
            <w:vAlign w:val="center"/>
            <w:hideMark/>
          </w:tcPr>
          <w:p w14:paraId="2C76D784" w14:textId="77777777" w:rsidR="00572995" w:rsidRPr="00483EBE" w:rsidRDefault="00572995" w:rsidP="00E8324D">
            <w:pPr>
              <w:pStyle w:val="Tablas"/>
              <w:rPr>
                <w:sz w:val="12"/>
                <w:szCs w:val="12"/>
              </w:rPr>
            </w:pPr>
            <w:r w:rsidRPr="00483EBE">
              <w:rPr>
                <w:sz w:val="12"/>
                <w:szCs w:val="12"/>
              </w:rPr>
              <w:t>$742,828</w:t>
            </w:r>
          </w:p>
        </w:tc>
        <w:tc>
          <w:tcPr>
            <w:tcW w:w="0" w:type="auto"/>
            <w:tcBorders>
              <w:top w:val="nil"/>
              <w:left w:val="nil"/>
              <w:bottom w:val="single" w:sz="4" w:space="0" w:color="auto"/>
              <w:right w:val="single" w:sz="4" w:space="0" w:color="auto"/>
            </w:tcBorders>
            <w:shd w:val="clear" w:color="auto" w:fill="auto"/>
            <w:vAlign w:val="center"/>
            <w:hideMark/>
          </w:tcPr>
          <w:p w14:paraId="6636A50A" w14:textId="77777777" w:rsidR="00572995" w:rsidRPr="00483EBE" w:rsidRDefault="00572995" w:rsidP="00E8324D">
            <w:pPr>
              <w:pStyle w:val="Tablas"/>
              <w:rPr>
                <w:sz w:val="12"/>
                <w:szCs w:val="12"/>
              </w:rPr>
            </w:pPr>
            <w:r w:rsidRPr="00483EBE">
              <w:rPr>
                <w:sz w:val="12"/>
                <w:szCs w:val="12"/>
              </w:rPr>
              <w:t>$3,272</w:t>
            </w:r>
          </w:p>
        </w:tc>
        <w:tc>
          <w:tcPr>
            <w:tcW w:w="0" w:type="auto"/>
            <w:tcBorders>
              <w:top w:val="nil"/>
              <w:left w:val="nil"/>
              <w:bottom w:val="single" w:sz="4" w:space="0" w:color="auto"/>
              <w:right w:val="single" w:sz="4" w:space="0" w:color="auto"/>
            </w:tcBorders>
            <w:shd w:val="clear" w:color="auto" w:fill="auto"/>
            <w:vAlign w:val="center"/>
            <w:hideMark/>
          </w:tcPr>
          <w:p w14:paraId="5966526A"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457487E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28F334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AAF6D74"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6706F798"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1155771C" w14:textId="77777777" w:rsidR="00572995" w:rsidRPr="00483EBE" w:rsidRDefault="00572995" w:rsidP="00E8324D">
            <w:pPr>
              <w:pStyle w:val="Tablas"/>
              <w:rPr>
                <w:sz w:val="12"/>
                <w:szCs w:val="12"/>
              </w:rPr>
            </w:pPr>
            <w:r w:rsidRPr="00483EBE">
              <w:rPr>
                <w:sz w:val="12"/>
                <w:szCs w:val="12"/>
              </w:rPr>
              <w:t>$21,965</w:t>
            </w:r>
          </w:p>
        </w:tc>
        <w:tc>
          <w:tcPr>
            <w:tcW w:w="0" w:type="auto"/>
            <w:tcBorders>
              <w:top w:val="nil"/>
              <w:left w:val="nil"/>
              <w:bottom w:val="single" w:sz="4" w:space="0" w:color="auto"/>
              <w:right w:val="single" w:sz="4" w:space="0" w:color="auto"/>
            </w:tcBorders>
            <w:shd w:val="clear" w:color="auto" w:fill="auto"/>
            <w:vAlign w:val="center"/>
            <w:hideMark/>
          </w:tcPr>
          <w:p w14:paraId="16C72E70" w14:textId="77777777" w:rsidR="00572995" w:rsidRPr="00483EBE" w:rsidRDefault="00572995" w:rsidP="00E8324D">
            <w:pPr>
              <w:pStyle w:val="Tablas"/>
              <w:rPr>
                <w:sz w:val="12"/>
                <w:szCs w:val="12"/>
              </w:rPr>
            </w:pPr>
            <w:r w:rsidRPr="00483EBE">
              <w:rPr>
                <w:sz w:val="12"/>
                <w:szCs w:val="12"/>
              </w:rPr>
              <w:t>$1,997</w:t>
            </w:r>
          </w:p>
        </w:tc>
        <w:tc>
          <w:tcPr>
            <w:tcW w:w="0" w:type="auto"/>
            <w:tcBorders>
              <w:top w:val="nil"/>
              <w:left w:val="nil"/>
              <w:bottom w:val="single" w:sz="4" w:space="0" w:color="auto"/>
              <w:right w:val="single" w:sz="4" w:space="0" w:color="auto"/>
            </w:tcBorders>
            <w:shd w:val="clear" w:color="auto" w:fill="auto"/>
            <w:vAlign w:val="center"/>
            <w:hideMark/>
          </w:tcPr>
          <w:p w14:paraId="724D3A2E" w14:textId="77777777" w:rsidR="00572995" w:rsidRPr="00483EBE" w:rsidRDefault="00572995" w:rsidP="00E8324D">
            <w:pPr>
              <w:pStyle w:val="Tablas"/>
              <w:rPr>
                <w:sz w:val="12"/>
                <w:szCs w:val="12"/>
              </w:rPr>
            </w:pPr>
            <w:r w:rsidRPr="00483EBE">
              <w:rPr>
                <w:sz w:val="12"/>
                <w:szCs w:val="12"/>
              </w:rPr>
              <w:t>$166</w:t>
            </w:r>
          </w:p>
        </w:tc>
        <w:tc>
          <w:tcPr>
            <w:tcW w:w="0" w:type="auto"/>
            <w:tcBorders>
              <w:top w:val="nil"/>
              <w:left w:val="nil"/>
              <w:bottom w:val="single" w:sz="4" w:space="0" w:color="auto"/>
              <w:right w:val="single" w:sz="4" w:space="0" w:color="auto"/>
            </w:tcBorders>
            <w:shd w:val="clear" w:color="auto" w:fill="auto"/>
            <w:vAlign w:val="center"/>
            <w:hideMark/>
          </w:tcPr>
          <w:p w14:paraId="17BDD91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93E3439" w14:textId="77777777" w:rsidR="00572995" w:rsidRPr="00483EBE" w:rsidRDefault="00572995" w:rsidP="00E8324D">
            <w:pPr>
              <w:pStyle w:val="Tablas"/>
              <w:rPr>
                <w:sz w:val="12"/>
                <w:szCs w:val="12"/>
              </w:rPr>
            </w:pPr>
            <w:r w:rsidRPr="00483EBE">
              <w:rPr>
                <w:sz w:val="12"/>
                <w:szCs w:val="12"/>
              </w:rPr>
              <w:t>SEBD</w:t>
            </w:r>
          </w:p>
        </w:tc>
      </w:tr>
      <w:tr w:rsidR="00572995" w:rsidRPr="00483EBE" w14:paraId="20DD93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49975B"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68408514" w14:textId="77777777" w:rsidR="00572995" w:rsidRPr="00483EBE" w:rsidRDefault="00572995" w:rsidP="00E8324D">
            <w:pPr>
              <w:pStyle w:val="Tablas"/>
              <w:rPr>
                <w:sz w:val="12"/>
                <w:szCs w:val="12"/>
              </w:rPr>
            </w:pPr>
            <w:r w:rsidRPr="00483EBE">
              <w:rPr>
                <w:sz w:val="12"/>
                <w:szCs w:val="12"/>
              </w:rPr>
              <w:t xml:space="preserve">230 </w:t>
            </w:r>
          </w:p>
        </w:tc>
        <w:tc>
          <w:tcPr>
            <w:tcW w:w="0" w:type="auto"/>
            <w:tcBorders>
              <w:top w:val="nil"/>
              <w:left w:val="nil"/>
              <w:bottom w:val="single" w:sz="4" w:space="0" w:color="auto"/>
              <w:right w:val="single" w:sz="4" w:space="0" w:color="auto"/>
            </w:tcBorders>
            <w:shd w:val="clear" w:color="auto" w:fill="auto"/>
            <w:vAlign w:val="center"/>
            <w:hideMark/>
          </w:tcPr>
          <w:p w14:paraId="0E3E3665" w14:textId="77777777" w:rsidR="00572995" w:rsidRPr="00483EBE" w:rsidRDefault="00572995" w:rsidP="00E8324D">
            <w:pPr>
              <w:pStyle w:val="Tablas"/>
              <w:rPr>
                <w:sz w:val="12"/>
                <w:szCs w:val="12"/>
              </w:rPr>
            </w:pPr>
            <w:r w:rsidRPr="00483EBE">
              <w:rPr>
                <w:sz w:val="12"/>
                <w:szCs w:val="12"/>
              </w:rPr>
              <w:t>$745,018</w:t>
            </w:r>
          </w:p>
        </w:tc>
        <w:tc>
          <w:tcPr>
            <w:tcW w:w="0" w:type="auto"/>
            <w:tcBorders>
              <w:top w:val="nil"/>
              <w:left w:val="nil"/>
              <w:bottom w:val="single" w:sz="4" w:space="0" w:color="auto"/>
              <w:right w:val="single" w:sz="4" w:space="0" w:color="auto"/>
            </w:tcBorders>
            <w:shd w:val="clear" w:color="auto" w:fill="auto"/>
            <w:vAlign w:val="center"/>
            <w:hideMark/>
          </w:tcPr>
          <w:p w14:paraId="03B98A46" w14:textId="77777777" w:rsidR="00572995" w:rsidRPr="00483EBE" w:rsidRDefault="00572995" w:rsidP="00E8324D">
            <w:pPr>
              <w:pStyle w:val="Tablas"/>
              <w:rPr>
                <w:sz w:val="12"/>
                <w:szCs w:val="12"/>
              </w:rPr>
            </w:pPr>
            <w:r w:rsidRPr="00483EBE">
              <w:rPr>
                <w:sz w:val="12"/>
                <w:szCs w:val="12"/>
              </w:rPr>
              <w:t>$3,239</w:t>
            </w:r>
          </w:p>
        </w:tc>
        <w:tc>
          <w:tcPr>
            <w:tcW w:w="0" w:type="auto"/>
            <w:tcBorders>
              <w:top w:val="nil"/>
              <w:left w:val="nil"/>
              <w:bottom w:val="single" w:sz="4" w:space="0" w:color="auto"/>
              <w:right w:val="single" w:sz="4" w:space="0" w:color="auto"/>
            </w:tcBorders>
            <w:shd w:val="clear" w:color="auto" w:fill="auto"/>
            <w:vAlign w:val="center"/>
            <w:hideMark/>
          </w:tcPr>
          <w:p w14:paraId="7FFA6123"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436D876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BEF844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EB1A0A9"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4F6D2E36"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2A92BE03" w14:textId="77777777" w:rsidR="00572995" w:rsidRPr="00483EBE" w:rsidRDefault="00572995" w:rsidP="00E8324D">
            <w:pPr>
              <w:pStyle w:val="Tablas"/>
              <w:rPr>
                <w:sz w:val="12"/>
                <w:szCs w:val="12"/>
              </w:rPr>
            </w:pPr>
            <w:r w:rsidRPr="00483EBE">
              <w:rPr>
                <w:sz w:val="12"/>
                <w:szCs w:val="12"/>
              </w:rPr>
              <w:t>$60,993</w:t>
            </w:r>
          </w:p>
        </w:tc>
        <w:tc>
          <w:tcPr>
            <w:tcW w:w="0" w:type="auto"/>
            <w:tcBorders>
              <w:top w:val="nil"/>
              <w:left w:val="nil"/>
              <w:bottom w:val="single" w:sz="4" w:space="0" w:color="auto"/>
              <w:right w:val="single" w:sz="4" w:space="0" w:color="auto"/>
            </w:tcBorders>
            <w:shd w:val="clear" w:color="auto" w:fill="auto"/>
            <w:vAlign w:val="center"/>
            <w:hideMark/>
          </w:tcPr>
          <w:p w14:paraId="5A903E3F" w14:textId="77777777" w:rsidR="00572995" w:rsidRPr="00483EBE" w:rsidRDefault="00572995" w:rsidP="00E8324D">
            <w:pPr>
              <w:pStyle w:val="Tablas"/>
              <w:rPr>
                <w:sz w:val="12"/>
                <w:szCs w:val="12"/>
              </w:rPr>
            </w:pPr>
            <w:r w:rsidRPr="00483EBE">
              <w:rPr>
                <w:sz w:val="12"/>
                <w:szCs w:val="12"/>
              </w:rPr>
              <w:t>$2,904</w:t>
            </w:r>
          </w:p>
        </w:tc>
        <w:tc>
          <w:tcPr>
            <w:tcW w:w="0" w:type="auto"/>
            <w:tcBorders>
              <w:top w:val="nil"/>
              <w:left w:val="nil"/>
              <w:bottom w:val="single" w:sz="4" w:space="0" w:color="auto"/>
              <w:right w:val="single" w:sz="4" w:space="0" w:color="auto"/>
            </w:tcBorders>
            <w:shd w:val="clear" w:color="auto" w:fill="auto"/>
            <w:vAlign w:val="center"/>
            <w:hideMark/>
          </w:tcPr>
          <w:p w14:paraId="6AB0E9D3" w14:textId="77777777" w:rsidR="00572995" w:rsidRPr="00483EBE" w:rsidRDefault="00572995" w:rsidP="00E8324D">
            <w:pPr>
              <w:pStyle w:val="Tablas"/>
              <w:rPr>
                <w:sz w:val="12"/>
                <w:szCs w:val="12"/>
              </w:rPr>
            </w:pPr>
            <w:r w:rsidRPr="00483EBE">
              <w:rPr>
                <w:sz w:val="12"/>
                <w:szCs w:val="12"/>
              </w:rPr>
              <w:t>$242</w:t>
            </w:r>
          </w:p>
        </w:tc>
        <w:tc>
          <w:tcPr>
            <w:tcW w:w="0" w:type="auto"/>
            <w:tcBorders>
              <w:top w:val="nil"/>
              <w:left w:val="nil"/>
              <w:bottom w:val="single" w:sz="4" w:space="0" w:color="auto"/>
              <w:right w:val="single" w:sz="4" w:space="0" w:color="auto"/>
            </w:tcBorders>
            <w:shd w:val="clear" w:color="auto" w:fill="auto"/>
            <w:vAlign w:val="center"/>
            <w:hideMark/>
          </w:tcPr>
          <w:p w14:paraId="200735E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FAC5249" w14:textId="77777777" w:rsidR="00572995" w:rsidRPr="00483EBE" w:rsidRDefault="00572995" w:rsidP="00E8324D">
            <w:pPr>
              <w:pStyle w:val="Tablas"/>
              <w:rPr>
                <w:sz w:val="12"/>
                <w:szCs w:val="12"/>
              </w:rPr>
            </w:pPr>
            <w:r w:rsidRPr="00483EBE">
              <w:rPr>
                <w:sz w:val="12"/>
                <w:szCs w:val="12"/>
              </w:rPr>
              <w:t>SEBD</w:t>
            </w:r>
          </w:p>
        </w:tc>
      </w:tr>
      <w:tr w:rsidR="00572995" w:rsidRPr="00483EBE" w14:paraId="786FEEE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636129"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529356DB" w14:textId="77777777" w:rsidR="00572995" w:rsidRPr="00483EBE" w:rsidRDefault="00572995" w:rsidP="00E8324D">
            <w:pPr>
              <w:pStyle w:val="Tablas"/>
              <w:rPr>
                <w:sz w:val="12"/>
                <w:szCs w:val="12"/>
              </w:rPr>
            </w:pPr>
            <w:r w:rsidRPr="00483EBE">
              <w:rPr>
                <w:sz w:val="12"/>
                <w:szCs w:val="12"/>
              </w:rPr>
              <w:t xml:space="preserve">225 </w:t>
            </w:r>
          </w:p>
        </w:tc>
        <w:tc>
          <w:tcPr>
            <w:tcW w:w="0" w:type="auto"/>
            <w:tcBorders>
              <w:top w:val="nil"/>
              <w:left w:val="nil"/>
              <w:bottom w:val="single" w:sz="4" w:space="0" w:color="auto"/>
              <w:right w:val="single" w:sz="4" w:space="0" w:color="auto"/>
            </w:tcBorders>
            <w:shd w:val="clear" w:color="auto" w:fill="auto"/>
            <w:vAlign w:val="center"/>
            <w:hideMark/>
          </w:tcPr>
          <w:p w14:paraId="7977FE39" w14:textId="77777777" w:rsidR="00572995" w:rsidRPr="00483EBE" w:rsidRDefault="00572995" w:rsidP="00E8324D">
            <w:pPr>
              <w:pStyle w:val="Tablas"/>
              <w:rPr>
                <w:sz w:val="12"/>
                <w:szCs w:val="12"/>
              </w:rPr>
            </w:pPr>
            <w:r w:rsidRPr="00483EBE">
              <w:rPr>
                <w:sz w:val="12"/>
                <w:szCs w:val="12"/>
              </w:rPr>
              <w:t>$724,749</w:t>
            </w:r>
          </w:p>
        </w:tc>
        <w:tc>
          <w:tcPr>
            <w:tcW w:w="0" w:type="auto"/>
            <w:tcBorders>
              <w:top w:val="nil"/>
              <w:left w:val="nil"/>
              <w:bottom w:val="single" w:sz="4" w:space="0" w:color="auto"/>
              <w:right w:val="single" w:sz="4" w:space="0" w:color="auto"/>
            </w:tcBorders>
            <w:shd w:val="clear" w:color="auto" w:fill="auto"/>
            <w:vAlign w:val="center"/>
            <w:hideMark/>
          </w:tcPr>
          <w:p w14:paraId="0B60DBC7" w14:textId="77777777" w:rsidR="00572995" w:rsidRPr="00483EBE" w:rsidRDefault="00572995" w:rsidP="00E8324D">
            <w:pPr>
              <w:pStyle w:val="Tablas"/>
              <w:rPr>
                <w:sz w:val="12"/>
                <w:szCs w:val="12"/>
              </w:rPr>
            </w:pPr>
            <w:r w:rsidRPr="00483EBE">
              <w:rPr>
                <w:sz w:val="12"/>
                <w:szCs w:val="12"/>
              </w:rPr>
              <w:t>$3,221</w:t>
            </w:r>
          </w:p>
        </w:tc>
        <w:tc>
          <w:tcPr>
            <w:tcW w:w="0" w:type="auto"/>
            <w:tcBorders>
              <w:top w:val="nil"/>
              <w:left w:val="nil"/>
              <w:bottom w:val="single" w:sz="4" w:space="0" w:color="auto"/>
              <w:right w:val="single" w:sz="4" w:space="0" w:color="auto"/>
            </w:tcBorders>
            <w:shd w:val="clear" w:color="auto" w:fill="auto"/>
            <w:vAlign w:val="center"/>
            <w:hideMark/>
          </w:tcPr>
          <w:p w14:paraId="1DDC1991"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1FCD92F7"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C8BC58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926986E"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28B25E26"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5DD29565" w14:textId="77777777" w:rsidR="00572995" w:rsidRPr="00483EBE" w:rsidRDefault="00572995" w:rsidP="00E8324D">
            <w:pPr>
              <w:pStyle w:val="Tablas"/>
              <w:rPr>
                <w:sz w:val="12"/>
                <w:szCs w:val="12"/>
              </w:rPr>
            </w:pPr>
            <w:r w:rsidRPr="00483EBE">
              <w:rPr>
                <w:sz w:val="12"/>
                <w:szCs w:val="12"/>
              </w:rPr>
              <w:t>$26,077</w:t>
            </w:r>
          </w:p>
        </w:tc>
        <w:tc>
          <w:tcPr>
            <w:tcW w:w="0" w:type="auto"/>
            <w:tcBorders>
              <w:top w:val="nil"/>
              <w:left w:val="nil"/>
              <w:bottom w:val="single" w:sz="4" w:space="0" w:color="auto"/>
              <w:right w:val="single" w:sz="4" w:space="0" w:color="auto"/>
            </w:tcBorders>
            <w:shd w:val="clear" w:color="auto" w:fill="auto"/>
            <w:vAlign w:val="center"/>
            <w:hideMark/>
          </w:tcPr>
          <w:p w14:paraId="72BA295E" w14:textId="77777777" w:rsidR="00572995" w:rsidRPr="00483EBE" w:rsidRDefault="00572995" w:rsidP="00E8324D">
            <w:pPr>
              <w:pStyle w:val="Tablas"/>
              <w:rPr>
                <w:sz w:val="12"/>
                <w:szCs w:val="12"/>
              </w:rPr>
            </w:pPr>
            <w:r w:rsidRPr="00483EBE">
              <w:rPr>
                <w:sz w:val="12"/>
                <w:szCs w:val="12"/>
              </w:rPr>
              <w:t>$2,173</w:t>
            </w:r>
          </w:p>
        </w:tc>
        <w:tc>
          <w:tcPr>
            <w:tcW w:w="0" w:type="auto"/>
            <w:tcBorders>
              <w:top w:val="nil"/>
              <w:left w:val="nil"/>
              <w:bottom w:val="single" w:sz="4" w:space="0" w:color="auto"/>
              <w:right w:val="single" w:sz="4" w:space="0" w:color="auto"/>
            </w:tcBorders>
            <w:shd w:val="clear" w:color="auto" w:fill="auto"/>
            <w:vAlign w:val="center"/>
            <w:hideMark/>
          </w:tcPr>
          <w:p w14:paraId="6AD1E7A4" w14:textId="77777777" w:rsidR="00572995" w:rsidRPr="00483EBE" w:rsidRDefault="00572995" w:rsidP="00E8324D">
            <w:pPr>
              <w:pStyle w:val="Tablas"/>
              <w:rPr>
                <w:sz w:val="12"/>
                <w:szCs w:val="12"/>
              </w:rPr>
            </w:pPr>
            <w:r w:rsidRPr="00483EBE">
              <w:rPr>
                <w:sz w:val="12"/>
                <w:szCs w:val="12"/>
              </w:rPr>
              <w:t>$181</w:t>
            </w:r>
          </w:p>
        </w:tc>
        <w:tc>
          <w:tcPr>
            <w:tcW w:w="0" w:type="auto"/>
            <w:tcBorders>
              <w:top w:val="nil"/>
              <w:left w:val="nil"/>
              <w:bottom w:val="single" w:sz="4" w:space="0" w:color="auto"/>
              <w:right w:val="single" w:sz="4" w:space="0" w:color="auto"/>
            </w:tcBorders>
            <w:shd w:val="clear" w:color="auto" w:fill="auto"/>
            <w:vAlign w:val="center"/>
            <w:hideMark/>
          </w:tcPr>
          <w:p w14:paraId="11B07F6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B138F5E" w14:textId="77777777" w:rsidR="00572995" w:rsidRPr="00483EBE" w:rsidRDefault="00572995" w:rsidP="00E8324D">
            <w:pPr>
              <w:pStyle w:val="Tablas"/>
              <w:rPr>
                <w:sz w:val="12"/>
                <w:szCs w:val="12"/>
              </w:rPr>
            </w:pPr>
            <w:r w:rsidRPr="00483EBE">
              <w:rPr>
                <w:sz w:val="12"/>
                <w:szCs w:val="12"/>
              </w:rPr>
              <w:t>SEBD</w:t>
            </w:r>
          </w:p>
        </w:tc>
      </w:tr>
      <w:tr w:rsidR="00572995" w:rsidRPr="00483EBE" w14:paraId="2E61E33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92CE104"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49C15335" w14:textId="77777777" w:rsidR="00572995" w:rsidRPr="00483EBE" w:rsidRDefault="00572995" w:rsidP="00E8324D">
            <w:pPr>
              <w:pStyle w:val="Tablas"/>
              <w:rPr>
                <w:sz w:val="12"/>
                <w:szCs w:val="12"/>
              </w:rPr>
            </w:pPr>
            <w:r w:rsidRPr="00483EBE">
              <w:rPr>
                <w:sz w:val="12"/>
                <w:szCs w:val="12"/>
              </w:rPr>
              <w:t xml:space="preserve">287 </w:t>
            </w:r>
          </w:p>
        </w:tc>
        <w:tc>
          <w:tcPr>
            <w:tcW w:w="0" w:type="auto"/>
            <w:tcBorders>
              <w:top w:val="nil"/>
              <w:left w:val="nil"/>
              <w:bottom w:val="single" w:sz="4" w:space="0" w:color="auto"/>
              <w:right w:val="single" w:sz="4" w:space="0" w:color="auto"/>
            </w:tcBorders>
            <w:shd w:val="clear" w:color="auto" w:fill="auto"/>
            <w:vAlign w:val="center"/>
            <w:hideMark/>
          </w:tcPr>
          <w:p w14:paraId="18A202BB" w14:textId="77777777" w:rsidR="00572995" w:rsidRPr="00483EBE" w:rsidRDefault="00572995" w:rsidP="00E8324D">
            <w:pPr>
              <w:pStyle w:val="Tablas"/>
              <w:rPr>
                <w:sz w:val="12"/>
                <w:szCs w:val="12"/>
              </w:rPr>
            </w:pPr>
            <w:r w:rsidRPr="00483EBE">
              <w:rPr>
                <w:sz w:val="12"/>
                <w:szCs w:val="12"/>
              </w:rPr>
              <w:t>$1,068,073</w:t>
            </w:r>
          </w:p>
        </w:tc>
        <w:tc>
          <w:tcPr>
            <w:tcW w:w="0" w:type="auto"/>
            <w:tcBorders>
              <w:top w:val="nil"/>
              <w:left w:val="nil"/>
              <w:bottom w:val="single" w:sz="4" w:space="0" w:color="auto"/>
              <w:right w:val="single" w:sz="4" w:space="0" w:color="auto"/>
            </w:tcBorders>
            <w:shd w:val="clear" w:color="auto" w:fill="auto"/>
            <w:vAlign w:val="center"/>
            <w:hideMark/>
          </w:tcPr>
          <w:p w14:paraId="1A4F77AF" w14:textId="77777777" w:rsidR="00572995" w:rsidRPr="00483EBE" w:rsidRDefault="00572995" w:rsidP="00E8324D">
            <w:pPr>
              <w:pStyle w:val="Tablas"/>
              <w:rPr>
                <w:sz w:val="12"/>
                <w:szCs w:val="12"/>
              </w:rPr>
            </w:pPr>
            <w:r w:rsidRPr="00483EBE">
              <w:rPr>
                <w:sz w:val="12"/>
                <w:szCs w:val="12"/>
              </w:rPr>
              <w:t>$3,722</w:t>
            </w:r>
          </w:p>
        </w:tc>
        <w:tc>
          <w:tcPr>
            <w:tcW w:w="0" w:type="auto"/>
            <w:tcBorders>
              <w:top w:val="nil"/>
              <w:left w:val="nil"/>
              <w:bottom w:val="single" w:sz="4" w:space="0" w:color="auto"/>
              <w:right w:val="single" w:sz="4" w:space="0" w:color="auto"/>
            </w:tcBorders>
            <w:shd w:val="clear" w:color="auto" w:fill="auto"/>
            <w:vAlign w:val="center"/>
            <w:hideMark/>
          </w:tcPr>
          <w:p w14:paraId="75AF2D71" w14:textId="77777777" w:rsidR="00572995" w:rsidRPr="00483EBE" w:rsidRDefault="00572995" w:rsidP="00E8324D">
            <w:pPr>
              <w:pStyle w:val="Tablas"/>
              <w:rPr>
                <w:sz w:val="12"/>
                <w:szCs w:val="12"/>
              </w:rPr>
            </w:pPr>
            <w:r w:rsidRPr="00483EBE">
              <w:rPr>
                <w:sz w:val="12"/>
                <w:szCs w:val="12"/>
              </w:rPr>
              <w:t>$310</w:t>
            </w:r>
          </w:p>
        </w:tc>
        <w:tc>
          <w:tcPr>
            <w:tcW w:w="0" w:type="auto"/>
            <w:tcBorders>
              <w:top w:val="nil"/>
              <w:left w:val="nil"/>
              <w:bottom w:val="single" w:sz="4" w:space="0" w:color="auto"/>
              <w:right w:val="single" w:sz="4" w:space="0" w:color="auto"/>
            </w:tcBorders>
            <w:shd w:val="clear" w:color="auto" w:fill="auto"/>
            <w:vAlign w:val="center"/>
            <w:hideMark/>
          </w:tcPr>
          <w:p w14:paraId="5C6F431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36D605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167A33"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275AA2A9"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5B1F06B5" w14:textId="77777777" w:rsidR="00572995" w:rsidRPr="00483EBE" w:rsidRDefault="00572995" w:rsidP="00E8324D">
            <w:pPr>
              <w:pStyle w:val="Tablas"/>
              <w:rPr>
                <w:sz w:val="12"/>
                <w:szCs w:val="12"/>
              </w:rPr>
            </w:pPr>
            <w:r w:rsidRPr="00483EBE">
              <w:rPr>
                <w:sz w:val="12"/>
                <w:szCs w:val="12"/>
              </w:rPr>
              <w:t>$50,089</w:t>
            </w:r>
          </w:p>
        </w:tc>
        <w:tc>
          <w:tcPr>
            <w:tcW w:w="0" w:type="auto"/>
            <w:tcBorders>
              <w:top w:val="nil"/>
              <w:left w:val="nil"/>
              <w:bottom w:val="single" w:sz="4" w:space="0" w:color="auto"/>
              <w:right w:val="single" w:sz="4" w:space="0" w:color="auto"/>
            </w:tcBorders>
            <w:shd w:val="clear" w:color="auto" w:fill="auto"/>
            <w:vAlign w:val="center"/>
            <w:hideMark/>
          </w:tcPr>
          <w:p w14:paraId="50513B60" w14:textId="77777777" w:rsidR="00572995" w:rsidRPr="00483EBE" w:rsidRDefault="00572995" w:rsidP="00E8324D">
            <w:pPr>
              <w:pStyle w:val="Tablas"/>
              <w:rPr>
                <w:sz w:val="12"/>
                <w:szCs w:val="12"/>
              </w:rPr>
            </w:pPr>
            <w:r w:rsidRPr="00483EBE">
              <w:rPr>
                <w:sz w:val="12"/>
                <w:szCs w:val="12"/>
              </w:rPr>
              <w:t>$2,385</w:t>
            </w:r>
          </w:p>
        </w:tc>
        <w:tc>
          <w:tcPr>
            <w:tcW w:w="0" w:type="auto"/>
            <w:tcBorders>
              <w:top w:val="nil"/>
              <w:left w:val="nil"/>
              <w:bottom w:val="single" w:sz="4" w:space="0" w:color="auto"/>
              <w:right w:val="single" w:sz="4" w:space="0" w:color="auto"/>
            </w:tcBorders>
            <w:shd w:val="clear" w:color="auto" w:fill="auto"/>
            <w:vAlign w:val="center"/>
            <w:hideMark/>
          </w:tcPr>
          <w:p w14:paraId="575FA1BF" w14:textId="77777777" w:rsidR="00572995" w:rsidRPr="00483EBE" w:rsidRDefault="00572995" w:rsidP="00E8324D">
            <w:pPr>
              <w:pStyle w:val="Tablas"/>
              <w:rPr>
                <w:sz w:val="12"/>
                <w:szCs w:val="12"/>
              </w:rPr>
            </w:pPr>
            <w:r w:rsidRPr="00483EBE">
              <w:rPr>
                <w:sz w:val="12"/>
                <w:szCs w:val="12"/>
              </w:rPr>
              <w:t>$199</w:t>
            </w:r>
          </w:p>
        </w:tc>
        <w:tc>
          <w:tcPr>
            <w:tcW w:w="0" w:type="auto"/>
            <w:tcBorders>
              <w:top w:val="nil"/>
              <w:left w:val="nil"/>
              <w:bottom w:val="single" w:sz="4" w:space="0" w:color="auto"/>
              <w:right w:val="single" w:sz="4" w:space="0" w:color="auto"/>
            </w:tcBorders>
            <w:shd w:val="clear" w:color="auto" w:fill="auto"/>
            <w:vAlign w:val="center"/>
            <w:hideMark/>
          </w:tcPr>
          <w:p w14:paraId="0ACD0E5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7AC7719" w14:textId="77777777" w:rsidR="00572995" w:rsidRPr="00483EBE" w:rsidRDefault="00572995" w:rsidP="00E8324D">
            <w:pPr>
              <w:pStyle w:val="Tablas"/>
              <w:rPr>
                <w:sz w:val="12"/>
                <w:szCs w:val="12"/>
              </w:rPr>
            </w:pPr>
            <w:r w:rsidRPr="00483EBE">
              <w:rPr>
                <w:sz w:val="12"/>
                <w:szCs w:val="12"/>
              </w:rPr>
              <w:t>SEBD</w:t>
            </w:r>
          </w:p>
        </w:tc>
      </w:tr>
      <w:tr w:rsidR="00572995" w:rsidRPr="00483EBE" w14:paraId="66E7441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C563C18"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134C6EBD" w14:textId="77777777" w:rsidR="00572995" w:rsidRPr="00483EBE" w:rsidRDefault="00572995" w:rsidP="00E8324D">
            <w:pPr>
              <w:pStyle w:val="Tablas"/>
              <w:rPr>
                <w:sz w:val="12"/>
                <w:szCs w:val="12"/>
              </w:rPr>
            </w:pPr>
            <w:r w:rsidRPr="00483EBE">
              <w:rPr>
                <w:sz w:val="12"/>
                <w:szCs w:val="12"/>
              </w:rPr>
              <w:t xml:space="preserve">283 </w:t>
            </w:r>
          </w:p>
        </w:tc>
        <w:tc>
          <w:tcPr>
            <w:tcW w:w="0" w:type="auto"/>
            <w:tcBorders>
              <w:top w:val="nil"/>
              <w:left w:val="nil"/>
              <w:bottom w:val="single" w:sz="4" w:space="0" w:color="auto"/>
              <w:right w:val="single" w:sz="4" w:space="0" w:color="auto"/>
            </w:tcBorders>
            <w:shd w:val="clear" w:color="auto" w:fill="auto"/>
            <w:vAlign w:val="center"/>
            <w:hideMark/>
          </w:tcPr>
          <w:p w14:paraId="7641129D" w14:textId="77777777" w:rsidR="00572995" w:rsidRPr="00483EBE" w:rsidRDefault="00572995" w:rsidP="00E8324D">
            <w:pPr>
              <w:pStyle w:val="Tablas"/>
              <w:rPr>
                <w:sz w:val="12"/>
                <w:szCs w:val="12"/>
              </w:rPr>
            </w:pPr>
            <w:r w:rsidRPr="00483EBE">
              <w:rPr>
                <w:sz w:val="12"/>
                <w:szCs w:val="12"/>
              </w:rPr>
              <w:t>$892,219</w:t>
            </w:r>
          </w:p>
        </w:tc>
        <w:tc>
          <w:tcPr>
            <w:tcW w:w="0" w:type="auto"/>
            <w:tcBorders>
              <w:top w:val="nil"/>
              <w:left w:val="nil"/>
              <w:bottom w:val="single" w:sz="4" w:space="0" w:color="auto"/>
              <w:right w:val="single" w:sz="4" w:space="0" w:color="auto"/>
            </w:tcBorders>
            <w:shd w:val="clear" w:color="auto" w:fill="auto"/>
            <w:vAlign w:val="center"/>
            <w:hideMark/>
          </w:tcPr>
          <w:p w14:paraId="3973F597" w14:textId="77777777" w:rsidR="00572995" w:rsidRPr="00483EBE" w:rsidRDefault="00572995" w:rsidP="00E8324D">
            <w:pPr>
              <w:pStyle w:val="Tablas"/>
              <w:rPr>
                <w:sz w:val="12"/>
                <w:szCs w:val="12"/>
              </w:rPr>
            </w:pPr>
            <w:r w:rsidRPr="00483EBE">
              <w:rPr>
                <w:sz w:val="12"/>
                <w:szCs w:val="12"/>
              </w:rPr>
              <w:t>$3,153</w:t>
            </w:r>
          </w:p>
        </w:tc>
        <w:tc>
          <w:tcPr>
            <w:tcW w:w="0" w:type="auto"/>
            <w:tcBorders>
              <w:top w:val="nil"/>
              <w:left w:val="nil"/>
              <w:bottom w:val="single" w:sz="4" w:space="0" w:color="auto"/>
              <w:right w:val="single" w:sz="4" w:space="0" w:color="auto"/>
            </w:tcBorders>
            <w:shd w:val="clear" w:color="auto" w:fill="auto"/>
            <w:vAlign w:val="center"/>
            <w:hideMark/>
          </w:tcPr>
          <w:p w14:paraId="30A172B4"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3CBA3CD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FBD72C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E81DBF"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30C9F4BD"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4EBED405" w14:textId="77777777" w:rsidR="00572995" w:rsidRPr="00483EBE" w:rsidRDefault="00572995" w:rsidP="00E8324D">
            <w:pPr>
              <w:pStyle w:val="Tablas"/>
              <w:rPr>
                <w:sz w:val="12"/>
                <w:szCs w:val="12"/>
              </w:rPr>
            </w:pPr>
            <w:r w:rsidRPr="00483EBE">
              <w:rPr>
                <w:sz w:val="12"/>
                <w:szCs w:val="12"/>
              </w:rPr>
              <w:t>$50,559</w:t>
            </w:r>
          </w:p>
        </w:tc>
        <w:tc>
          <w:tcPr>
            <w:tcW w:w="0" w:type="auto"/>
            <w:tcBorders>
              <w:top w:val="nil"/>
              <w:left w:val="nil"/>
              <w:bottom w:val="single" w:sz="4" w:space="0" w:color="auto"/>
              <w:right w:val="single" w:sz="4" w:space="0" w:color="auto"/>
            </w:tcBorders>
            <w:shd w:val="clear" w:color="auto" w:fill="auto"/>
            <w:vAlign w:val="center"/>
            <w:hideMark/>
          </w:tcPr>
          <w:p w14:paraId="09D8AA19" w14:textId="77777777" w:rsidR="00572995" w:rsidRPr="00483EBE" w:rsidRDefault="00572995" w:rsidP="00E8324D">
            <w:pPr>
              <w:pStyle w:val="Tablas"/>
              <w:rPr>
                <w:sz w:val="12"/>
                <w:szCs w:val="12"/>
              </w:rPr>
            </w:pPr>
            <w:r w:rsidRPr="00483EBE">
              <w:rPr>
                <w:sz w:val="12"/>
                <w:szCs w:val="12"/>
              </w:rPr>
              <w:t>$2,298</w:t>
            </w:r>
          </w:p>
        </w:tc>
        <w:tc>
          <w:tcPr>
            <w:tcW w:w="0" w:type="auto"/>
            <w:tcBorders>
              <w:top w:val="nil"/>
              <w:left w:val="nil"/>
              <w:bottom w:val="single" w:sz="4" w:space="0" w:color="auto"/>
              <w:right w:val="single" w:sz="4" w:space="0" w:color="auto"/>
            </w:tcBorders>
            <w:shd w:val="clear" w:color="auto" w:fill="auto"/>
            <w:vAlign w:val="center"/>
            <w:hideMark/>
          </w:tcPr>
          <w:p w14:paraId="5802323C" w14:textId="77777777" w:rsidR="00572995" w:rsidRPr="00483EBE" w:rsidRDefault="00572995" w:rsidP="00E8324D">
            <w:pPr>
              <w:pStyle w:val="Tablas"/>
              <w:rPr>
                <w:sz w:val="12"/>
                <w:szCs w:val="12"/>
              </w:rPr>
            </w:pPr>
            <w:r w:rsidRPr="00483EBE">
              <w:rPr>
                <w:sz w:val="12"/>
                <w:szCs w:val="12"/>
              </w:rPr>
              <w:t>$192</w:t>
            </w:r>
          </w:p>
        </w:tc>
        <w:tc>
          <w:tcPr>
            <w:tcW w:w="0" w:type="auto"/>
            <w:tcBorders>
              <w:top w:val="nil"/>
              <w:left w:val="nil"/>
              <w:bottom w:val="single" w:sz="4" w:space="0" w:color="auto"/>
              <w:right w:val="single" w:sz="4" w:space="0" w:color="auto"/>
            </w:tcBorders>
            <w:shd w:val="clear" w:color="auto" w:fill="auto"/>
            <w:vAlign w:val="center"/>
            <w:hideMark/>
          </w:tcPr>
          <w:p w14:paraId="674E07A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787918B" w14:textId="77777777" w:rsidR="00572995" w:rsidRPr="00483EBE" w:rsidRDefault="00572995" w:rsidP="00E8324D">
            <w:pPr>
              <w:pStyle w:val="Tablas"/>
              <w:rPr>
                <w:sz w:val="12"/>
                <w:szCs w:val="12"/>
              </w:rPr>
            </w:pPr>
            <w:r w:rsidRPr="00483EBE">
              <w:rPr>
                <w:sz w:val="12"/>
                <w:szCs w:val="12"/>
              </w:rPr>
              <w:t>SEBD</w:t>
            </w:r>
          </w:p>
        </w:tc>
      </w:tr>
      <w:tr w:rsidR="00572995" w:rsidRPr="00483EBE" w14:paraId="10E8951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2CAC01"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39CF874B" w14:textId="77777777" w:rsidR="00572995" w:rsidRPr="00483EBE" w:rsidRDefault="00572995" w:rsidP="00E8324D">
            <w:pPr>
              <w:pStyle w:val="Tablas"/>
              <w:rPr>
                <w:sz w:val="12"/>
                <w:szCs w:val="12"/>
              </w:rPr>
            </w:pPr>
            <w:r w:rsidRPr="00483EBE">
              <w:rPr>
                <w:sz w:val="12"/>
                <w:szCs w:val="12"/>
              </w:rPr>
              <w:t xml:space="preserve">303 </w:t>
            </w:r>
          </w:p>
        </w:tc>
        <w:tc>
          <w:tcPr>
            <w:tcW w:w="0" w:type="auto"/>
            <w:tcBorders>
              <w:top w:val="nil"/>
              <w:left w:val="nil"/>
              <w:bottom w:val="single" w:sz="4" w:space="0" w:color="auto"/>
              <w:right w:val="single" w:sz="4" w:space="0" w:color="auto"/>
            </w:tcBorders>
            <w:shd w:val="clear" w:color="auto" w:fill="auto"/>
            <w:vAlign w:val="center"/>
            <w:hideMark/>
          </w:tcPr>
          <w:p w14:paraId="6986156C" w14:textId="77777777" w:rsidR="00572995" w:rsidRPr="00483EBE" w:rsidRDefault="00572995" w:rsidP="00E8324D">
            <w:pPr>
              <w:pStyle w:val="Tablas"/>
              <w:rPr>
                <w:sz w:val="12"/>
                <w:szCs w:val="12"/>
              </w:rPr>
            </w:pPr>
            <w:r w:rsidRPr="00483EBE">
              <w:rPr>
                <w:sz w:val="12"/>
                <w:szCs w:val="12"/>
              </w:rPr>
              <w:t>$1,052,815</w:t>
            </w:r>
          </w:p>
        </w:tc>
        <w:tc>
          <w:tcPr>
            <w:tcW w:w="0" w:type="auto"/>
            <w:tcBorders>
              <w:top w:val="nil"/>
              <w:left w:val="nil"/>
              <w:bottom w:val="single" w:sz="4" w:space="0" w:color="auto"/>
              <w:right w:val="single" w:sz="4" w:space="0" w:color="auto"/>
            </w:tcBorders>
            <w:shd w:val="clear" w:color="auto" w:fill="auto"/>
            <w:vAlign w:val="center"/>
            <w:hideMark/>
          </w:tcPr>
          <w:p w14:paraId="57F0AD85" w14:textId="77777777" w:rsidR="00572995" w:rsidRPr="00483EBE" w:rsidRDefault="00572995" w:rsidP="00E8324D">
            <w:pPr>
              <w:pStyle w:val="Tablas"/>
              <w:rPr>
                <w:sz w:val="12"/>
                <w:szCs w:val="12"/>
              </w:rPr>
            </w:pPr>
            <w:r w:rsidRPr="00483EBE">
              <w:rPr>
                <w:sz w:val="12"/>
                <w:szCs w:val="12"/>
              </w:rPr>
              <w:t>$3,475</w:t>
            </w:r>
          </w:p>
        </w:tc>
        <w:tc>
          <w:tcPr>
            <w:tcW w:w="0" w:type="auto"/>
            <w:tcBorders>
              <w:top w:val="nil"/>
              <w:left w:val="nil"/>
              <w:bottom w:val="single" w:sz="4" w:space="0" w:color="auto"/>
              <w:right w:val="single" w:sz="4" w:space="0" w:color="auto"/>
            </w:tcBorders>
            <w:shd w:val="clear" w:color="auto" w:fill="auto"/>
            <w:vAlign w:val="center"/>
            <w:hideMark/>
          </w:tcPr>
          <w:p w14:paraId="473DA6A0" w14:textId="77777777" w:rsidR="00572995" w:rsidRPr="00483EBE" w:rsidRDefault="00572995" w:rsidP="00E8324D">
            <w:pPr>
              <w:pStyle w:val="Tablas"/>
              <w:rPr>
                <w:sz w:val="12"/>
                <w:szCs w:val="12"/>
              </w:rPr>
            </w:pPr>
            <w:r w:rsidRPr="00483EBE">
              <w:rPr>
                <w:sz w:val="12"/>
                <w:szCs w:val="12"/>
              </w:rPr>
              <w:t>$290</w:t>
            </w:r>
          </w:p>
        </w:tc>
        <w:tc>
          <w:tcPr>
            <w:tcW w:w="0" w:type="auto"/>
            <w:tcBorders>
              <w:top w:val="nil"/>
              <w:left w:val="nil"/>
              <w:bottom w:val="single" w:sz="4" w:space="0" w:color="auto"/>
              <w:right w:val="single" w:sz="4" w:space="0" w:color="auto"/>
            </w:tcBorders>
            <w:shd w:val="clear" w:color="auto" w:fill="auto"/>
            <w:vAlign w:val="center"/>
            <w:hideMark/>
          </w:tcPr>
          <w:p w14:paraId="232E23C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C1ECF4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038030"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7259624A"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6A1C9B34" w14:textId="77777777" w:rsidR="00572995" w:rsidRPr="00483EBE" w:rsidRDefault="00572995" w:rsidP="00E8324D">
            <w:pPr>
              <w:pStyle w:val="Tablas"/>
              <w:rPr>
                <w:sz w:val="12"/>
                <w:szCs w:val="12"/>
              </w:rPr>
            </w:pPr>
            <w:r w:rsidRPr="00483EBE">
              <w:rPr>
                <w:sz w:val="12"/>
                <w:szCs w:val="12"/>
              </w:rPr>
              <w:t>$71,056</w:t>
            </w:r>
          </w:p>
        </w:tc>
        <w:tc>
          <w:tcPr>
            <w:tcW w:w="0" w:type="auto"/>
            <w:tcBorders>
              <w:top w:val="nil"/>
              <w:left w:val="nil"/>
              <w:bottom w:val="single" w:sz="4" w:space="0" w:color="auto"/>
              <w:right w:val="single" w:sz="4" w:space="0" w:color="auto"/>
            </w:tcBorders>
            <w:shd w:val="clear" w:color="auto" w:fill="auto"/>
            <w:vAlign w:val="center"/>
            <w:hideMark/>
          </w:tcPr>
          <w:p w14:paraId="667B1080" w14:textId="77777777" w:rsidR="00572995" w:rsidRPr="00483EBE" w:rsidRDefault="00572995" w:rsidP="00E8324D">
            <w:pPr>
              <w:pStyle w:val="Tablas"/>
              <w:rPr>
                <w:sz w:val="12"/>
                <w:szCs w:val="12"/>
              </w:rPr>
            </w:pPr>
            <w:r w:rsidRPr="00483EBE">
              <w:rPr>
                <w:sz w:val="12"/>
                <w:szCs w:val="12"/>
              </w:rPr>
              <w:t>$2,961</w:t>
            </w:r>
          </w:p>
        </w:tc>
        <w:tc>
          <w:tcPr>
            <w:tcW w:w="0" w:type="auto"/>
            <w:tcBorders>
              <w:top w:val="nil"/>
              <w:left w:val="nil"/>
              <w:bottom w:val="single" w:sz="4" w:space="0" w:color="auto"/>
              <w:right w:val="single" w:sz="4" w:space="0" w:color="auto"/>
            </w:tcBorders>
            <w:shd w:val="clear" w:color="auto" w:fill="auto"/>
            <w:vAlign w:val="center"/>
            <w:hideMark/>
          </w:tcPr>
          <w:p w14:paraId="1A34ECF2"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7B72CFB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E97641C" w14:textId="77777777" w:rsidR="00572995" w:rsidRPr="00483EBE" w:rsidRDefault="00572995" w:rsidP="00E8324D">
            <w:pPr>
              <w:pStyle w:val="Tablas"/>
              <w:rPr>
                <w:sz w:val="12"/>
                <w:szCs w:val="12"/>
              </w:rPr>
            </w:pPr>
            <w:r w:rsidRPr="00483EBE">
              <w:rPr>
                <w:sz w:val="12"/>
                <w:szCs w:val="12"/>
              </w:rPr>
              <w:t>SEBD</w:t>
            </w:r>
          </w:p>
        </w:tc>
      </w:tr>
      <w:tr w:rsidR="00572995" w:rsidRPr="00483EBE" w14:paraId="37E5D8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AB4946"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5726E0B0" w14:textId="77777777" w:rsidR="00572995" w:rsidRPr="00483EBE" w:rsidRDefault="00572995" w:rsidP="00E8324D">
            <w:pPr>
              <w:pStyle w:val="Tablas"/>
              <w:rPr>
                <w:sz w:val="12"/>
                <w:szCs w:val="12"/>
              </w:rPr>
            </w:pPr>
            <w:r w:rsidRPr="00483EBE">
              <w:rPr>
                <w:sz w:val="12"/>
                <w:szCs w:val="12"/>
              </w:rPr>
              <w:t xml:space="preserve">338 </w:t>
            </w:r>
          </w:p>
        </w:tc>
        <w:tc>
          <w:tcPr>
            <w:tcW w:w="0" w:type="auto"/>
            <w:tcBorders>
              <w:top w:val="nil"/>
              <w:left w:val="nil"/>
              <w:bottom w:val="single" w:sz="4" w:space="0" w:color="auto"/>
              <w:right w:val="single" w:sz="4" w:space="0" w:color="auto"/>
            </w:tcBorders>
            <w:shd w:val="clear" w:color="auto" w:fill="auto"/>
            <w:vAlign w:val="center"/>
            <w:hideMark/>
          </w:tcPr>
          <w:p w14:paraId="0986AD1D" w14:textId="77777777" w:rsidR="00572995" w:rsidRPr="00483EBE" w:rsidRDefault="00572995" w:rsidP="00E8324D">
            <w:pPr>
              <w:pStyle w:val="Tablas"/>
              <w:rPr>
                <w:sz w:val="12"/>
                <w:szCs w:val="12"/>
              </w:rPr>
            </w:pPr>
            <w:r w:rsidRPr="00483EBE">
              <w:rPr>
                <w:sz w:val="12"/>
                <w:szCs w:val="12"/>
              </w:rPr>
              <w:t>$1,003,055</w:t>
            </w:r>
          </w:p>
        </w:tc>
        <w:tc>
          <w:tcPr>
            <w:tcW w:w="0" w:type="auto"/>
            <w:tcBorders>
              <w:top w:val="nil"/>
              <w:left w:val="nil"/>
              <w:bottom w:val="single" w:sz="4" w:space="0" w:color="auto"/>
              <w:right w:val="single" w:sz="4" w:space="0" w:color="auto"/>
            </w:tcBorders>
            <w:shd w:val="clear" w:color="auto" w:fill="auto"/>
            <w:vAlign w:val="center"/>
            <w:hideMark/>
          </w:tcPr>
          <w:p w14:paraId="0EABD79A" w14:textId="77777777" w:rsidR="00572995" w:rsidRPr="00483EBE" w:rsidRDefault="00572995" w:rsidP="00E8324D">
            <w:pPr>
              <w:pStyle w:val="Tablas"/>
              <w:rPr>
                <w:sz w:val="12"/>
                <w:szCs w:val="12"/>
              </w:rPr>
            </w:pPr>
            <w:r w:rsidRPr="00483EBE">
              <w:rPr>
                <w:sz w:val="12"/>
                <w:szCs w:val="12"/>
              </w:rPr>
              <w:t>$2,968</w:t>
            </w:r>
          </w:p>
        </w:tc>
        <w:tc>
          <w:tcPr>
            <w:tcW w:w="0" w:type="auto"/>
            <w:tcBorders>
              <w:top w:val="nil"/>
              <w:left w:val="nil"/>
              <w:bottom w:val="single" w:sz="4" w:space="0" w:color="auto"/>
              <w:right w:val="single" w:sz="4" w:space="0" w:color="auto"/>
            </w:tcBorders>
            <w:shd w:val="clear" w:color="auto" w:fill="auto"/>
            <w:vAlign w:val="center"/>
            <w:hideMark/>
          </w:tcPr>
          <w:p w14:paraId="717AECE9"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13DF88C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18FF88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B3DA3D7"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56C3384F"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1A5425CD" w14:textId="77777777" w:rsidR="00572995" w:rsidRPr="00483EBE" w:rsidRDefault="00572995" w:rsidP="00E8324D">
            <w:pPr>
              <w:pStyle w:val="Tablas"/>
              <w:rPr>
                <w:sz w:val="12"/>
                <w:szCs w:val="12"/>
              </w:rPr>
            </w:pPr>
            <w:r w:rsidRPr="00483EBE">
              <w:rPr>
                <w:sz w:val="12"/>
                <w:szCs w:val="12"/>
              </w:rPr>
              <w:t>$46,088</w:t>
            </w:r>
          </w:p>
        </w:tc>
        <w:tc>
          <w:tcPr>
            <w:tcW w:w="0" w:type="auto"/>
            <w:tcBorders>
              <w:top w:val="nil"/>
              <w:left w:val="nil"/>
              <w:bottom w:val="single" w:sz="4" w:space="0" w:color="auto"/>
              <w:right w:val="single" w:sz="4" w:space="0" w:color="auto"/>
            </w:tcBorders>
            <w:shd w:val="clear" w:color="auto" w:fill="auto"/>
            <w:vAlign w:val="center"/>
            <w:hideMark/>
          </w:tcPr>
          <w:p w14:paraId="293AE544" w14:textId="77777777" w:rsidR="00572995" w:rsidRPr="00483EBE" w:rsidRDefault="00572995" w:rsidP="00E8324D">
            <w:pPr>
              <w:pStyle w:val="Tablas"/>
              <w:rPr>
                <w:sz w:val="12"/>
                <w:szCs w:val="12"/>
              </w:rPr>
            </w:pPr>
            <w:r w:rsidRPr="00483EBE">
              <w:rPr>
                <w:sz w:val="12"/>
                <w:szCs w:val="12"/>
              </w:rPr>
              <w:t>$2,304</w:t>
            </w:r>
          </w:p>
        </w:tc>
        <w:tc>
          <w:tcPr>
            <w:tcW w:w="0" w:type="auto"/>
            <w:tcBorders>
              <w:top w:val="nil"/>
              <w:left w:val="nil"/>
              <w:bottom w:val="single" w:sz="4" w:space="0" w:color="auto"/>
              <w:right w:val="single" w:sz="4" w:space="0" w:color="auto"/>
            </w:tcBorders>
            <w:shd w:val="clear" w:color="auto" w:fill="auto"/>
            <w:vAlign w:val="center"/>
            <w:hideMark/>
          </w:tcPr>
          <w:p w14:paraId="537A3998" w14:textId="77777777" w:rsidR="00572995" w:rsidRPr="00483EBE" w:rsidRDefault="00572995" w:rsidP="00E8324D">
            <w:pPr>
              <w:pStyle w:val="Tablas"/>
              <w:rPr>
                <w:sz w:val="12"/>
                <w:szCs w:val="12"/>
              </w:rPr>
            </w:pPr>
            <w:r w:rsidRPr="00483EBE">
              <w:rPr>
                <w:sz w:val="12"/>
                <w:szCs w:val="12"/>
              </w:rPr>
              <w:t>$192</w:t>
            </w:r>
          </w:p>
        </w:tc>
        <w:tc>
          <w:tcPr>
            <w:tcW w:w="0" w:type="auto"/>
            <w:tcBorders>
              <w:top w:val="nil"/>
              <w:left w:val="nil"/>
              <w:bottom w:val="single" w:sz="4" w:space="0" w:color="auto"/>
              <w:right w:val="single" w:sz="4" w:space="0" w:color="auto"/>
            </w:tcBorders>
            <w:shd w:val="clear" w:color="auto" w:fill="auto"/>
            <w:vAlign w:val="center"/>
            <w:hideMark/>
          </w:tcPr>
          <w:p w14:paraId="1300588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F512ADB" w14:textId="77777777" w:rsidR="00572995" w:rsidRPr="00483EBE" w:rsidRDefault="00572995" w:rsidP="00E8324D">
            <w:pPr>
              <w:pStyle w:val="Tablas"/>
              <w:rPr>
                <w:sz w:val="12"/>
                <w:szCs w:val="12"/>
              </w:rPr>
            </w:pPr>
            <w:r w:rsidRPr="00483EBE">
              <w:rPr>
                <w:sz w:val="12"/>
                <w:szCs w:val="12"/>
              </w:rPr>
              <w:t>SEBD</w:t>
            </w:r>
          </w:p>
        </w:tc>
      </w:tr>
      <w:tr w:rsidR="00572995" w:rsidRPr="00483EBE" w14:paraId="5254F50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9DF897"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52565D1F" w14:textId="77777777" w:rsidR="00572995" w:rsidRPr="00483EBE" w:rsidRDefault="00572995" w:rsidP="00E8324D">
            <w:pPr>
              <w:pStyle w:val="Tablas"/>
              <w:rPr>
                <w:sz w:val="12"/>
                <w:szCs w:val="12"/>
              </w:rPr>
            </w:pPr>
            <w:r w:rsidRPr="00483EBE">
              <w:rPr>
                <w:sz w:val="12"/>
                <w:szCs w:val="12"/>
              </w:rPr>
              <w:t xml:space="preserve">409 </w:t>
            </w:r>
          </w:p>
        </w:tc>
        <w:tc>
          <w:tcPr>
            <w:tcW w:w="0" w:type="auto"/>
            <w:tcBorders>
              <w:top w:val="nil"/>
              <w:left w:val="nil"/>
              <w:bottom w:val="single" w:sz="4" w:space="0" w:color="auto"/>
              <w:right w:val="single" w:sz="4" w:space="0" w:color="auto"/>
            </w:tcBorders>
            <w:shd w:val="clear" w:color="auto" w:fill="auto"/>
            <w:vAlign w:val="center"/>
            <w:hideMark/>
          </w:tcPr>
          <w:p w14:paraId="563F44CE" w14:textId="77777777" w:rsidR="00572995" w:rsidRPr="00483EBE" w:rsidRDefault="00572995" w:rsidP="00E8324D">
            <w:pPr>
              <w:pStyle w:val="Tablas"/>
              <w:rPr>
                <w:sz w:val="12"/>
                <w:szCs w:val="12"/>
              </w:rPr>
            </w:pPr>
            <w:r w:rsidRPr="00483EBE">
              <w:rPr>
                <w:sz w:val="12"/>
                <w:szCs w:val="12"/>
              </w:rPr>
              <w:t>$1,286,365</w:t>
            </w:r>
          </w:p>
        </w:tc>
        <w:tc>
          <w:tcPr>
            <w:tcW w:w="0" w:type="auto"/>
            <w:tcBorders>
              <w:top w:val="nil"/>
              <w:left w:val="nil"/>
              <w:bottom w:val="single" w:sz="4" w:space="0" w:color="auto"/>
              <w:right w:val="single" w:sz="4" w:space="0" w:color="auto"/>
            </w:tcBorders>
            <w:shd w:val="clear" w:color="auto" w:fill="auto"/>
            <w:vAlign w:val="center"/>
            <w:hideMark/>
          </w:tcPr>
          <w:p w14:paraId="543F64CE" w14:textId="77777777" w:rsidR="00572995" w:rsidRPr="00483EBE" w:rsidRDefault="00572995" w:rsidP="00E8324D">
            <w:pPr>
              <w:pStyle w:val="Tablas"/>
              <w:rPr>
                <w:sz w:val="12"/>
                <w:szCs w:val="12"/>
              </w:rPr>
            </w:pPr>
            <w:r w:rsidRPr="00483EBE">
              <w:rPr>
                <w:sz w:val="12"/>
                <w:szCs w:val="12"/>
              </w:rPr>
              <w:t>$3,145</w:t>
            </w:r>
          </w:p>
        </w:tc>
        <w:tc>
          <w:tcPr>
            <w:tcW w:w="0" w:type="auto"/>
            <w:tcBorders>
              <w:top w:val="nil"/>
              <w:left w:val="nil"/>
              <w:bottom w:val="single" w:sz="4" w:space="0" w:color="auto"/>
              <w:right w:val="single" w:sz="4" w:space="0" w:color="auto"/>
            </w:tcBorders>
            <w:shd w:val="clear" w:color="auto" w:fill="auto"/>
            <w:vAlign w:val="center"/>
            <w:hideMark/>
          </w:tcPr>
          <w:p w14:paraId="1F0B281A" w14:textId="77777777" w:rsidR="00572995" w:rsidRPr="00483EBE" w:rsidRDefault="00572995" w:rsidP="00E8324D">
            <w:pPr>
              <w:pStyle w:val="Tablas"/>
              <w:rPr>
                <w:sz w:val="12"/>
                <w:szCs w:val="12"/>
              </w:rPr>
            </w:pPr>
            <w:r w:rsidRPr="00483EBE">
              <w:rPr>
                <w:sz w:val="12"/>
                <w:szCs w:val="12"/>
              </w:rPr>
              <w:t>$262</w:t>
            </w:r>
          </w:p>
        </w:tc>
        <w:tc>
          <w:tcPr>
            <w:tcW w:w="0" w:type="auto"/>
            <w:tcBorders>
              <w:top w:val="nil"/>
              <w:left w:val="nil"/>
              <w:bottom w:val="single" w:sz="4" w:space="0" w:color="auto"/>
              <w:right w:val="single" w:sz="4" w:space="0" w:color="auto"/>
            </w:tcBorders>
            <w:shd w:val="clear" w:color="auto" w:fill="auto"/>
            <w:vAlign w:val="center"/>
            <w:hideMark/>
          </w:tcPr>
          <w:p w14:paraId="0A0E2B3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C9B9DB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8FD4D31"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08872BFE"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44AF64EC" w14:textId="77777777" w:rsidR="00572995" w:rsidRPr="00483EBE" w:rsidRDefault="00572995" w:rsidP="00E8324D">
            <w:pPr>
              <w:pStyle w:val="Tablas"/>
              <w:rPr>
                <w:sz w:val="12"/>
                <w:szCs w:val="12"/>
              </w:rPr>
            </w:pPr>
            <w:r w:rsidRPr="00483EBE">
              <w:rPr>
                <w:sz w:val="12"/>
                <w:szCs w:val="12"/>
              </w:rPr>
              <w:t>$59,278</w:t>
            </w:r>
          </w:p>
        </w:tc>
        <w:tc>
          <w:tcPr>
            <w:tcW w:w="0" w:type="auto"/>
            <w:tcBorders>
              <w:top w:val="nil"/>
              <w:left w:val="nil"/>
              <w:bottom w:val="single" w:sz="4" w:space="0" w:color="auto"/>
              <w:right w:val="single" w:sz="4" w:space="0" w:color="auto"/>
            </w:tcBorders>
            <w:shd w:val="clear" w:color="auto" w:fill="auto"/>
            <w:vAlign w:val="center"/>
            <w:hideMark/>
          </w:tcPr>
          <w:p w14:paraId="17BF8DAD" w14:textId="77777777" w:rsidR="00572995" w:rsidRPr="00483EBE" w:rsidRDefault="00572995" w:rsidP="00E8324D">
            <w:pPr>
              <w:pStyle w:val="Tablas"/>
              <w:rPr>
                <w:sz w:val="12"/>
                <w:szCs w:val="12"/>
              </w:rPr>
            </w:pPr>
            <w:r w:rsidRPr="00483EBE">
              <w:rPr>
                <w:sz w:val="12"/>
                <w:szCs w:val="12"/>
              </w:rPr>
              <w:t>$3,487</w:t>
            </w:r>
          </w:p>
        </w:tc>
        <w:tc>
          <w:tcPr>
            <w:tcW w:w="0" w:type="auto"/>
            <w:tcBorders>
              <w:top w:val="nil"/>
              <w:left w:val="nil"/>
              <w:bottom w:val="single" w:sz="4" w:space="0" w:color="auto"/>
              <w:right w:val="single" w:sz="4" w:space="0" w:color="auto"/>
            </w:tcBorders>
            <w:shd w:val="clear" w:color="auto" w:fill="auto"/>
            <w:vAlign w:val="center"/>
            <w:hideMark/>
          </w:tcPr>
          <w:p w14:paraId="2AAAD474" w14:textId="77777777" w:rsidR="00572995" w:rsidRPr="00483EBE" w:rsidRDefault="00572995" w:rsidP="00E8324D">
            <w:pPr>
              <w:pStyle w:val="Tablas"/>
              <w:rPr>
                <w:sz w:val="12"/>
                <w:szCs w:val="12"/>
              </w:rPr>
            </w:pPr>
            <w:r w:rsidRPr="00483EBE">
              <w:rPr>
                <w:sz w:val="12"/>
                <w:szCs w:val="12"/>
              </w:rPr>
              <w:t>$291</w:t>
            </w:r>
          </w:p>
        </w:tc>
        <w:tc>
          <w:tcPr>
            <w:tcW w:w="0" w:type="auto"/>
            <w:tcBorders>
              <w:top w:val="nil"/>
              <w:left w:val="nil"/>
              <w:bottom w:val="single" w:sz="4" w:space="0" w:color="auto"/>
              <w:right w:val="single" w:sz="4" w:space="0" w:color="auto"/>
            </w:tcBorders>
            <w:shd w:val="clear" w:color="auto" w:fill="auto"/>
            <w:vAlign w:val="center"/>
            <w:hideMark/>
          </w:tcPr>
          <w:p w14:paraId="76A53F3A"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C779326" w14:textId="77777777" w:rsidR="00572995" w:rsidRPr="00483EBE" w:rsidRDefault="00572995" w:rsidP="00E8324D">
            <w:pPr>
              <w:pStyle w:val="Tablas"/>
              <w:rPr>
                <w:sz w:val="12"/>
                <w:szCs w:val="12"/>
              </w:rPr>
            </w:pPr>
            <w:r w:rsidRPr="00483EBE">
              <w:rPr>
                <w:sz w:val="12"/>
                <w:szCs w:val="12"/>
              </w:rPr>
              <w:t>SEBD</w:t>
            </w:r>
          </w:p>
        </w:tc>
      </w:tr>
      <w:tr w:rsidR="00572995" w:rsidRPr="00483EBE" w14:paraId="233F4E6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049717A" w14:textId="77777777" w:rsidR="00572995" w:rsidRPr="00483EBE" w:rsidRDefault="00572995" w:rsidP="00E8324D">
            <w:pPr>
              <w:pStyle w:val="Tablas"/>
              <w:rPr>
                <w:sz w:val="12"/>
                <w:szCs w:val="12"/>
              </w:rPr>
            </w:pPr>
            <w:r w:rsidRPr="00483EBE">
              <w:rPr>
                <w:sz w:val="12"/>
                <w:szCs w:val="12"/>
              </w:rPr>
              <w:lastRenderedPageBreak/>
              <w:t>60</w:t>
            </w:r>
          </w:p>
        </w:tc>
        <w:tc>
          <w:tcPr>
            <w:tcW w:w="0" w:type="auto"/>
            <w:tcBorders>
              <w:top w:val="nil"/>
              <w:left w:val="nil"/>
              <w:bottom w:val="single" w:sz="4" w:space="0" w:color="auto"/>
              <w:right w:val="single" w:sz="4" w:space="0" w:color="auto"/>
            </w:tcBorders>
            <w:shd w:val="clear" w:color="auto" w:fill="auto"/>
            <w:vAlign w:val="center"/>
            <w:hideMark/>
          </w:tcPr>
          <w:p w14:paraId="3C931DED" w14:textId="77777777" w:rsidR="00572995" w:rsidRPr="00483EBE" w:rsidRDefault="00572995" w:rsidP="00E8324D">
            <w:pPr>
              <w:pStyle w:val="Tablas"/>
              <w:rPr>
                <w:sz w:val="12"/>
                <w:szCs w:val="12"/>
              </w:rPr>
            </w:pPr>
            <w:r w:rsidRPr="00483EBE">
              <w:rPr>
                <w:sz w:val="12"/>
                <w:szCs w:val="12"/>
              </w:rPr>
              <w:t xml:space="preserve">440 </w:t>
            </w:r>
          </w:p>
        </w:tc>
        <w:tc>
          <w:tcPr>
            <w:tcW w:w="0" w:type="auto"/>
            <w:tcBorders>
              <w:top w:val="nil"/>
              <w:left w:val="nil"/>
              <w:bottom w:val="single" w:sz="4" w:space="0" w:color="auto"/>
              <w:right w:val="single" w:sz="4" w:space="0" w:color="auto"/>
            </w:tcBorders>
            <w:shd w:val="clear" w:color="auto" w:fill="auto"/>
            <w:vAlign w:val="center"/>
            <w:hideMark/>
          </w:tcPr>
          <w:p w14:paraId="72EFE74F" w14:textId="77777777" w:rsidR="00572995" w:rsidRPr="00483EBE" w:rsidRDefault="00572995" w:rsidP="00E8324D">
            <w:pPr>
              <w:pStyle w:val="Tablas"/>
              <w:rPr>
                <w:sz w:val="12"/>
                <w:szCs w:val="12"/>
              </w:rPr>
            </w:pPr>
            <w:r w:rsidRPr="00483EBE">
              <w:rPr>
                <w:sz w:val="12"/>
                <w:szCs w:val="12"/>
              </w:rPr>
              <w:t>$1,392,940</w:t>
            </w:r>
          </w:p>
        </w:tc>
        <w:tc>
          <w:tcPr>
            <w:tcW w:w="0" w:type="auto"/>
            <w:tcBorders>
              <w:top w:val="nil"/>
              <w:left w:val="nil"/>
              <w:bottom w:val="single" w:sz="4" w:space="0" w:color="auto"/>
              <w:right w:val="single" w:sz="4" w:space="0" w:color="auto"/>
            </w:tcBorders>
            <w:shd w:val="clear" w:color="auto" w:fill="auto"/>
            <w:vAlign w:val="center"/>
            <w:hideMark/>
          </w:tcPr>
          <w:p w14:paraId="7889B636" w14:textId="77777777" w:rsidR="00572995" w:rsidRPr="00483EBE" w:rsidRDefault="00572995" w:rsidP="00E8324D">
            <w:pPr>
              <w:pStyle w:val="Tablas"/>
              <w:rPr>
                <w:sz w:val="12"/>
                <w:szCs w:val="12"/>
              </w:rPr>
            </w:pPr>
            <w:r w:rsidRPr="00483EBE">
              <w:rPr>
                <w:sz w:val="12"/>
                <w:szCs w:val="12"/>
              </w:rPr>
              <w:t>$3,166</w:t>
            </w:r>
          </w:p>
        </w:tc>
        <w:tc>
          <w:tcPr>
            <w:tcW w:w="0" w:type="auto"/>
            <w:tcBorders>
              <w:top w:val="nil"/>
              <w:left w:val="nil"/>
              <w:bottom w:val="single" w:sz="4" w:space="0" w:color="auto"/>
              <w:right w:val="single" w:sz="4" w:space="0" w:color="auto"/>
            </w:tcBorders>
            <w:shd w:val="clear" w:color="auto" w:fill="auto"/>
            <w:vAlign w:val="center"/>
            <w:hideMark/>
          </w:tcPr>
          <w:p w14:paraId="562020D7"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2998AF4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187E73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BF09D2"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7CE87E06"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7E37A9FB" w14:textId="77777777" w:rsidR="00572995" w:rsidRPr="00483EBE" w:rsidRDefault="00572995" w:rsidP="00E8324D">
            <w:pPr>
              <w:pStyle w:val="Tablas"/>
              <w:rPr>
                <w:sz w:val="12"/>
                <w:szCs w:val="12"/>
              </w:rPr>
            </w:pPr>
            <w:r w:rsidRPr="00483EBE">
              <w:rPr>
                <w:sz w:val="12"/>
                <w:szCs w:val="12"/>
              </w:rPr>
              <w:t>$68,782</w:t>
            </w:r>
          </w:p>
        </w:tc>
        <w:tc>
          <w:tcPr>
            <w:tcW w:w="0" w:type="auto"/>
            <w:tcBorders>
              <w:top w:val="nil"/>
              <w:left w:val="nil"/>
              <w:bottom w:val="single" w:sz="4" w:space="0" w:color="auto"/>
              <w:right w:val="single" w:sz="4" w:space="0" w:color="auto"/>
            </w:tcBorders>
            <w:shd w:val="clear" w:color="auto" w:fill="auto"/>
            <w:vAlign w:val="center"/>
            <w:hideMark/>
          </w:tcPr>
          <w:p w14:paraId="3881017D" w14:textId="77777777" w:rsidR="00572995" w:rsidRPr="00483EBE" w:rsidRDefault="00572995" w:rsidP="00E8324D">
            <w:pPr>
              <w:pStyle w:val="Tablas"/>
              <w:rPr>
                <w:sz w:val="12"/>
                <w:szCs w:val="12"/>
              </w:rPr>
            </w:pPr>
            <w:r w:rsidRPr="00483EBE">
              <w:rPr>
                <w:sz w:val="12"/>
                <w:szCs w:val="12"/>
              </w:rPr>
              <w:t>$2,547</w:t>
            </w:r>
          </w:p>
        </w:tc>
        <w:tc>
          <w:tcPr>
            <w:tcW w:w="0" w:type="auto"/>
            <w:tcBorders>
              <w:top w:val="nil"/>
              <w:left w:val="nil"/>
              <w:bottom w:val="single" w:sz="4" w:space="0" w:color="auto"/>
              <w:right w:val="single" w:sz="4" w:space="0" w:color="auto"/>
            </w:tcBorders>
            <w:shd w:val="clear" w:color="auto" w:fill="auto"/>
            <w:vAlign w:val="center"/>
            <w:hideMark/>
          </w:tcPr>
          <w:p w14:paraId="4822E343" w14:textId="77777777" w:rsidR="00572995" w:rsidRPr="00483EBE" w:rsidRDefault="00572995" w:rsidP="00E8324D">
            <w:pPr>
              <w:pStyle w:val="Tablas"/>
              <w:rPr>
                <w:sz w:val="12"/>
                <w:szCs w:val="12"/>
              </w:rPr>
            </w:pPr>
            <w:r w:rsidRPr="00483EBE">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7D756CC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CDB46FE" w14:textId="77777777" w:rsidR="00572995" w:rsidRPr="00483EBE" w:rsidRDefault="00572995" w:rsidP="00E8324D">
            <w:pPr>
              <w:pStyle w:val="Tablas"/>
              <w:rPr>
                <w:sz w:val="12"/>
                <w:szCs w:val="12"/>
              </w:rPr>
            </w:pPr>
            <w:r w:rsidRPr="00483EBE">
              <w:rPr>
                <w:sz w:val="12"/>
                <w:szCs w:val="12"/>
              </w:rPr>
              <w:t>SEBD</w:t>
            </w:r>
          </w:p>
        </w:tc>
      </w:tr>
      <w:tr w:rsidR="00572995" w:rsidRPr="00483EBE" w14:paraId="6ABEEA6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AE7305"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157F5EDC" w14:textId="77777777" w:rsidR="00572995" w:rsidRPr="00483EBE" w:rsidRDefault="00572995" w:rsidP="00E8324D">
            <w:pPr>
              <w:pStyle w:val="Tablas"/>
              <w:rPr>
                <w:sz w:val="12"/>
                <w:szCs w:val="12"/>
              </w:rPr>
            </w:pPr>
            <w:r w:rsidRPr="00483EBE">
              <w:rPr>
                <w:sz w:val="12"/>
                <w:szCs w:val="12"/>
              </w:rPr>
              <w:t xml:space="preserve">501 </w:t>
            </w:r>
          </w:p>
        </w:tc>
        <w:tc>
          <w:tcPr>
            <w:tcW w:w="0" w:type="auto"/>
            <w:tcBorders>
              <w:top w:val="nil"/>
              <w:left w:val="nil"/>
              <w:bottom w:val="single" w:sz="4" w:space="0" w:color="auto"/>
              <w:right w:val="single" w:sz="4" w:space="0" w:color="auto"/>
            </w:tcBorders>
            <w:shd w:val="clear" w:color="auto" w:fill="auto"/>
            <w:vAlign w:val="center"/>
            <w:hideMark/>
          </w:tcPr>
          <w:p w14:paraId="5266E1CE" w14:textId="77777777" w:rsidR="00572995" w:rsidRPr="00483EBE" w:rsidRDefault="00572995" w:rsidP="00E8324D">
            <w:pPr>
              <w:pStyle w:val="Tablas"/>
              <w:rPr>
                <w:sz w:val="12"/>
                <w:szCs w:val="12"/>
              </w:rPr>
            </w:pPr>
            <w:r w:rsidRPr="00483EBE">
              <w:rPr>
                <w:sz w:val="12"/>
                <w:szCs w:val="12"/>
              </w:rPr>
              <w:t>$1,493,628</w:t>
            </w:r>
          </w:p>
        </w:tc>
        <w:tc>
          <w:tcPr>
            <w:tcW w:w="0" w:type="auto"/>
            <w:tcBorders>
              <w:top w:val="nil"/>
              <w:left w:val="nil"/>
              <w:bottom w:val="single" w:sz="4" w:space="0" w:color="auto"/>
              <w:right w:val="single" w:sz="4" w:space="0" w:color="auto"/>
            </w:tcBorders>
            <w:shd w:val="clear" w:color="auto" w:fill="auto"/>
            <w:vAlign w:val="center"/>
            <w:hideMark/>
          </w:tcPr>
          <w:p w14:paraId="4FF18B67" w14:textId="77777777" w:rsidR="00572995" w:rsidRPr="00483EBE" w:rsidRDefault="00572995" w:rsidP="00E8324D">
            <w:pPr>
              <w:pStyle w:val="Tablas"/>
              <w:rPr>
                <w:sz w:val="12"/>
                <w:szCs w:val="12"/>
              </w:rPr>
            </w:pPr>
            <w:r w:rsidRPr="00483EBE">
              <w:rPr>
                <w:sz w:val="12"/>
                <w:szCs w:val="12"/>
              </w:rPr>
              <w:t>$2,981</w:t>
            </w:r>
          </w:p>
        </w:tc>
        <w:tc>
          <w:tcPr>
            <w:tcW w:w="0" w:type="auto"/>
            <w:tcBorders>
              <w:top w:val="nil"/>
              <w:left w:val="nil"/>
              <w:bottom w:val="single" w:sz="4" w:space="0" w:color="auto"/>
              <w:right w:val="single" w:sz="4" w:space="0" w:color="auto"/>
            </w:tcBorders>
            <w:shd w:val="clear" w:color="auto" w:fill="auto"/>
            <w:vAlign w:val="center"/>
            <w:hideMark/>
          </w:tcPr>
          <w:p w14:paraId="007DDA05" w14:textId="77777777" w:rsidR="00572995" w:rsidRPr="00483EBE" w:rsidRDefault="00572995" w:rsidP="00E8324D">
            <w:pPr>
              <w:pStyle w:val="Tablas"/>
              <w:rPr>
                <w:sz w:val="12"/>
                <w:szCs w:val="12"/>
              </w:rPr>
            </w:pPr>
            <w:r w:rsidRPr="00483EBE">
              <w:rPr>
                <w:sz w:val="12"/>
                <w:szCs w:val="12"/>
              </w:rPr>
              <w:t>$248</w:t>
            </w:r>
          </w:p>
        </w:tc>
        <w:tc>
          <w:tcPr>
            <w:tcW w:w="0" w:type="auto"/>
            <w:tcBorders>
              <w:top w:val="nil"/>
              <w:left w:val="nil"/>
              <w:bottom w:val="single" w:sz="4" w:space="0" w:color="auto"/>
              <w:right w:val="single" w:sz="4" w:space="0" w:color="auto"/>
            </w:tcBorders>
            <w:shd w:val="clear" w:color="auto" w:fill="auto"/>
            <w:vAlign w:val="center"/>
            <w:hideMark/>
          </w:tcPr>
          <w:p w14:paraId="77219EF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FDD8AC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122007C"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2079691E"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6CC27618" w14:textId="77777777" w:rsidR="00572995" w:rsidRPr="00483EBE" w:rsidRDefault="00572995" w:rsidP="00E8324D">
            <w:pPr>
              <w:pStyle w:val="Tablas"/>
              <w:rPr>
                <w:sz w:val="12"/>
                <w:szCs w:val="12"/>
              </w:rPr>
            </w:pPr>
            <w:r w:rsidRPr="00483EBE">
              <w:rPr>
                <w:sz w:val="12"/>
                <w:szCs w:val="12"/>
              </w:rPr>
              <w:t>$78,747</w:t>
            </w:r>
          </w:p>
        </w:tc>
        <w:tc>
          <w:tcPr>
            <w:tcW w:w="0" w:type="auto"/>
            <w:tcBorders>
              <w:top w:val="nil"/>
              <w:left w:val="nil"/>
              <w:bottom w:val="single" w:sz="4" w:space="0" w:color="auto"/>
              <w:right w:val="single" w:sz="4" w:space="0" w:color="auto"/>
            </w:tcBorders>
            <w:shd w:val="clear" w:color="auto" w:fill="auto"/>
            <w:vAlign w:val="center"/>
            <w:hideMark/>
          </w:tcPr>
          <w:p w14:paraId="7B395A85" w14:textId="77777777" w:rsidR="00572995" w:rsidRPr="00483EBE" w:rsidRDefault="00572995" w:rsidP="00E8324D">
            <w:pPr>
              <w:pStyle w:val="Tablas"/>
              <w:rPr>
                <w:sz w:val="12"/>
                <w:szCs w:val="12"/>
              </w:rPr>
            </w:pPr>
            <w:r w:rsidRPr="00483EBE">
              <w:rPr>
                <w:sz w:val="12"/>
                <w:szCs w:val="12"/>
              </w:rPr>
              <w:t>$3,029</w:t>
            </w:r>
          </w:p>
        </w:tc>
        <w:tc>
          <w:tcPr>
            <w:tcW w:w="0" w:type="auto"/>
            <w:tcBorders>
              <w:top w:val="nil"/>
              <w:left w:val="nil"/>
              <w:bottom w:val="single" w:sz="4" w:space="0" w:color="auto"/>
              <w:right w:val="single" w:sz="4" w:space="0" w:color="auto"/>
            </w:tcBorders>
            <w:shd w:val="clear" w:color="auto" w:fill="auto"/>
            <w:vAlign w:val="center"/>
            <w:hideMark/>
          </w:tcPr>
          <w:p w14:paraId="62529E6B" w14:textId="77777777" w:rsidR="00572995" w:rsidRPr="00483EBE" w:rsidRDefault="00572995" w:rsidP="00E8324D">
            <w:pPr>
              <w:pStyle w:val="Tablas"/>
              <w:rPr>
                <w:sz w:val="12"/>
                <w:szCs w:val="12"/>
              </w:rPr>
            </w:pPr>
            <w:r w:rsidRPr="00483EBE">
              <w:rPr>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169463B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5C1113B" w14:textId="77777777" w:rsidR="00572995" w:rsidRPr="00483EBE" w:rsidRDefault="00572995" w:rsidP="00E8324D">
            <w:pPr>
              <w:pStyle w:val="Tablas"/>
              <w:rPr>
                <w:sz w:val="12"/>
                <w:szCs w:val="12"/>
              </w:rPr>
            </w:pPr>
            <w:r w:rsidRPr="00483EBE">
              <w:rPr>
                <w:sz w:val="12"/>
                <w:szCs w:val="12"/>
              </w:rPr>
              <w:t>SEBD</w:t>
            </w:r>
          </w:p>
        </w:tc>
      </w:tr>
      <w:tr w:rsidR="00572995" w:rsidRPr="00483EBE" w14:paraId="3C53850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933A027"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C93C220" w14:textId="77777777" w:rsidR="00572995" w:rsidRPr="00483EBE" w:rsidRDefault="00572995" w:rsidP="00E8324D">
            <w:pPr>
              <w:pStyle w:val="Tablas"/>
              <w:rPr>
                <w:sz w:val="12"/>
                <w:szCs w:val="12"/>
              </w:rPr>
            </w:pPr>
            <w:r w:rsidRPr="00483EBE">
              <w:rPr>
                <w:sz w:val="12"/>
                <w:szCs w:val="12"/>
              </w:rPr>
              <w:t xml:space="preserve">544 </w:t>
            </w:r>
          </w:p>
        </w:tc>
        <w:tc>
          <w:tcPr>
            <w:tcW w:w="0" w:type="auto"/>
            <w:tcBorders>
              <w:top w:val="nil"/>
              <w:left w:val="nil"/>
              <w:bottom w:val="single" w:sz="4" w:space="0" w:color="auto"/>
              <w:right w:val="single" w:sz="4" w:space="0" w:color="auto"/>
            </w:tcBorders>
            <w:shd w:val="clear" w:color="auto" w:fill="auto"/>
            <w:vAlign w:val="center"/>
            <w:hideMark/>
          </w:tcPr>
          <w:p w14:paraId="1B8B03D1" w14:textId="77777777" w:rsidR="00572995" w:rsidRPr="00483EBE" w:rsidRDefault="00572995" w:rsidP="00E8324D">
            <w:pPr>
              <w:pStyle w:val="Tablas"/>
              <w:rPr>
                <w:sz w:val="12"/>
                <w:szCs w:val="12"/>
              </w:rPr>
            </w:pPr>
            <w:r w:rsidRPr="00483EBE">
              <w:rPr>
                <w:sz w:val="12"/>
                <w:szCs w:val="12"/>
              </w:rPr>
              <w:t>$1,640,225</w:t>
            </w:r>
          </w:p>
        </w:tc>
        <w:tc>
          <w:tcPr>
            <w:tcW w:w="0" w:type="auto"/>
            <w:tcBorders>
              <w:top w:val="nil"/>
              <w:left w:val="nil"/>
              <w:bottom w:val="single" w:sz="4" w:space="0" w:color="auto"/>
              <w:right w:val="single" w:sz="4" w:space="0" w:color="auto"/>
            </w:tcBorders>
            <w:shd w:val="clear" w:color="auto" w:fill="auto"/>
            <w:vAlign w:val="center"/>
            <w:hideMark/>
          </w:tcPr>
          <w:p w14:paraId="3F1E39A0" w14:textId="77777777" w:rsidR="00572995" w:rsidRPr="00483EBE" w:rsidRDefault="00572995" w:rsidP="00E8324D">
            <w:pPr>
              <w:pStyle w:val="Tablas"/>
              <w:rPr>
                <w:sz w:val="12"/>
                <w:szCs w:val="12"/>
              </w:rPr>
            </w:pPr>
            <w:r w:rsidRPr="00483EBE">
              <w:rPr>
                <w:sz w:val="12"/>
                <w:szCs w:val="12"/>
              </w:rPr>
              <w:t>$3,015</w:t>
            </w:r>
          </w:p>
        </w:tc>
        <w:tc>
          <w:tcPr>
            <w:tcW w:w="0" w:type="auto"/>
            <w:tcBorders>
              <w:top w:val="nil"/>
              <w:left w:val="nil"/>
              <w:bottom w:val="single" w:sz="4" w:space="0" w:color="auto"/>
              <w:right w:val="single" w:sz="4" w:space="0" w:color="auto"/>
            </w:tcBorders>
            <w:shd w:val="clear" w:color="auto" w:fill="auto"/>
            <w:vAlign w:val="center"/>
            <w:hideMark/>
          </w:tcPr>
          <w:p w14:paraId="05957AA8"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528F361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B1B70B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6BF09B2"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29E3D1E0"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23F73A8B" w14:textId="77777777" w:rsidR="00572995" w:rsidRPr="00483EBE" w:rsidRDefault="00572995" w:rsidP="00E8324D">
            <w:pPr>
              <w:pStyle w:val="Tablas"/>
              <w:rPr>
                <w:sz w:val="12"/>
                <w:szCs w:val="12"/>
              </w:rPr>
            </w:pPr>
            <w:r w:rsidRPr="00483EBE">
              <w:rPr>
                <w:sz w:val="12"/>
                <w:szCs w:val="12"/>
              </w:rPr>
              <w:t>$91,103</w:t>
            </w:r>
          </w:p>
        </w:tc>
        <w:tc>
          <w:tcPr>
            <w:tcW w:w="0" w:type="auto"/>
            <w:tcBorders>
              <w:top w:val="nil"/>
              <w:left w:val="nil"/>
              <w:bottom w:val="single" w:sz="4" w:space="0" w:color="auto"/>
              <w:right w:val="single" w:sz="4" w:space="0" w:color="auto"/>
            </w:tcBorders>
            <w:shd w:val="clear" w:color="auto" w:fill="auto"/>
            <w:vAlign w:val="center"/>
            <w:hideMark/>
          </w:tcPr>
          <w:p w14:paraId="5E8DBADD" w14:textId="77777777" w:rsidR="00572995" w:rsidRPr="00483EBE" w:rsidRDefault="00572995" w:rsidP="00E8324D">
            <w:pPr>
              <w:pStyle w:val="Tablas"/>
              <w:rPr>
                <w:sz w:val="12"/>
                <w:szCs w:val="12"/>
              </w:rPr>
            </w:pPr>
            <w:r w:rsidRPr="00483EBE">
              <w:rPr>
                <w:sz w:val="12"/>
                <w:szCs w:val="12"/>
              </w:rPr>
              <w:t>$3,037</w:t>
            </w:r>
          </w:p>
        </w:tc>
        <w:tc>
          <w:tcPr>
            <w:tcW w:w="0" w:type="auto"/>
            <w:tcBorders>
              <w:top w:val="nil"/>
              <w:left w:val="nil"/>
              <w:bottom w:val="single" w:sz="4" w:space="0" w:color="auto"/>
              <w:right w:val="single" w:sz="4" w:space="0" w:color="auto"/>
            </w:tcBorders>
            <w:shd w:val="clear" w:color="auto" w:fill="auto"/>
            <w:vAlign w:val="center"/>
            <w:hideMark/>
          </w:tcPr>
          <w:p w14:paraId="7E469E5A"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7635DC6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B544E7B" w14:textId="77777777" w:rsidR="00572995" w:rsidRPr="00483EBE" w:rsidRDefault="00572995" w:rsidP="00E8324D">
            <w:pPr>
              <w:pStyle w:val="Tablas"/>
              <w:rPr>
                <w:sz w:val="12"/>
                <w:szCs w:val="12"/>
              </w:rPr>
            </w:pPr>
            <w:r w:rsidRPr="00483EBE">
              <w:rPr>
                <w:sz w:val="12"/>
                <w:szCs w:val="12"/>
              </w:rPr>
              <w:t>SEBD</w:t>
            </w:r>
          </w:p>
        </w:tc>
      </w:tr>
      <w:tr w:rsidR="00572995" w:rsidRPr="00483EBE" w14:paraId="18B4604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B23F852"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5DFA4F42" w14:textId="77777777" w:rsidR="00572995" w:rsidRPr="00483EBE" w:rsidRDefault="00572995" w:rsidP="00E8324D">
            <w:pPr>
              <w:pStyle w:val="Tablas"/>
              <w:rPr>
                <w:sz w:val="12"/>
                <w:szCs w:val="12"/>
              </w:rPr>
            </w:pPr>
            <w:r w:rsidRPr="00483EBE">
              <w:rPr>
                <w:sz w:val="12"/>
                <w:szCs w:val="12"/>
              </w:rPr>
              <w:t xml:space="preserve">632 </w:t>
            </w:r>
          </w:p>
        </w:tc>
        <w:tc>
          <w:tcPr>
            <w:tcW w:w="0" w:type="auto"/>
            <w:tcBorders>
              <w:top w:val="nil"/>
              <w:left w:val="nil"/>
              <w:bottom w:val="single" w:sz="4" w:space="0" w:color="auto"/>
              <w:right w:val="single" w:sz="4" w:space="0" w:color="auto"/>
            </w:tcBorders>
            <w:shd w:val="clear" w:color="auto" w:fill="auto"/>
            <w:vAlign w:val="center"/>
            <w:hideMark/>
          </w:tcPr>
          <w:p w14:paraId="66BF7F5A" w14:textId="77777777" w:rsidR="00572995" w:rsidRPr="00483EBE" w:rsidRDefault="00572995" w:rsidP="00E8324D">
            <w:pPr>
              <w:pStyle w:val="Tablas"/>
              <w:rPr>
                <w:sz w:val="12"/>
                <w:szCs w:val="12"/>
              </w:rPr>
            </w:pPr>
            <w:r w:rsidRPr="00483EBE">
              <w:rPr>
                <w:sz w:val="12"/>
                <w:szCs w:val="12"/>
              </w:rPr>
              <w:t>$1,943,388</w:t>
            </w:r>
          </w:p>
        </w:tc>
        <w:tc>
          <w:tcPr>
            <w:tcW w:w="0" w:type="auto"/>
            <w:tcBorders>
              <w:top w:val="nil"/>
              <w:left w:val="nil"/>
              <w:bottom w:val="single" w:sz="4" w:space="0" w:color="auto"/>
              <w:right w:val="single" w:sz="4" w:space="0" w:color="auto"/>
            </w:tcBorders>
            <w:shd w:val="clear" w:color="auto" w:fill="auto"/>
            <w:vAlign w:val="center"/>
            <w:hideMark/>
          </w:tcPr>
          <w:p w14:paraId="5B857A82" w14:textId="77777777" w:rsidR="00572995" w:rsidRPr="00483EBE" w:rsidRDefault="00572995" w:rsidP="00E8324D">
            <w:pPr>
              <w:pStyle w:val="Tablas"/>
              <w:rPr>
                <w:sz w:val="12"/>
                <w:szCs w:val="12"/>
              </w:rPr>
            </w:pPr>
            <w:r w:rsidRPr="00483EBE">
              <w:rPr>
                <w:sz w:val="12"/>
                <w:szCs w:val="12"/>
              </w:rPr>
              <w:t>$3,075</w:t>
            </w:r>
          </w:p>
        </w:tc>
        <w:tc>
          <w:tcPr>
            <w:tcW w:w="0" w:type="auto"/>
            <w:tcBorders>
              <w:top w:val="nil"/>
              <w:left w:val="nil"/>
              <w:bottom w:val="single" w:sz="4" w:space="0" w:color="auto"/>
              <w:right w:val="single" w:sz="4" w:space="0" w:color="auto"/>
            </w:tcBorders>
            <w:shd w:val="clear" w:color="auto" w:fill="auto"/>
            <w:vAlign w:val="center"/>
            <w:hideMark/>
          </w:tcPr>
          <w:p w14:paraId="2AB9ACC3" w14:textId="77777777" w:rsidR="00572995" w:rsidRPr="00483EBE" w:rsidRDefault="00572995" w:rsidP="00E8324D">
            <w:pPr>
              <w:pStyle w:val="Tablas"/>
              <w:rPr>
                <w:sz w:val="12"/>
                <w:szCs w:val="12"/>
              </w:rPr>
            </w:pPr>
            <w:r w:rsidRPr="00483EBE">
              <w:rPr>
                <w:sz w:val="12"/>
                <w:szCs w:val="12"/>
              </w:rPr>
              <w:t>$256</w:t>
            </w:r>
          </w:p>
        </w:tc>
        <w:tc>
          <w:tcPr>
            <w:tcW w:w="0" w:type="auto"/>
            <w:tcBorders>
              <w:top w:val="nil"/>
              <w:left w:val="nil"/>
              <w:bottom w:val="single" w:sz="4" w:space="0" w:color="auto"/>
              <w:right w:val="single" w:sz="4" w:space="0" w:color="auto"/>
            </w:tcBorders>
            <w:shd w:val="clear" w:color="auto" w:fill="auto"/>
            <w:vAlign w:val="center"/>
            <w:hideMark/>
          </w:tcPr>
          <w:p w14:paraId="30257F0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986B5E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FD9658"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2E7D7A9F"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1ED5F8A2" w14:textId="77777777" w:rsidR="00572995" w:rsidRPr="00483EBE" w:rsidRDefault="00572995" w:rsidP="00E8324D">
            <w:pPr>
              <w:pStyle w:val="Tablas"/>
              <w:rPr>
                <w:sz w:val="12"/>
                <w:szCs w:val="12"/>
              </w:rPr>
            </w:pPr>
            <w:r w:rsidRPr="00483EBE">
              <w:rPr>
                <w:sz w:val="12"/>
                <w:szCs w:val="12"/>
              </w:rPr>
              <w:t>$109,851</w:t>
            </w:r>
          </w:p>
        </w:tc>
        <w:tc>
          <w:tcPr>
            <w:tcW w:w="0" w:type="auto"/>
            <w:tcBorders>
              <w:top w:val="nil"/>
              <w:left w:val="nil"/>
              <w:bottom w:val="single" w:sz="4" w:space="0" w:color="auto"/>
              <w:right w:val="single" w:sz="4" w:space="0" w:color="auto"/>
            </w:tcBorders>
            <w:shd w:val="clear" w:color="auto" w:fill="auto"/>
            <w:vAlign w:val="center"/>
            <w:hideMark/>
          </w:tcPr>
          <w:p w14:paraId="11B034A6" w14:textId="77777777" w:rsidR="00572995" w:rsidRPr="00483EBE" w:rsidRDefault="00572995" w:rsidP="00E8324D">
            <w:pPr>
              <w:pStyle w:val="Tablas"/>
              <w:rPr>
                <w:sz w:val="12"/>
                <w:szCs w:val="12"/>
              </w:rPr>
            </w:pPr>
            <w:r w:rsidRPr="00483EBE">
              <w:rPr>
                <w:sz w:val="12"/>
                <w:szCs w:val="12"/>
              </w:rPr>
              <w:t>$3,051</w:t>
            </w:r>
          </w:p>
        </w:tc>
        <w:tc>
          <w:tcPr>
            <w:tcW w:w="0" w:type="auto"/>
            <w:tcBorders>
              <w:top w:val="nil"/>
              <w:left w:val="nil"/>
              <w:bottom w:val="single" w:sz="4" w:space="0" w:color="auto"/>
              <w:right w:val="single" w:sz="4" w:space="0" w:color="auto"/>
            </w:tcBorders>
            <w:shd w:val="clear" w:color="auto" w:fill="auto"/>
            <w:vAlign w:val="center"/>
            <w:hideMark/>
          </w:tcPr>
          <w:p w14:paraId="2FE076F5" w14:textId="77777777" w:rsidR="00572995" w:rsidRPr="00483EBE" w:rsidRDefault="00572995" w:rsidP="00E8324D">
            <w:pPr>
              <w:pStyle w:val="Tablas"/>
              <w:rPr>
                <w:sz w:val="12"/>
                <w:szCs w:val="12"/>
              </w:rPr>
            </w:pPr>
            <w:r w:rsidRPr="00483EBE">
              <w:rPr>
                <w:sz w:val="12"/>
                <w:szCs w:val="12"/>
              </w:rPr>
              <w:t>$254</w:t>
            </w:r>
          </w:p>
        </w:tc>
        <w:tc>
          <w:tcPr>
            <w:tcW w:w="0" w:type="auto"/>
            <w:tcBorders>
              <w:top w:val="nil"/>
              <w:left w:val="nil"/>
              <w:bottom w:val="single" w:sz="4" w:space="0" w:color="auto"/>
              <w:right w:val="single" w:sz="4" w:space="0" w:color="auto"/>
            </w:tcBorders>
            <w:shd w:val="clear" w:color="auto" w:fill="auto"/>
            <w:vAlign w:val="center"/>
            <w:hideMark/>
          </w:tcPr>
          <w:p w14:paraId="514066C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EB2B41C" w14:textId="77777777" w:rsidR="00572995" w:rsidRPr="00483EBE" w:rsidRDefault="00572995" w:rsidP="00E8324D">
            <w:pPr>
              <w:pStyle w:val="Tablas"/>
              <w:rPr>
                <w:sz w:val="12"/>
                <w:szCs w:val="12"/>
              </w:rPr>
            </w:pPr>
            <w:r w:rsidRPr="00483EBE">
              <w:rPr>
                <w:sz w:val="12"/>
                <w:szCs w:val="12"/>
              </w:rPr>
              <w:t>SEBD</w:t>
            </w:r>
          </w:p>
        </w:tc>
      </w:tr>
      <w:tr w:rsidR="00572995" w:rsidRPr="00483EBE" w14:paraId="562F11D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ADE4FEB"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1DACD931" w14:textId="77777777" w:rsidR="00572995" w:rsidRPr="00483EBE" w:rsidRDefault="00572995" w:rsidP="00E8324D">
            <w:pPr>
              <w:pStyle w:val="Tablas"/>
              <w:rPr>
                <w:sz w:val="12"/>
                <w:szCs w:val="12"/>
              </w:rPr>
            </w:pPr>
            <w:r w:rsidRPr="00483EBE">
              <w:rPr>
                <w:sz w:val="12"/>
                <w:szCs w:val="12"/>
              </w:rPr>
              <w:t xml:space="preserve">657 </w:t>
            </w:r>
          </w:p>
        </w:tc>
        <w:tc>
          <w:tcPr>
            <w:tcW w:w="0" w:type="auto"/>
            <w:tcBorders>
              <w:top w:val="nil"/>
              <w:left w:val="nil"/>
              <w:bottom w:val="single" w:sz="4" w:space="0" w:color="auto"/>
              <w:right w:val="single" w:sz="4" w:space="0" w:color="auto"/>
            </w:tcBorders>
            <w:shd w:val="clear" w:color="auto" w:fill="auto"/>
            <w:vAlign w:val="center"/>
            <w:hideMark/>
          </w:tcPr>
          <w:p w14:paraId="0B14F915" w14:textId="77777777" w:rsidR="00572995" w:rsidRPr="00483EBE" w:rsidRDefault="00572995" w:rsidP="00E8324D">
            <w:pPr>
              <w:pStyle w:val="Tablas"/>
              <w:rPr>
                <w:sz w:val="12"/>
                <w:szCs w:val="12"/>
              </w:rPr>
            </w:pPr>
            <w:r w:rsidRPr="00483EBE">
              <w:rPr>
                <w:sz w:val="12"/>
                <w:szCs w:val="12"/>
              </w:rPr>
              <w:t>$1,982,034</w:t>
            </w:r>
          </w:p>
        </w:tc>
        <w:tc>
          <w:tcPr>
            <w:tcW w:w="0" w:type="auto"/>
            <w:tcBorders>
              <w:top w:val="nil"/>
              <w:left w:val="nil"/>
              <w:bottom w:val="single" w:sz="4" w:space="0" w:color="auto"/>
              <w:right w:val="single" w:sz="4" w:space="0" w:color="auto"/>
            </w:tcBorders>
            <w:shd w:val="clear" w:color="auto" w:fill="auto"/>
            <w:vAlign w:val="center"/>
            <w:hideMark/>
          </w:tcPr>
          <w:p w14:paraId="3EA44AA9" w14:textId="77777777" w:rsidR="00572995" w:rsidRPr="00483EBE" w:rsidRDefault="00572995" w:rsidP="00E8324D">
            <w:pPr>
              <w:pStyle w:val="Tablas"/>
              <w:rPr>
                <w:sz w:val="12"/>
                <w:szCs w:val="12"/>
              </w:rPr>
            </w:pPr>
            <w:r w:rsidRPr="00483EBE">
              <w:rPr>
                <w:sz w:val="12"/>
                <w:szCs w:val="12"/>
              </w:rPr>
              <w:t>$3,017</w:t>
            </w:r>
          </w:p>
        </w:tc>
        <w:tc>
          <w:tcPr>
            <w:tcW w:w="0" w:type="auto"/>
            <w:tcBorders>
              <w:top w:val="nil"/>
              <w:left w:val="nil"/>
              <w:bottom w:val="single" w:sz="4" w:space="0" w:color="auto"/>
              <w:right w:val="single" w:sz="4" w:space="0" w:color="auto"/>
            </w:tcBorders>
            <w:shd w:val="clear" w:color="auto" w:fill="auto"/>
            <w:vAlign w:val="center"/>
            <w:hideMark/>
          </w:tcPr>
          <w:p w14:paraId="3FD0F96E"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4EFDC81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8F270C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DE3CC5"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73CE1260"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43A3F1A6" w14:textId="77777777" w:rsidR="00572995" w:rsidRPr="00483EBE" w:rsidRDefault="00572995" w:rsidP="00E8324D">
            <w:pPr>
              <w:pStyle w:val="Tablas"/>
              <w:rPr>
                <w:sz w:val="12"/>
                <w:szCs w:val="12"/>
              </w:rPr>
            </w:pPr>
            <w:r w:rsidRPr="00483EBE">
              <w:rPr>
                <w:sz w:val="12"/>
                <w:szCs w:val="12"/>
              </w:rPr>
              <w:t>$130,809</w:t>
            </w:r>
          </w:p>
        </w:tc>
        <w:tc>
          <w:tcPr>
            <w:tcW w:w="0" w:type="auto"/>
            <w:tcBorders>
              <w:top w:val="nil"/>
              <w:left w:val="nil"/>
              <w:bottom w:val="single" w:sz="4" w:space="0" w:color="auto"/>
              <w:right w:val="single" w:sz="4" w:space="0" w:color="auto"/>
            </w:tcBorders>
            <w:shd w:val="clear" w:color="auto" w:fill="auto"/>
            <w:vAlign w:val="center"/>
            <w:hideMark/>
          </w:tcPr>
          <w:p w14:paraId="037A420D" w14:textId="77777777" w:rsidR="00572995" w:rsidRPr="00483EBE" w:rsidRDefault="00572995" w:rsidP="00E8324D">
            <w:pPr>
              <w:pStyle w:val="Tablas"/>
              <w:rPr>
                <w:sz w:val="12"/>
                <w:szCs w:val="12"/>
              </w:rPr>
            </w:pPr>
            <w:r w:rsidRPr="00483EBE">
              <w:rPr>
                <w:sz w:val="12"/>
                <w:szCs w:val="12"/>
              </w:rPr>
              <w:t>$3,535</w:t>
            </w:r>
          </w:p>
        </w:tc>
        <w:tc>
          <w:tcPr>
            <w:tcW w:w="0" w:type="auto"/>
            <w:tcBorders>
              <w:top w:val="nil"/>
              <w:left w:val="nil"/>
              <w:bottom w:val="single" w:sz="4" w:space="0" w:color="auto"/>
              <w:right w:val="single" w:sz="4" w:space="0" w:color="auto"/>
            </w:tcBorders>
            <w:shd w:val="clear" w:color="auto" w:fill="auto"/>
            <w:vAlign w:val="center"/>
            <w:hideMark/>
          </w:tcPr>
          <w:p w14:paraId="0444B0E9" w14:textId="77777777" w:rsidR="00572995" w:rsidRPr="00483EBE" w:rsidRDefault="00572995" w:rsidP="00E8324D">
            <w:pPr>
              <w:pStyle w:val="Tablas"/>
              <w:rPr>
                <w:sz w:val="12"/>
                <w:szCs w:val="12"/>
              </w:rPr>
            </w:pPr>
            <w:r w:rsidRPr="00483EBE">
              <w:rPr>
                <w:sz w:val="12"/>
                <w:szCs w:val="12"/>
              </w:rPr>
              <w:t>$295</w:t>
            </w:r>
          </w:p>
        </w:tc>
        <w:tc>
          <w:tcPr>
            <w:tcW w:w="0" w:type="auto"/>
            <w:tcBorders>
              <w:top w:val="nil"/>
              <w:left w:val="nil"/>
              <w:bottom w:val="single" w:sz="4" w:space="0" w:color="auto"/>
              <w:right w:val="single" w:sz="4" w:space="0" w:color="auto"/>
            </w:tcBorders>
            <w:shd w:val="clear" w:color="auto" w:fill="auto"/>
            <w:vAlign w:val="center"/>
            <w:hideMark/>
          </w:tcPr>
          <w:p w14:paraId="5A43995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E5F3988" w14:textId="77777777" w:rsidR="00572995" w:rsidRPr="00483EBE" w:rsidRDefault="00572995" w:rsidP="00E8324D">
            <w:pPr>
              <w:pStyle w:val="Tablas"/>
              <w:rPr>
                <w:sz w:val="12"/>
                <w:szCs w:val="12"/>
              </w:rPr>
            </w:pPr>
            <w:r w:rsidRPr="00483EBE">
              <w:rPr>
                <w:sz w:val="12"/>
                <w:szCs w:val="12"/>
              </w:rPr>
              <w:t>SEBD</w:t>
            </w:r>
          </w:p>
        </w:tc>
      </w:tr>
      <w:tr w:rsidR="00572995" w:rsidRPr="00483EBE" w14:paraId="0E1B44B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CB38B2"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1D4AE03B" w14:textId="77777777" w:rsidR="00572995" w:rsidRPr="00483EBE" w:rsidRDefault="00572995" w:rsidP="00E8324D">
            <w:pPr>
              <w:pStyle w:val="Tablas"/>
              <w:rPr>
                <w:sz w:val="12"/>
                <w:szCs w:val="12"/>
              </w:rPr>
            </w:pPr>
            <w:r w:rsidRPr="00483EBE">
              <w:rPr>
                <w:sz w:val="12"/>
                <w:szCs w:val="12"/>
              </w:rPr>
              <w:t xml:space="preserve">694 </w:t>
            </w:r>
          </w:p>
        </w:tc>
        <w:tc>
          <w:tcPr>
            <w:tcW w:w="0" w:type="auto"/>
            <w:tcBorders>
              <w:top w:val="nil"/>
              <w:left w:val="nil"/>
              <w:bottom w:val="single" w:sz="4" w:space="0" w:color="auto"/>
              <w:right w:val="single" w:sz="4" w:space="0" w:color="auto"/>
            </w:tcBorders>
            <w:shd w:val="clear" w:color="auto" w:fill="auto"/>
            <w:vAlign w:val="center"/>
            <w:hideMark/>
          </w:tcPr>
          <w:p w14:paraId="5C88E98F" w14:textId="77777777" w:rsidR="00572995" w:rsidRPr="00483EBE" w:rsidRDefault="00572995" w:rsidP="00E8324D">
            <w:pPr>
              <w:pStyle w:val="Tablas"/>
              <w:rPr>
                <w:sz w:val="12"/>
                <w:szCs w:val="12"/>
              </w:rPr>
            </w:pPr>
            <w:r w:rsidRPr="00483EBE">
              <w:rPr>
                <w:sz w:val="12"/>
                <w:szCs w:val="12"/>
              </w:rPr>
              <w:t>$2,166,493</w:t>
            </w:r>
          </w:p>
        </w:tc>
        <w:tc>
          <w:tcPr>
            <w:tcW w:w="0" w:type="auto"/>
            <w:tcBorders>
              <w:top w:val="nil"/>
              <w:left w:val="nil"/>
              <w:bottom w:val="single" w:sz="4" w:space="0" w:color="auto"/>
              <w:right w:val="single" w:sz="4" w:space="0" w:color="auto"/>
            </w:tcBorders>
            <w:shd w:val="clear" w:color="auto" w:fill="auto"/>
            <w:vAlign w:val="center"/>
            <w:hideMark/>
          </w:tcPr>
          <w:p w14:paraId="0B7500A6" w14:textId="77777777" w:rsidR="00572995" w:rsidRPr="00483EBE" w:rsidRDefault="00572995" w:rsidP="00E8324D">
            <w:pPr>
              <w:pStyle w:val="Tablas"/>
              <w:rPr>
                <w:sz w:val="12"/>
                <w:szCs w:val="12"/>
              </w:rPr>
            </w:pPr>
            <w:r w:rsidRPr="00483EBE">
              <w:rPr>
                <w:sz w:val="12"/>
                <w:szCs w:val="12"/>
              </w:rPr>
              <w:t>$3,122</w:t>
            </w:r>
          </w:p>
        </w:tc>
        <w:tc>
          <w:tcPr>
            <w:tcW w:w="0" w:type="auto"/>
            <w:tcBorders>
              <w:top w:val="nil"/>
              <w:left w:val="nil"/>
              <w:bottom w:val="single" w:sz="4" w:space="0" w:color="auto"/>
              <w:right w:val="single" w:sz="4" w:space="0" w:color="auto"/>
            </w:tcBorders>
            <w:shd w:val="clear" w:color="auto" w:fill="auto"/>
            <w:vAlign w:val="center"/>
            <w:hideMark/>
          </w:tcPr>
          <w:p w14:paraId="22A690C9"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6B0D368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4F0B14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CDD678"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03A9A62B"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1E587AAB" w14:textId="77777777" w:rsidR="00572995" w:rsidRPr="00483EBE" w:rsidRDefault="00572995" w:rsidP="00E8324D">
            <w:pPr>
              <w:pStyle w:val="Tablas"/>
              <w:rPr>
                <w:sz w:val="12"/>
                <w:szCs w:val="12"/>
              </w:rPr>
            </w:pPr>
            <w:r w:rsidRPr="00483EBE">
              <w:rPr>
                <w:sz w:val="12"/>
                <w:szCs w:val="12"/>
              </w:rPr>
              <w:t>$124,663</w:t>
            </w:r>
          </w:p>
        </w:tc>
        <w:tc>
          <w:tcPr>
            <w:tcW w:w="0" w:type="auto"/>
            <w:tcBorders>
              <w:top w:val="nil"/>
              <w:left w:val="nil"/>
              <w:bottom w:val="single" w:sz="4" w:space="0" w:color="auto"/>
              <w:right w:val="single" w:sz="4" w:space="0" w:color="auto"/>
            </w:tcBorders>
            <w:shd w:val="clear" w:color="auto" w:fill="auto"/>
            <w:vAlign w:val="center"/>
            <w:hideMark/>
          </w:tcPr>
          <w:p w14:paraId="4366AAB1" w14:textId="77777777" w:rsidR="00572995" w:rsidRPr="00483EBE" w:rsidRDefault="00572995" w:rsidP="00E8324D">
            <w:pPr>
              <w:pStyle w:val="Tablas"/>
              <w:rPr>
                <w:sz w:val="12"/>
                <w:szCs w:val="12"/>
              </w:rPr>
            </w:pPr>
            <w:r w:rsidRPr="00483EBE">
              <w:rPr>
                <w:sz w:val="12"/>
                <w:szCs w:val="12"/>
              </w:rPr>
              <w:t>$3,778</w:t>
            </w:r>
          </w:p>
        </w:tc>
        <w:tc>
          <w:tcPr>
            <w:tcW w:w="0" w:type="auto"/>
            <w:tcBorders>
              <w:top w:val="nil"/>
              <w:left w:val="nil"/>
              <w:bottom w:val="single" w:sz="4" w:space="0" w:color="auto"/>
              <w:right w:val="single" w:sz="4" w:space="0" w:color="auto"/>
            </w:tcBorders>
            <w:shd w:val="clear" w:color="auto" w:fill="auto"/>
            <w:vAlign w:val="center"/>
            <w:hideMark/>
          </w:tcPr>
          <w:p w14:paraId="54AF2775" w14:textId="77777777" w:rsidR="00572995" w:rsidRPr="00483EBE" w:rsidRDefault="00572995" w:rsidP="00E8324D">
            <w:pPr>
              <w:pStyle w:val="Tablas"/>
              <w:rPr>
                <w:sz w:val="12"/>
                <w:szCs w:val="12"/>
              </w:rPr>
            </w:pPr>
            <w:r w:rsidRPr="00483EBE">
              <w:rPr>
                <w:sz w:val="12"/>
                <w:szCs w:val="12"/>
              </w:rPr>
              <w:t>$315</w:t>
            </w:r>
          </w:p>
        </w:tc>
        <w:tc>
          <w:tcPr>
            <w:tcW w:w="0" w:type="auto"/>
            <w:tcBorders>
              <w:top w:val="nil"/>
              <w:left w:val="nil"/>
              <w:bottom w:val="single" w:sz="4" w:space="0" w:color="auto"/>
              <w:right w:val="single" w:sz="4" w:space="0" w:color="auto"/>
            </w:tcBorders>
            <w:shd w:val="clear" w:color="auto" w:fill="auto"/>
            <w:vAlign w:val="center"/>
            <w:hideMark/>
          </w:tcPr>
          <w:p w14:paraId="5E89A79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1EE4D60" w14:textId="77777777" w:rsidR="00572995" w:rsidRPr="00483EBE" w:rsidRDefault="00572995" w:rsidP="00E8324D">
            <w:pPr>
              <w:pStyle w:val="Tablas"/>
              <w:rPr>
                <w:sz w:val="12"/>
                <w:szCs w:val="12"/>
              </w:rPr>
            </w:pPr>
            <w:r w:rsidRPr="00483EBE">
              <w:rPr>
                <w:sz w:val="12"/>
                <w:szCs w:val="12"/>
              </w:rPr>
              <w:t>SEBD</w:t>
            </w:r>
          </w:p>
        </w:tc>
      </w:tr>
      <w:tr w:rsidR="00572995" w:rsidRPr="00483EBE" w14:paraId="34177CA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7276549"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4D658EB1" w14:textId="77777777" w:rsidR="00572995" w:rsidRPr="00483EBE" w:rsidRDefault="00572995" w:rsidP="00E8324D">
            <w:pPr>
              <w:pStyle w:val="Tablas"/>
              <w:rPr>
                <w:sz w:val="12"/>
                <w:szCs w:val="12"/>
              </w:rPr>
            </w:pPr>
            <w:r w:rsidRPr="00483EBE">
              <w:rPr>
                <w:sz w:val="12"/>
                <w:szCs w:val="12"/>
              </w:rPr>
              <w:t xml:space="preserve">700 </w:t>
            </w:r>
          </w:p>
        </w:tc>
        <w:tc>
          <w:tcPr>
            <w:tcW w:w="0" w:type="auto"/>
            <w:tcBorders>
              <w:top w:val="nil"/>
              <w:left w:val="nil"/>
              <w:bottom w:val="single" w:sz="4" w:space="0" w:color="auto"/>
              <w:right w:val="single" w:sz="4" w:space="0" w:color="auto"/>
            </w:tcBorders>
            <w:shd w:val="clear" w:color="auto" w:fill="auto"/>
            <w:vAlign w:val="center"/>
            <w:hideMark/>
          </w:tcPr>
          <w:p w14:paraId="4C1FE8BA" w14:textId="77777777" w:rsidR="00572995" w:rsidRPr="00483EBE" w:rsidRDefault="00572995" w:rsidP="00E8324D">
            <w:pPr>
              <w:pStyle w:val="Tablas"/>
              <w:rPr>
                <w:sz w:val="12"/>
                <w:szCs w:val="12"/>
              </w:rPr>
            </w:pPr>
            <w:r w:rsidRPr="00483EBE">
              <w:rPr>
                <w:sz w:val="12"/>
                <w:szCs w:val="12"/>
              </w:rPr>
              <w:t>$2,112,180</w:t>
            </w:r>
          </w:p>
        </w:tc>
        <w:tc>
          <w:tcPr>
            <w:tcW w:w="0" w:type="auto"/>
            <w:tcBorders>
              <w:top w:val="nil"/>
              <w:left w:val="nil"/>
              <w:bottom w:val="single" w:sz="4" w:space="0" w:color="auto"/>
              <w:right w:val="single" w:sz="4" w:space="0" w:color="auto"/>
            </w:tcBorders>
            <w:shd w:val="clear" w:color="auto" w:fill="auto"/>
            <w:vAlign w:val="center"/>
            <w:hideMark/>
          </w:tcPr>
          <w:p w14:paraId="7F300BE5" w14:textId="77777777" w:rsidR="00572995" w:rsidRPr="00483EBE" w:rsidRDefault="00572995" w:rsidP="00E8324D">
            <w:pPr>
              <w:pStyle w:val="Tablas"/>
              <w:rPr>
                <w:sz w:val="12"/>
                <w:szCs w:val="12"/>
              </w:rPr>
            </w:pPr>
            <w:r w:rsidRPr="00483EBE">
              <w:rPr>
                <w:sz w:val="12"/>
                <w:szCs w:val="12"/>
              </w:rPr>
              <w:t>$3,017</w:t>
            </w:r>
          </w:p>
        </w:tc>
        <w:tc>
          <w:tcPr>
            <w:tcW w:w="0" w:type="auto"/>
            <w:tcBorders>
              <w:top w:val="nil"/>
              <w:left w:val="nil"/>
              <w:bottom w:val="single" w:sz="4" w:space="0" w:color="auto"/>
              <w:right w:val="single" w:sz="4" w:space="0" w:color="auto"/>
            </w:tcBorders>
            <w:shd w:val="clear" w:color="auto" w:fill="auto"/>
            <w:vAlign w:val="center"/>
            <w:hideMark/>
          </w:tcPr>
          <w:p w14:paraId="714558B5"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0C691629"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683E6D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3C2FBA"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0900006A"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601C9023" w14:textId="77777777" w:rsidR="00572995" w:rsidRPr="00483EBE" w:rsidRDefault="00572995" w:rsidP="00E8324D">
            <w:pPr>
              <w:pStyle w:val="Tablas"/>
              <w:rPr>
                <w:sz w:val="12"/>
                <w:szCs w:val="12"/>
              </w:rPr>
            </w:pPr>
            <w:r w:rsidRPr="00483EBE">
              <w:rPr>
                <w:sz w:val="12"/>
                <w:szCs w:val="12"/>
              </w:rPr>
              <w:t>$118,005</w:t>
            </w:r>
          </w:p>
        </w:tc>
        <w:tc>
          <w:tcPr>
            <w:tcW w:w="0" w:type="auto"/>
            <w:tcBorders>
              <w:top w:val="nil"/>
              <w:left w:val="nil"/>
              <w:bottom w:val="single" w:sz="4" w:space="0" w:color="auto"/>
              <w:right w:val="single" w:sz="4" w:space="0" w:color="auto"/>
            </w:tcBorders>
            <w:shd w:val="clear" w:color="auto" w:fill="auto"/>
            <w:vAlign w:val="center"/>
            <w:hideMark/>
          </w:tcPr>
          <w:p w14:paraId="42D2804E" w14:textId="77777777" w:rsidR="00572995" w:rsidRPr="00483EBE" w:rsidRDefault="00572995" w:rsidP="00E8324D">
            <w:pPr>
              <w:pStyle w:val="Tablas"/>
              <w:rPr>
                <w:sz w:val="12"/>
                <w:szCs w:val="12"/>
              </w:rPr>
            </w:pPr>
            <w:r w:rsidRPr="00483EBE">
              <w:rPr>
                <w:sz w:val="12"/>
                <w:szCs w:val="12"/>
              </w:rPr>
              <w:t>$3,372</w:t>
            </w:r>
          </w:p>
        </w:tc>
        <w:tc>
          <w:tcPr>
            <w:tcW w:w="0" w:type="auto"/>
            <w:tcBorders>
              <w:top w:val="nil"/>
              <w:left w:val="nil"/>
              <w:bottom w:val="single" w:sz="4" w:space="0" w:color="auto"/>
              <w:right w:val="single" w:sz="4" w:space="0" w:color="auto"/>
            </w:tcBorders>
            <w:shd w:val="clear" w:color="auto" w:fill="auto"/>
            <w:vAlign w:val="center"/>
            <w:hideMark/>
          </w:tcPr>
          <w:p w14:paraId="20911844" w14:textId="77777777" w:rsidR="00572995" w:rsidRPr="00483EBE" w:rsidRDefault="00572995" w:rsidP="00E8324D">
            <w:pPr>
              <w:pStyle w:val="Tablas"/>
              <w:rPr>
                <w:sz w:val="12"/>
                <w:szCs w:val="12"/>
              </w:rPr>
            </w:pPr>
            <w:r w:rsidRPr="00483EBE">
              <w:rPr>
                <w:sz w:val="12"/>
                <w:szCs w:val="12"/>
              </w:rPr>
              <w:t>$281</w:t>
            </w:r>
          </w:p>
        </w:tc>
        <w:tc>
          <w:tcPr>
            <w:tcW w:w="0" w:type="auto"/>
            <w:tcBorders>
              <w:top w:val="nil"/>
              <w:left w:val="nil"/>
              <w:bottom w:val="single" w:sz="4" w:space="0" w:color="auto"/>
              <w:right w:val="single" w:sz="4" w:space="0" w:color="auto"/>
            </w:tcBorders>
            <w:shd w:val="clear" w:color="auto" w:fill="auto"/>
            <w:vAlign w:val="center"/>
            <w:hideMark/>
          </w:tcPr>
          <w:p w14:paraId="795C99B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08186A6" w14:textId="77777777" w:rsidR="00572995" w:rsidRPr="00483EBE" w:rsidRDefault="00572995" w:rsidP="00E8324D">
            <w:pPr>
              <w:pStyle w:val="Tablas"/>
              <w:rPr>
                <w:sz w:val="12"/>
                <w:szCs w:val="12"/>
              </w:rPr>
            </w:pPr>
            <w:r w:rsidRPr="00483EBE">
              <w:rPr>
                <w:sz w:val="12"/>
                <w:szCs w:val="12"/>
              </w:rPr>
              <w:t>SEBD</w:t>
            </w:r>
          </w:p>
        </w:tc>
      </w:tr>
      <w:tr w:rsidR="00572995" w:rsidRPr="00483EBE" w14:paraId="35FCE42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16C1C2"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7813D8D5" w14:textId="77777777" w:rsidR="00572995" w:rsidRPr="00483EBE" w:rsidRDefault="00572995" w:rsidP="00E8324D">
            <w:pPr>
              <w:pStyle w:val="Tablas"/>
              <w:rPr>
                <w:sz w:val="12"/>
                <w:szCs w:val="12"/>
              </w:rPr>
            </w:pPr>
            <w:r w:rsidRPr="00483EBE">
              <w:rPr>
                <w:sz w:val="12"/>
                <w:szCs w:val="12"/>
              </w:rPr>
              <w:t xml:space="preserve">769 </w:t>
            </w:r>
          </w:p>
        </w:tc>
        <w:tc>
          <w:tcPr>
            <w:tcW w:w="0" w:type="auto"/>
            <w:tcBorders>
              <w:top w:val="nil"/>
              <w:left w:val="nil"/>
              <w:bottom w:val="single" w:sz="4" w:space="0" w:color="auto"/>
              <w:right w:val="single" w:sz="4" w:space="0" w:color="auto"/>
            </w:tcBorders>
            <w:shd w:val="clear" w:color="auto" w:fill="auto"/>
            <w:vAlign w:val="center"/>
            <w:hideMark/>
          </w:tcPr>
          <w:p w14:paraId="2C726DC6" w14:textId="77777777" w:rsidR="00572995" w:rsidRPr="00483EBE" w:rsidRDefault="00572995" w:rsidP="00E8324D">
            <w:pPr>
              <w:pStyle w:val="Tablas"/>
              <w:rPr>
                <w:sz w:val="12"/>
                <w:szCs w:val="12"/>
              </w:rPr>
            </w:pPr>
            <w:r w:rsidRPr="00483EBE">
              <w:rPr>
                <w:sz w:val="12"/>
                <w:szCs w:val="12"/>
              </w:rPr>
              <w:t>$2,324,978</w:t>
            </w:r>
          </w:p>
        </w:tc>
        <w:tc>
          <w:tcPr>
            <w:tcW w:w="0" w:type="auto"/>
            <w:tcBorders>
              <w:top w:val="nil"/>
              <w:left w:val="nil"/>
              <w:bottom w:val="single" w:sz="4" w:space="0" w:color="auto"/>
              <w:right w:val="single" w:sz="4" w:space="0" w:color="auto"/>
            </w:tcBorders>
            <w:shd w:val="clear" w:color="auto" w:fill="auto"/>
            <w:vAlign w:val="center"/>
            <w:hideMark/>
          </w:tcPr>
          <w:p w14:paraId="3CEA0B4A" w14:textId="77777777" w:rsidR="00572995" w:rsidRPr="00483EBE" w:rsidRDefault="00572995" w:rsidP="00E8324D">
            <w:pPr>
              <w:pStyle w:val="Tablas"/>
              <w:rPr>
                <w:sz w:val="12"/>
                <w:szCs w:val="12"/>
              </w:rPr>
            </w:pPr>
            <w:r w:rsidRPr="00483EBE">
              <w:rPr>
                <w:sz w:val="12"/>
                <w:szCs w:val="12"/>
              </w:rPr>
              <w:t>$3,023</w:t>
            </w:r>
          </w:p>
        </w:tc>
        <w:tc>
          <w:tcPr>
            <w:tcW w:w="0" w:type="auto"/>
            <w:tcBorders>
              <w:top w:val="nil"/>
              <w:left w:val="nil"/>
              <w:bottom w:val="single" w:sz="4" w:space="0" w:color="auto"/>
              <w:right w:val="single" w:sz="4" w:space="0" w:color="auto"/>
            </w:tcBorders>
            <w:shd w:val="clear" w:color="auto" w:fill="auto"/>
            <w:vAlign w:val="center"/>
            <w:hideMark/>
          </w:tcPr>
          <w:p w14:paraId="79BFDEDC" w14:textId="77777777" w:rsidR="00572995" w:rsidRPr="00483EBE" w:rsidRDefault="00572995" w:rsidP="00E8324D">
            <w:pPr>
              <w:pStyle w:val="Tablas"/>
              <w:rPr>
                <w:sz w:val="12"/>
                <w:szCs w:val="12"/>
              </w:rPr>
            </w:pPr>
            <w:r w:rsidRPr="00483EBE">
              <w:rPr>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50D59AF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DA748C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A0D477"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0603939A" w14:textId="77777777" w:rsidR="00572995" w:rsidRPr="00483EBE" w:rsidRDefault="00572995" w:rsidP="00E8324D">
            <w:pPr>
              <w:pStyle w:val="Tablas"/>
              <w:rPr>
                <w:sz w:val="12"/>
                <w:szCs w:val="12"/>
              </w:rPr>
            </w:pPr>
            <w:r w:rsidRPr="00483EBE">
              <w:rPr>
                <w:sz w:val="12"/>
                <w:szCs w:val="12"/>
              </w:rPr>
              <w:t xml:space="preserve">39 </w:t>
            </w:r>
          </w:p>
        </w:tc>
        <w:tc>
          <w:tcPr>
            <w:tcW w:w="0" w:type="auto"/>
            <w:tcBorders>
              <w:top w:val="nil"/>
              <w:left w:val="nil"/>
              <w:bottom w:val="single" w:sz="4" w:space="0" w:color="auto"/>
              <w:right w:val="single" w:sz="4" w:space="0" w:color="auto"/>
            </w:tcBorders>
            <w:shd w:val="clear" w:color="auto" w:fill="auto"/>
            <w:vAlign w:val="center"/>
            <w:hideMark/>
          </w:tcPr>
          <w:p w14:paraId="52424187" w14:textId="77777777" w:rsidR="00572995" w:rsidRPr="00483EBE" w:rsidRDefault="00572995" w:rsidP="00E8324D">
            <w:pPr>
              <w:pStyle w:val="Tablas"/>
              <w:rPr>
                <w:sz w:val="12"/>
                <w:szCs w:val="12"/>
              </w:rPr>
            </w:pPr>
            <w:r w:rsidRPr="00483EBE">
              <w:rPr>
                <w:sz w:val="12"/>
                <w:szCs w:val="12"/>
              </w:rPr>
              <w:t>$114,726</w:t>
            </w:r>
          </w:p>
        </w:tc>
        <w:tc>
          <w:tcPr>
            <w:tcW w:w="0" w:type="auto"/>
            <w:tcBorders>
              <w:top w:val="nil"/>
              <w:left w:val="nil"/>
              <w:bottom w:val="single" w:sz="4" w:space="0" w:color="auto"/>
              <w:right w:val="single" w:sz="4" w:space="0" w:color="auto"/>
            </w:tcBorders>
            <w:shd w:val="clear" w:color="auto" w:fill="auto"/>
            <w:vAlign w:val="center"/>
            <w:hideMark/>
          </w:tcPr>
          <w:p w14:paraId="52D8B5ED" w14:textId="77777777" w:rsidR="00572995" w:rsidRPr="00483EBE" w:rsidRDefault="00572995" w:rsidP="00E8324D">
            <w:pPr>
              <w:pStyle w:val="Tablas"/>
              <w:rPr>
                <w:sz w:val="12"/>
                <w:szCs w:val="12"/>
              </w:rPr>
            </w:pPr>
            <w:r w:rsidRPr="00483EBE">
              <w:rPr>
                <w:sz w:val="12"/>
                <w:szCs w:val="12"/>
              </w:rPr>
              <w:t>$2,942</w:t>
            </w:r>
          </w:p>
        </w:tc>
        <w:tc>
          <w:tcPr>
            <w:tcW w:w="0" w:type="auto"/>
            <w:tcBorders>
              <w:top w:val="nil"/>
              <w:left w:val="nil"/>
              <w:bottom w:val="single" w:sz="4" w:space="0" w:color="auto"/>
              <w:right w:val="single" w:sz="4" w:space="0" w:color="auto"/>
            </w:tcBorders>
            <w:shd w:val="clear" w:color="auto" w:fill="auto"/>
            <w:vAlign w:val="center"/>
            <w:hideMark/>
          </w:tcPr>
          <w:p w14:paraId="5EC835CA" w14:textId="77777777" w:rsidR="00572995" w:rsidRPr="00483EBE" w:rsidRDefault="00572995" w:rsidP="00E8324D">
            <w:pPr>
              <w:pStyle w:val="Tablas"/>
              <w:rPr>
                <w:sz w:val="12"/>
                <w:szCs w:val="12"/>
              </w:rPr>
            </w:pPr>
            <w:r w:rsidRPr="00483EBE">
              <w:rPr>
                <w:sz w:val="12"/>
                <w:szCs w:val="12"/>
              </w:rPr>
              <w:t>$245</w:t>
            </w:r>
          </w:p>
        </w:tc>
        <w:tc>
          <w:tcPr>
            <w:tcW w:w="0" w:type="auto"/>
            <w:tcBorders>
              <w:top w:val="nil"/>
              <w:left w:val="nil"/>
              <w:bottom w:val="single" w:sz="4" w:space="0" w:color="auto"/>
              <w:right w:val="single" w:sz="4" w:space="0" w:color="auto"/>
            </w:tcBorders>
            <w:shd w:val="clear" w:color="auto" w:fill="auto"/>
            <w:vAlign w:val="center"/>
            <w:hideMark/>
          </w:tcPr>
          <w:p w14:paraId="41C4676A"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6C02FF7" w14:textId="77777777" w:rsidR="00572995" w:rsidRPr="00483EBE" w:rsidRDefault="00572995" w:rsidP="00E8324D">
            <w:pPr>
              <w:pStyle w:val="Tablas"/>
              <w:rPr>
                <w:sz w:val="12"/>
                <w:szCs w:val="12"/>
              </w:rPr>
            </w:pPr>
            <w:r w:rsidRPr="00483EBE">
              <w:rPr>
                <w:sz w:val="12"/>
                <w:szCs w:val="12"/>
              </w:rPr>
              <w:t>SEBD</w:t>
            </w:r>
          </w:p>
        </w:tc>
      </w:tr>
      <w:tr w:rsidR="00572995" w:rsidRPr="00483EBE" w14:paraId="3102D8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C8B82E"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4C4E8FA8" w14:textId="77777777" w:rsidR="00572995" w:rsidRPr="00483EBE" w:rsidRDefault="00572995" w:rsidP="00E8324D">
            <w:pPr>
              <w:pStyle w:val="Tablas"/>
              <w:rPr>
                <w:sz w:val="12"/>
                <w:szCs w:val="12"/>
              </w:rPr>
            </w:pPr>
            <w:r w:rsidRPr="00483EBE">
              <w:rPr>
                <w:sz w:val="12"/>
                <w:szCs w:val="12"/>
              </w:rPr>
              <w:t xml:space="preserve">851 </w:t>
            </w:r>
          </w:p>
        </w:tc>
        <w:tc>
          <w:tcPr>
            <w:tcW w:w="0" w:type="auto"/>
            <w:tcBorders>
              <w:top w:val="nil"/>
              <w:left w:val="nil"/>
              <w:bottom w:val="single" w:sz="4" w:space="0" w:color="auto"/>
              <w:right w:val="single" w:sz="4" w:space="0" w:color="auto"/>
            </w:tcBorders>
            <w:shd w:val="clear" w:color="auto" w:fill="auto"/>
            <w:vAlign w:val="center"/>
            <w:hideMark/>
          </w:tcPr>
          <w:p w14:paraId="7CE9FCCA" w14:textId="77777777" w:rsidR="00572995" w:rsidRPr="00483EBE" w:rsidRDefault="00572995" w:rsidP="00E8324D">
            <w:pPr>
              <w:pStyle w:val="Tablas"/>
              <w:rPr>
                <w:sz w:val="12"/>
                <w:szCs w:val="12"/>
              </w:rPr>
            </w:pPr>
            <w:r w:rsidRPr="00483EBE">
              <w:rPr>
                <w:sz w:val="12"/>
                <w:szCs w:val="12"/>
              </w:rPr>
              <w:t>$2,695,817</w:t>
            </w:r>
          </w:p>
        </w:tc>
        <w:tc>
          <w:tcPr>
            <w:tcW w:w="0" w:type="auto"/>
            <w:tcBorders>
              <w:top w:val="nil"/>
              <w:left w:val="nil"/>
              <w:bottom w:val="single" w:sz="4" w:space="0" w:color="auto"/>
              <w:right w:val="single" w:sz="4" w:space="0" w:color="auto"/>
            </w:tcBorders>
            <w:shd w:val="clear" w:color="auto" w:fill="auto"/>
            <w:vAlign w:val="center"/>
            <w:hideMark/>
          </w:tcPr>
          <w:p w14:paraId="3793CCA4" w14:textId="77777777" w:rsidR="00572995" w:rsidRPr="00483EBE" w:rsidRDefault="00572995" w:rsidP="00E8324D">
            <w:pPr>
              <w:pStyle w:val="Tablas"/>
              <w:rPr>
                <w:sz w:val="12"/>
                <w:szCs w:val="12"/>
              </w:rPr>
            </w:pPr>
            <w:r w:rsidRPr="00483EBE">
              <w:rPr>
                <w:sz w:val="12"/>
                <w:szCs w:val="12"/>
              </w:rPr>
              <w:t>$3,168</w:t>
            </w:r>
          </w:p>
        </w:tc>
        <w:tc>
          <w:tcPr>
            <w:tcW w:w="0" w:type="auto"/>
            <w:tcBorders>
              <w:top w:val="nil"/>
              <w:left w:val="nil"/>
              <w:bottom w:val="single" w:sz="4" w:space="0" w:color="auto"/>
              <w:right w:val="single" w:sz="4" w:space="0" w:color="auto"/>
            </w:tcBorders>
            <w:shd w:val="clear" w:color="auto" w:fill="auto"/>
            <w:vAlign w:val="center"/>
            <w:hideMark/>
          </w:tcPr>
          <w:p w14:paraId="3C1E81C6" w14:textId="77777777" w:rsidR="00572995" w:rsidRPr="00483EBE" w:rsidRDefault="00572995" w:rsidP="00E8324D">
            <w:pPr>
              <w:pStyle w:val="Tablas"/>
              <w:rPr>
                <w:sz w:val="12"/>
                <w:szCs w:val="12"/>
              </w:rPr>
            </w:pPr>
            <w:r w:rsidRPr="00483EBE">
              <w:rPr>
                <w:sz w:val="12"/>
                <w:szCs w:val="12"/>
              </w:rPr>
              <w:t>$264</w:t>
            </w:r>
          </w:p>
        </w:tc>
        <w:tc>
          <w:tcPr>
            <w:tcW w:w="0" w:type="auto"/>
            <w:tcBorders>
              <w:top w:val="nil"/>
              <w:left w:val="nil"/>
              <w:bottom w:val="single" w:sz="4" w:space="0" w:color="auto"/>
              <w:right w:val="single" w:sz="4" w:space="0" w:color="auto"/>
            </w:tcBorders>
            <w:shd w:val="clear" w:color="auto" w:fill="auto"/>
            <w:vAlign w:val="center"/>
            <w:hideMark/>
          </w:tcPr>
          <w:p w14:paraId="79656CB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309400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4EA8E15"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45599C49"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19CD8280" w14:textId="77777777" w:rsidR="00572995" w:rsidRPr="00483EBE" w:rsidRDefault="00572995" w:rsidP="00E8324D">
            <w:pPr>
              <w:pStyle w:val="Tablas"/>
              <w:rPr>
                <w:sz w:val="12"/>
                <w:szCs w:val="12"/>
              </w:rPr>
            </w:pPr>
            <w:r w:rsidRPr="00483EBE">
              <w:rPr>
                <w:sz w:val="12"/>
                <w:szCs w:val="12"/>
              </w:rPr>
              <w:t>$112,779</w:t>
            </w:r>
          </w:p>
        </w:tc>
        <w:tc>
          <w:tcPr>
            <w:tcW w:w="0" w:type="auto"/>
            <w:tcBorders>
              <w:top w:val="nil"/>
              <w:left w:val="nil"/>
              <w:bottom w:val="single" w:sz="4" w:space="0" w:color="auto"/>
              <w:right w:val="single" w:sz="4" w:space="0" w:color="auto"/>
            </w:tcBorders>
            <w:shd w:val="clear" w:color="auto" w:fill="auto"/>
            <w:vAlign w:val="center"/>
            <w:hideMark/>
          </w:tcPr>
          <w:p w14:paraId="7C142424" w14:textId="77777777" w:rsidR="00572995" w:rsidRPr="00483EBE" w:rsidRDefault="00572995" w:rsidP="00E8324D">
            <w:pPr>
              <w:pStyle w:val="Tablas"/>
              <w:rPr>
                <w:sz w:val="12"/>
                <w:szCs w:val="12"/>
              </w:rPr>
            </w:pPr>
            <w:r w:rsidRPr="00483EBE">
              <w:rPr>
                <w:sz w:val="12"/>
                <w:szCs w:val="12"/>
              </w:rPr>
              <w:t>$3,418</w:t>
            </w:r>
          </w:p>
        </w:tc>
        <w:tc>
          <w:tcPr>
            <w:tcW w:w="0" w:type="auto"/>
            <w:tcBorders>
              <w:top w:val="nil"/>
              <w:left w:val="nil"/>
              <w:bottom w:val="single" w:sz="4" w:space="0" w:color="auto"/>
              <w:right w:val="single" w:sz="4" w:space="0" w:color="auto"/>
            </w:tcBorders>
            <w:shd w:val="clear" w:color="auto" w:fill="auto"/>
            <w:vAlign w:val="center"/>
            <w:hideMark/>
          </w:tcPr>
          <w:p w14:paraId="2BBB6966" w14:textId="77777777" w:rsidR="00572995" w:rsidRPr="00483EBE" w:rsidRDefault="00572995" w:rsidP="00E8324D">
            <w:pPr>
              <w:pStyle w:val="Tablas"/>
              <w:rPr>
                <w:sz w:val="12"/>
                <w:szCs w:val="12"/>
              </w:rPr>
            </w:pPr>
            <w:r w:rsidRPr="00483EBE">
              <w:rPr>
                <w:sz w:val="12"/>
                <w:szCs w:val="12"/>
              </w:rPr>
              <w:t>$285</w:t>
            </w:r>
          </w:p>
        </w:tc>
        <w:tc>
          <w:tcPr>
            <w:tcW w:w="0" w:type="auto"/>
            <w:tcBorders>
              <w:top w:val="nil"/>
              <w:left w:val="nil"/>
              <w:bottom w:val="single" w:sz="4" w:space="0" w:color="auto"/>
              <w:right w:val="single" w:sz="4" w:space="0" w:color="auto"/>
            </w:tcBorders>
            <w:shd w:val="clear" w:color="auto" w:fill="auto"/>
            <w:vAlign w:val="center"/>
            <w:hideMark/>
          </w:tcPr>
          <w:p w14:paraId="4FC72C5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6FC1D75" w14:textId="77777777" w:rsidR="00572995" w:rsidRPr="00483EBE" w:rsidRDefault="00572995" w:rsidP="00E8324D">
            <w:pPr>
              <w:pStyle w:val="Tablas"/>
              <w:rPr>
                <w:sz w:val="12"/>
                <w:szCs w:val="12"/>
              </w:rPr>
            </w:pPr>
            <w:r w:rsidRPr="00483EBE">
              <w:rPr>
                <w:sz w:val="12"/>
                <w:szCs w:val="12"/>
              </w:rPr>
              <w:t>SEBD</w:t>
            </w:r>
          </w:p>
        </w:tc>
      </w:tr>
      <w:tr w:rsidR="00572995" w:rsidRPr="00483EBE" w14:paraId="4EC85A2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5484074"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4FDD8BDD" w14:textId="77777777" w:rsidR="00572995" w:rsidRPr="00483EBE" w:rsidRDefault="00572995" w:rsidP="00E8324D">
            <w:pPr>
              <w:pStyle w:val="Tablas"/>
              <w:rPr>
                <w:sz w:val="12"/>
                <w:szCs w:val="12"/>
              </w:rPr>
            </w:pPr>
            <w:r w:rsidRPr="00483EBE">
              <w:rPr>
                <w:sz w:val="12"/>
                <w:szCs w:val="12"/>
              </w:rPr>
              <w:t xml:space="preserve">833 </w:t>
            </w:r>
          </w:p>
        </w:tc>
        <w:tc>
          <w:tcPr>
            <w:tcW w:w="0" w:type="auto"/>
            <w:tcBorders>
              <w:top w:val="nil"/>
              <w:left w:val="nil"/>
              <w:bottom w:val="single" w:sz="4" w:space="0" w:color="auto"/>
              <w:right w:val="single" w:sz="4" w:space="0" w:color="auto"/>
            </w:tcBorders>
            <w:shd w:val="clear" w:color="auto" w:fill="auto"/>
            <w:vAlign w:val="center"/>
            <w:hideMark/>
          </w:tcPr>
          <w:p w14:paraId="014B8271" w14:textId="77777777" w:rsidR="00572995" w:rsidRPr="00483EBE" w:rsidRDefault="00572995" w:rsidP="00E8324D">
            <w:pPr>
              <w:pStyle w:val="Tablas"/>
              <w:rPr>
                <w:sz w:val="12"/>
                <w:szCs w:val="12"/>
              </w:rPr>
            </w:pPr>
            <w:r w:rsidRPr="00483EBE">
              <w:rPr>
                <w:sz w:val="12"/>
                <w:szCs w:val="12"/>
              </w:rPr>
              <w:t>$2,594,305</w:t>
            </w:r>
          </w:p>
        </w:tc>
        <w:tc>
          <w:tcPr>
            <w:tcW w:w="0" w:type="auto"/>
            <w:tcBorders>
              <w:top w:val="nil"/>
              <w:left w:val="nil"/>
              <w:bottom w:val="single" w:sz="4" w:space="0" w:color="auto"/>
              <w:right w:val="single" w:sz="4" w:space="0" w:color="auto"/>
            </w:tcBorders>
            <w:shd w:val="clear" w:color="auto" w:fill="auto"/>
            <w:vAlign w:val="center"/>
            <w:hideMark/>
          </w:tcPr>
          <w:p w14:paraId="48D7E4C5" w14:textId="77777777" w:rsidR="00572995" w:rsidRPr="00483EBE" w:rsidRDefault="00572995" w:rsidP="00E8324D">
            <w:pPr>
              <w:pStyle w:val="Tablas"/>
              <w:rPr>
                <w:sz w:val="12"/>
                <w:szCs w:val="12"/>
              </w:rPr>
            </w:pPr>
            <w:r w:rsidRPr="00483EBE">
              <w:rPr>
                <w:sz w:val="12"/>
                <w:szCs w:val="12"/>
              </w:rPr>
              <w:t>$3,114</w:t>
            </w:r>
          </w:p>
        </w:tc>
        <w:tc>
          <w:tcPr>
            <w:tcW w:w="0" w:type="auto"/>
            <w:tcBorders>
              <w:top w:val="nil"/>
              <w:left w:val="nil"/>
              <w:bottom w:val="single" w:sz="4" w:space="0" w:color="auto"/>
              <w:right w:val="single" w:sz="4" w:space="0" w:color="auto"/>
            </w:tcBorders>
            <w:shd w:val="clear" w:color="auto" w:fill="auto"/>
            <w:vAlign w:val="center"/>
            <w:hideMark/>
          </w:tcPr>
          <w:p w14:paraId="1D702A7E"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731AE94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A7544C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DB7DDA"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1277D097" w14:textId="77777777" w:rsidR="00572995" w:rsidRPr="00483EBE" w:rsidRDefault="00572995" w:rsidP="00E8324D">
            <w:pPr>
              <w:pStyle w:val="Tablas"/>
              <w:rPr>
                <w:sz w:val="12"/>
                <w:szCs w:val="12"/>
              </w:rPr>
            </w:pPr>
            <w:r w:rsidRPr="00483EBE">
              <w:rPr>
                <w:sz w:val="12"/>
                <w:szCs w:val="12"/>
              </w:rPr>
              <w:t xml:space="preserve">39 </w:t>
            </w:r>
          </w:p>
        </w:tc>
        <w:tc>
          <w:tcPr>
            <w:tcW w:w="0" w:type="auto"/>
            <w:tcBorders>
              <w:top w:val="nil"/>
              <w:left w:val="nil"/>
              <w:bottom w:val="single" w:sz="4" w:space="0" w:color="auto"/>
              <w:right w:val="single" w:sz="4" w:space="0" w:color="auto"/>
            </w:tcBorders>
            <w:shd w:val="clear" w:color="auto" w:fill="auto"/>
            <w:vAlign w:val="center"/>
            <w:hideMark/>
          </w:tcPr>
          <w:p w14:paraId="1989F3C5" w14:textId="77777777" w:rsidR="00572995" w:rsidRPr="00483EBE" w:rsidRDefault="00572995" w:rsidP="00E8324D">
            <w:pPr>
              <w:pStyle w:val="Tablas"/>
              <w:rPr>
                <w:sz w:val="12"/>
                <w:szCs w:val="12"/>
              </w:rPr>
            </w:pPr>
            <w:r w:rsidRPr="00483EBE">
              <w:rPr>
                <w:sz w:val="12"/>
                <w:szCs w:val="12"/>
              </w:rPr>
              <w:t>$153,636</w:t>
            </w:r>
          </w:p>
        </w:tc>
        <w:tc>
          <w:tcPr>
            <w:tcW w:w="0" w:type="auto"/>
            <w:tcBorders>
              <w:top w:val="nil"/>
              <w:left w:val="nil"/>
              <w:bottom w:val="single" w:sz="4" w:space="0" w:color="auto"/>
              <w:right w:val="single" w:sz="4" w:space="0" w:color="auto"/>
            </w:tcBorders>
            <w:shd w:val="clear" w:color="auto" w:fill="auto"/>
            <w:vAlign w:val="center"/>
            <w:hideMark/>
          </w:tcPr>
          <w:p w14:paraId="5C5987E9" w14:textId="77777777" w:rsidR="00572995" w:rsidRPr="00483EBE" w:rsidRDefault="00572995" w:rsidP="00E8324D">
            <w:pPr>
              <w:pStyle w:val="Tablas"/>
              <w:rPr>
                <w:sz w:val="12"/>
                <w:szCs w:val="12"/>
              </w:rPr>
            </w:pPr>
            <w:r w:rsidRPr="00483EBE">
              <w:rPr>
                <w:sz w:val="12"/>
                <w:szCs w:val="12"/>
              </w:rPr>
              <w:t>$3,939</w:t>
            </w:r>
          </w:p>
        </w:tc>
        <w:tc>
          <w:tcPr>
            <w:tcW w:w="0" w:type="auto"/>
            <w:tcBorders>
              <w:top w:val="nil"/>
              <w:left w:val="nil"/>
              <w:bottom w:val="single" w:sz="4" w:space="0" w:color="auto"/>
              <w:right w:val="single" w:sz="4" w:space="0" w:color="auto"/>
            </w:tcBorders>
            <w:shd w:val="clear" w:color="auto" w:fill="auto"/>
            <w:vAlign w:val="center"/>
            <w:hideMark/>
          </w:tcPr>
          <w:p w14:paraId="71BFCA16" w14:textId="77777777" w:rsidR="00572995" w:rsidRPr="00483EBE" w:rsidRDefault="00572995" w:rsidP="00E8324D">
            <w:pPr>
              <w:pStyle w:val="Tablas"/>
              <w:rPr>
                <w:sz w:val="12"/>
                <w:szCs w:val="12"/>
              </w:rPr>
            </w:pPr>
            <w:r w:rsidRPr="00483EBE">
              <w:rPr>
                <w:sz w:val="12"/>
                <w:szCs w:val="12"/>
              </w:rPr>
              <w:t>$328</w:t>
            </w:r>
          </w:p>
        </w:tc>
        <w:tc>
          <w:tcPr>
            <w:tcW w:w="0" w:type="auto"/>
            <w:tcBorders>
              <w:top w:val="nil"/>
              <w:left w:val="nil"/>
              <w:bottom w:val="single" w:sz="4" w:space="0" w:color="auto"/>
              <w:right w:val="single" w:sz="4" w:space="0" w:color="auto"/>
            </w:tcBorders>
            <w:shd w:val="clear" w:color="auto" w:fill="auto"/>
            <w:vAlign w:val="center"/>
            <w:hideMark/>
          </w:tcPr>
          <w:p w14:paraId="65B8A30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7533941" w14:textId="77777777" w:rsidR="00572995" w:rsidRPr="00483EBE" w:rsidRDefault="00572995" w:rsidP="00E8324D">
            <w:pPr>
              <w:pStyle w:val="Tablas"/>
              <w:rPr>
                <w:sz w:val="12"/>
                <w:szCs w:val="12"/>
              </w:rPr>
            </w:pPr>
            <w:r w:rsidRPr="00483EBE">
              <w:rPr>
                <w:sz w:val="12"/>
                <w:szCs w:val="12"/>
              </w:rPr>
              <w:t>SEBD</w:t>
            </w:r>
          </w:p>
        </w:tc>
      </w:tr>
      <w:tr w:rsidR="00572995" w:rsidRPr="00483EBE" w14:paraId="64017EE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37D84B"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3471A9B0" w14:textId="77777777" w:rsidR="00572995" w:rsidRPr="00483EBE" w:rsidRDefault="00572995" w:rsidP="00E8324D">
            <w:pPr>
              <w:pStyle w:val="Tablas"/>
              <w:rPr>
                <w:sz w:val="12"/>
                <w:szCs w:val="12"/>
              </w:rPr>
            </w:pPr>
            <w:r w:rsidRPr="00483EBE">
              <w:rPr>
                <w:sz w:val="12"/>
                <w:szCs w:val="12"/>
              </w:rPr>
              <w:t xml:space="preserve">891 </w:t>
            </w:r>
          </w:p>
        </w:tc>
        <w:tc>
          <w:tcPr>
            <w:tcW w:w="0" w:type="auto"/>
            <w:tcBorders>
              <w:top w:val="nil"/>
              <w:left w:val="nil"/>
              <w:bottom w:val="single" w:sz="4" w:space="0" w:color="auto"/>
              <w:right w:val="single" w:sz="4" w:space="0" w:color="auto"/>
            </w:tcBorders>
            <w:shd w:val="clear" w:color="auto" w:fill="auto"/>
            <w:vAlign w:val="center"/>
            <w:hideMark/>
          </w:tcPr>
          <w:p w14:paraId="078782E8" w14:textId="77777777" w:rsidR="00572995" w:rsidRPr="00483EBE" w:rsidRDefault="00572995" w:rsidP="00E8324D">
            <w:pPr>
              <w:pStyle w:val="Tablas"/>
              <w:rPr>
                <w:sz w:val="12"/>
                <w:szCs w:val="12"/>
              </w:rPr>
            </w:pPr>
            <w:r w:rsidRPr="00483EBE">
              <w:rPr>
                <w:sz w:val="12"/>
                <w:szCs w:val="12"/>
              </w:rPr>
              <w:t>$2,810,821</w:t>
            </w:r>
          </w:p>
        </w:tc>
        <w:tc>
          <w:tcPr>
            <w:tcW w:w="0" w:type="auto"/>
            <w:tcBorders>
              <w:top w:val="nil"/>
              <w:left w:val="nil"/>
              <w:bottom w:val="single" w:sz="4" w:space="0" w:color="auto"/>
              <w:right w:val="single" w:sz="4" w:space="0" w:color="auto"/>
            </w:tcBorders>
            <w:shd w:val="clear" w:color="auto" w:fill="auto"/>
            <w:vAlign w:val="center"/>
            <w:hideMark/>
          </w:tcPr>
          <w:p w14:paraId="74B5BA12" w14:textId="77777777" w:rsidR="00572995" w:rsidRPr="00483EBE" w:rsidRDefault="00572995" w:rsidP="00E8324D">
            <w:pPr>
              <w:pStyle w:val="Tablas"/>
              <w:rPr>
                <w:sz w:val="12"/>
                <w:szCs w:val="12"/>
              </w:rPr>
            </w:pPr>
            <w:r w:rsidRPr="00483EBE">
              <w:rPr>
                <w:sz w:val="12"/>
                <w:szCs w:val="12"/>
              </w:rPr>
              <w:t>$3,155</w:t>
            </w:r>
          </w:p>
        </w:tc>
        <w:tc>
          <w:tcPr>
            <w:tcW w:w="0" w:type="auto"/>
            <w:tcBorders>
              <w:top w:val="nil"/>
              <w:left w:val="nil"/>
              <w:bottom w:val="single" w:sz="4" w:space="0" w:color="auto"/>
              <w:right w:val="single" w:sz="4" w:space="0" w:color="auto"/>
            </w:tcBorders>
            <w:shd w:val="clear" w:color="auto" w:fill="auto"/>
            <w:vAlign w:val="center"/>
            <w:hideMark/>
          </w:tcPr>
          <w:p w14:paraId="7AB042CA"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56FF422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998EA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A7627CE"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41E1BA51" w14:textId="77777777" w:rsidR="00572995" w:rsidRPr="00483EBE" w:rsidRDefault="00572995" w:rsidP="00E8324D">
            <w:pPr>
              <w:pStyle w:val="Tablas"/>
              <w:rPr>
                <w:sz w:val="12"/>
                <w:szCs w:val="12"/>
              </w:rPr>
            </w:pPr>
            <w:r w:rsidRPr="00483EBE">
              <w:rPr>
                <w:sz w:val="12"/>
                <w:szCs w:val="12"/>
              </w:rPr>
              <w:t xml:space="preserve">50 </w:t>
            </w:r>
          </w:p>
        </w:tc>
        <w:tc>
          <w:tcPr>
            <w:tcW w:w="0" w:type="auto"/>
            <w:tcBorders>
              <w:top w:val="nil"/>
              <w:left w:val="nil"/>
              <w:bottom w:val="single" w:sz="4" w:space="0" w:color="auto"/>
              <w:right w:val="single" w:sz="4" w:space="0" w:color="auto"/>
            </w:tcBorders>
            <w:shd w:val="clear" w:color="auto" w:fill="auto"/>
            <w:vAlign w:val="center"/>
            <w:hideMark/>
          </w:tcPr>
          <w:p w14:paraId="0BB57CE9" w14:textId="77777777" w:rsidR="00572995" w:rsidRPr="00483EBE" w:rsidRDefault="00572995" w:rsidP="00E8324D">
            <w:pPr>
              <w:pStyle w:val="Tablas"/>
              <w:rPr>
                <w:sz w:val="12"/>
                <w:szCs w:val="12"/>
              </w:rPr>
            </w:pPr>
            <w:r w:rsidRPr="00483EBE">
              <w:rPr>
                <w:sz w:val="12"/>
                <w:szCs w:val="12"/>
              </w:rPr>
              <w:t>$171,450</w:t>
            </w:r>
          </w:p>
        </w:tc>
        <w:tc>
          <w:tcPr>
            <w:tcW w:w="0" w:type="auto"/>
            <w:tcBorders>
              <w:top w:val="nil"/>
              <w:left w:val="nil"/>
              <w:bottom w:val="single" w:sz="4" w:space="0" w:color="auto"/>
              <w:right w:val="single" w:sz="4" w:space="0" w:color="auto"/>
            </w:tcBorders>
            <w:shd w:val="clear" w:color="auto" w:fill="auto"/>
            <w:vAlign w:val="center"/>
            <w:hideMark/>
          </w:tcPr>
          <w:p w14:paraId="4C85B50F" w14:textId="77777777" w:rsidR="00572995" w:rsidRPr="00483EBE" w:rsidRDefault="00572995" w:rsidP="00E8324D">
            <w:pPr>
              <w:pStyle w:val="Tablas"/>
              <w:rPr>
                <w:sz w:val="12"/>
                <w:szCs w:val="12"/>
              </w:rPr>
            </w:pPr>
            <w:r w:rsidRPr="00483EBE">
              <w:rPr>
                <w:sz w:val="12"/>
                <w:szCs w:val="12"/>
              </w:rPr>
              <w:t>$3,429</w:t>
            </w:r>
          </w:p>
        </w:tc>
        <w:tc>
          <w:tcPr>
            <w:tcW w:w="0" w:type="auto"/>
            <w:tcBorders>
              <w:top w:val="nil"/>
              <w:left w:val="nil"/>
              <w:bottom w:val="single" w:sz="4" w:space="0" w:color="auto"/>
              <w:right w:val="single" w:sz="4" w:space="0" w:color="auto"/>
            </w:tcBorders>
            <w:shd w:val="clear" w:color="auto" w:fill="auto"/>
            <w:vAlign w:val="center"/>
            <w:hideMark/>
          </w:tcPr>
          <w:p w14:paraId="407FE60D" w14:textId="77777777" w:rsidR="00572995" w:rsidRPr="00483EBE" w:rsidRDefault="00572995" w:rsidP="00E8324D">
            <w:pPr>
              <w:pStyle w:val="Tablas"/>
              <w:rPr>
                <w:sz w:val="12"/>
                <w:szCs w:val="12"/>
              </w:rPr>
            </w:pPr>
            <w:r w:rsidRPr="00483EBE">
              <w:rPr>
                <w:sz w:val="12"/>
                <w:szCs w:val="12"/>
              </w:rPr>
              <w:t>$286</w:t>
            </w:r>
          </w:p>
        </w:tc>
        <w:tc>
          <w:tcPr>
            <w:tcW w:w="0" w:type="auto"/>
            <w:tcBorders>
              <w:top w:val="nil"/>
              <w:left w:val="nil"/>
              <w:bottom w:val="single" w:sz="4" w:space="0" w:color="auto"/>
              <w:right w:val="single" w:sz="4" w:space="0" w:color="auto"/>
            </w:tcBorders>
            <w:shd w:val="clear" w:color="auto" w:fill="auto"/>
            <w:vAlign w:val="center"/>
            <w:hideMark/>
          </w:tcPr>
          <w:p w14:paraId="05A9664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EC483CF" w14:textId="77777777" w:rsidR="00572995" w:rsidRPr="00483EBE" w:rsidRDefault="00572995" w:rsidP="00E8324D">
            <w:pPr>
              <w:pStyle w:val="Tablas"/>
              <w:rPr>
                <w:sz w:val="12"/>
                <w:szCs w:val="12"/>
              </w:rPr>
            </w:pPr>
            <w:r w:rsidRPr="00483EBE">
              <w:rPr>
                <w:sz w:val="12"/>
                <w:szCs w:val="12"/>
              </w:rPr>
              <w:t>SEBD</w:t>
            </w:r>
          </w:p>
        </w:tc>
      </w:tr>
      <w:tr w:rsidR="00572995" w:rsidRPr="00483EBE" w14:paraId="336E12B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6D600C"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70A6BD4" w14:textId="77777777" w:rsidR="00572995" w:rsidRPr="00483EBE" w:rsidRDefault="00572995" w:rsidP="00E8324D">
            <w:pPr>
              <w:pStyle w:val="Tablas"/>
              <w:rPr>
                <w:sz w:val="12"/>
                <w:szCs w:val="12"/>
              </w:rPr>
            </w:pPr>
            <w:r w:rsidRPr="00483EBE">
              <w:rPr>
                <w:sz w:val="12"/>
                <w:szCs w:val="12"/>
              </w:rPr>
              <w:t xml:space="preserve">923 </w:t>
            </w:r>
          </w:p>
        </w:tc>
        <w:tc>
          <w:tcPr>
            <w:tcW w:w="0" w:type="auto"/>
            <w:tcBorders>
              <w:top w:val="nil"/>
              <w:left w:val="nil"/>
              <w:bottom w:val="single" w:sz="4" w:space="0" w:color="auto"/>
              <w:right w:val="single" w:sz="4" w:space="0" w:color="auto"/>
            </w:tcBorders>
            <w:shd w:val="clear" w:color="auto" w:fill="auto"/>
            <w:vAlign w:val="center"/>
            <w:hideMark/>
          </w:tcPr>
          <w:p w14:paraId="35D751B9" w14:textId="77777777" w:rsidR="00572995" w:rsidRPr="00483EBE" w:rsidRDefault="00572995" w:rsidP="00E8324D">
            <w:pPr>
              <w:pStyle w:val="Tablas"/>
              <w:rPr>
                <w:sz w:val="12"/>
                <w:szCs w:val="12"/>
              </w:rPr>
            </w:pPr>
            <w:r w:rsidRPr="00483EBE">
              <w:rPr>
                <w:sz w:val="12"/>
                <w:szCs w:val="12"/>
              </w:rPr>
              <w:t>$2,803,096</w:t>
            </w:r>
          </w:p>
        </w:tc>
        <w:tc>
          <w:tcPr>
            <w:tcW w:w="0" w:type="auto"/>
            <w:tcBorders>
              <w:top w:val="nil"/>
              <w:left w:val="nil"/>
              <w:bottom w:val="single" w:sz="4" w:space="0" w:color="auto"/>
              <w:right w:val="single" w:sz="4" w:space="0" w:color="auto"/>
            </w:tcBorders>
            <w:shd w:val="clear" w:color="auto" w:fill="auto"/>
            <w:vAlign w:val="center"/>
            <w:hideMark/>
          </w:tcPr>
          <w:p w14:paraId="2066F868" w14:textId="77777777" w:rsidR="00572995" w:rsidRPr="00483EBE" w:rsidRDefault="00572995" w:rsidP="00E8324D">
            <w:pPr>
              <w:pStyle w:val="Tablas"/>
              <w:rPr>
                <w:sz w:val="12"/>
                <w:szCs w:val="12"/>
              </w:rPr>
            </w:pPr>
            <w:r w:rsidRPr="00483EBE">
              <w:rPr>
                <w:sz w:val="12"/>
                <w:szCs w:val="12"/>
              </w:rPr>
              <w:t>$3,037</w:t>
            </w:r>
          </w:p>
        </w:tc>
        <w:tc>
          <w:tcPr>
            <w:tcW w:w="0" w:type="auto"/>
            <w:tcBorders>
              <w:top w:val="nil"/>
              <w:left w:val="nil"/>
              <w:bottom w:val="single" w:sz="4" w:space="0" w:color="auto"/>
              <w:right w:val="single" w:sz="4" w:space="0" w:color="auto"/>
            </w:tcBorders>
            <w:shd w:val="clear" w:color="auto" w:fill="auto"/>
            <w:vAlign w:val="center"/>
            <w:hideMark/>
          </w:tcPr>
          <w:p w14:paraId="29546B39"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26A2417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9B5A72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8DA5CDC"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3C2927A8" w14:textId="77777777" w:rsidR="00572995" w:rsidRPr="00483EBE" w:rsidRDefault="00572995" w:rsidP="00E8324D">
            <w:pPr>
              <w:pStyle w:val="Tablas"/>
              <w:rPr>
                <w:sz w:val="12"/>
                <w:szCs w:val="12"/>
              </w:rPr>
            </w:pPr>
            <w:r w:rsidRPr="00483EBE">
              <w:rPr>
                <w:sz w:val="12"/>
                <w:szCs w:val="12"/>
              </w:rPr>
              <w:t xml:space="preserve">44 </w:t>
            </w:r>
          </w:p>
        </w:tc>
        <w:tc>
          <w:tcPr>
            <w:tcW w:w="0" w:type="auto"/>
            <w:tcBorders>
              <w:top w:val="nil"/>
              <w:left w:val="nil"/>
              <w:bottom w:val="single" w:sz="4" w:space="0" w:color="auto"/>
              <w:right w:val="single" w:sz="4" w:space="0" w:color="auto"/>
            </w:tcBorders>
            <w:shd w:val="clear" w:color="auto" w:fill="auto"/>
            <w:vAlign w:val="center"/>
            <w:hideMark/>
          </w:tcPr>
          <w:p w14:paraId="11E339AA" w14:textId="77777777" w:rsidR="00572995" w:rsidRPr="00483EBE" w:rsidRDefault="00572995" w:rsidP="00E8324D">
            <w:pPr>
              <w:pStyle w:val="Tablas"/>
              <w:rPr>
                <w:sz w:val="12"/>
                <w:szCs w:val="12"/>
              </w:rPr>
            </w:pPr>
            <w:r w:rsidRPr="00483EBE">
              <w:rPr>
                <w:sz w:val="12"/>
                <w:szCs w:val="12"/>
              </w:rPr>
              <w:t>$159,075</w:t>
            </w:r>
          </w:p>
        </w:tc>
        <w:tc>
          <w:tcPr>
            <w:tcW w:w="0" w:type="auto"/>
            <w:tcBorders>
              <w:top w:val="nil"/>
              <w:left w:val="nil"/>
              <w:bottom w:val="single" w:sz="4" w:space="0" w:color="auto"/>
              <w:right w:val="single" w:sz="4" w:space="0" w:color="auto"/>
            </w:tcBorders>
            <w:shd w:val="clear" w:color="auto" w:fill="auto"/>
            <w:vAlign w:val="center"/>
            <w:hideMark/>
          </w:tcPr>
          <w:p w14:paraId="5527FC3C" w14:textId="77777777" w:rsidR="00572995" w:rsidRPr="00483EBE" w:rsidRDefault="00572995" w:rsidP="00E8324D">
            <w:pPr>
              <w:pStyle w:val="Tablas"/>
              <w:rPr>
                <w:sz w:val="12"/>
                <w:szCs w:val="12"/>
              </w:rPr>
            </w:pPr>
            <w:r w:rsidRPr="00483EBE">
              <w:rPr>
                <w:sz w:val="12"/>
                <w:szCs w:val="12"/>
              </w:rPr>
              <w:t>$3,615</w:t>
            </w:r>
          </w:p>
        </w:tc>
        <w:tc>
          <w:tcPr>
            <w:tcW w:w="0" w:type="auto"/>
            <w:tcBorders>
              <w:top w:val="nil"/>
              <w:left w:val="nil"/>
              <w:bottom w:val="single" w:sz="4" w:space="0" w:color="auto"/>
              <w:right w:val="single" w:sz="4" w:space="0" w:color="auto"/>
            </w:tcBorders>
            <w:shd w:val="clear" w:color="auto" w:fill="auto"/>
            <w:vAlign w:val="center"/>
            <w:hideMark/>
          </w:tcPr>
          <w:p w14:paraId="7A045C97" w14:textId="77777777" w:rsidR="00572995" w:rsidRPr="00483EBE" w:rsidRDefault="00572995" w:rsidP="00E8324D">
            <w:pPr>
              <w:pStyle w:val="Tablas"/>
              <w:rPr>
                <w:sz w:val="12"/>
                <w:szCs w:val="12"/>
              </w:rPr>
            </w:pPr>
            <w:r w:rsidRPr="00483EBE">
              <w:rPr>
                <w:sz w:val="12"/>
                <w:szCs w:val="12"/>
              </w:rPr>
              <w:t>$301</w:t>
            </w:r>
          </w:p>
        </w:tc>
        <w:tc>
          <w:tcPr>
            <w:tcW w:w="0" w:type="auto"/>
            <w:tcBorders>
              <w:top w:val="nil"/>
              <w:left w:val="nil"/>
              <w:bottom w:val="single" w:sz="4" w:space="0" w:color="auto"/>
              <w:right w:val="single" w:sz="4" w:space="0" w:color="auto"/>
            </w:tcBorders>
            <w:shd w:val="clear" w:color="auto" w:fill="auto"/>
            <w:vAlign w:val="center"/>
            <w:hideMark/>
          </w:tcPr>
          <w:p w14:paraId="1461020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8983D21" w14:textId="77777777" w:rsidR="00572995" w:rsidRPr="00483EBE" w:rsidRDefault="00572995" w:rsidP="00E8324D">
            <w:pPr>
              <w:pStyle w:val="Tablas"/>
              <w:rPr>
                <w:sz w:val="12"/>
                <w:szCs w:val="12"/>
              </w:rPr>
            </w:pPr>
            <w:r w:rsidRPr="00483EBE">
              <w:rPr>
                <w:sz w:val="12"/>
                <w:szCs w:val="12"/>
              </w:rPr>
              <w:t>SEBD</w:t>
            </w:r>
          </w:p>
        </w:tc>
      </w:tr>
      <w:tr w:rsidR="00572995" w:rsidRPr="00483EBE" w14:paraId="74E24C2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0D12717"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2D555B4" w14:textId="77777777" w:rsidR="00572995" w:rsidRPr="00483EBE" w:rsidRDefault="00572995" w:rsidP="00E8324D">
            <w:pPr>
              <w:pStyle w:val="Tablas"/>
              <w:rPr>
                <w:sz w:val="12"/>
                <w:szCs w:val="12"/>
              </w:rPr>
            </w:pPr>
            <w:r w:rsidRPr="00483EBE">
              <w:rPr>
                <w:sz w:val="12"/>
                <w:szCs w:val="12"/>
              </w:rPr>
              <w:t xml:space="preserve">917 </w:t>
            </w:r>
          </w:p>
        </w:tc>
        <w:tc>
          <w:tcPr>
            <w:tcW w:w="0" w:type="auto"/>
            <w:tcBorders>
              <w:top w:val="nil"/>
              <w:left w:val="nil"/>
              <w:bottom w:val="single" w:sz="4" w:space="0" w:color="auto"/>
              <w:right w:val="single" w:sz="4" w:space="0" w:color="auto"/>
            </w:tcBorders>
            <w:shd w:val="clear" w:color="auto" w:fill="auto"/>
            <w:vAlign w:val="center"/>
            <w:hideMark/>
          </w:tcPr>
          <w:p w14:paraId="1D45A4A6" w14:textId="77777777" w:rsidR="00572995" w:rsidRPr="00483EBE" w:rsidRDefault="00572995" w:rsidP="00E8324D">
            <w:pPr>
              <w:pStyle w:val="Tablas"/>
              <w:rPr>
                <w:sz w:val="12"/>
                <w:szCs w:val="12"/>
              </w:rPr>
            </w:pPr>
            <w:r w:rsidRPr="00483EBE">
              <w:rPr>
                <w:sz w:val="12"/>
                <w:szCs w:val="12"/>
              </w:rPr>
              <w:t>$2,714,636</w:t>
            </w:r>
          </w:p>
        </w:tc>
        <w:tc>
          <w:tcPr>
            <w:tcW w:w="0" w:type="auto"/>
            <w:tcBorders>
              <w:top w:val="nil"/>
              <w:left w:val="nil"/>
              <w:bottom w:val="single" w:sz="4" w:space="0" w:color="auto"/>
              <w:right w:val="single" w:sz="4" w:space="0" w:color="auto"/>
            </w:tcBorders>
            <w:shd w:val="clear" w:color="auto" w:fill="auto"/>
            <w:vAlign w:val="center"/>
            <w:hideMark/>
          </w:tcPr>
          <w:p w14:paraId="13CA2802" w14:textId="77777777" w:rsidR="00572995" w:rsidRPr="00483EBE" w:rsidRDefault="00572995" w:rsidP="00E8324D">
            <w:pPr>
              <w:pStyle w:val="Tablas"/>
              <w:rPr>
                <w:sz w:val="12"/>
                <w:szCs w:val="12"/>
              </w:rPr>
            </w:pPr>
            <w:r w:rsidRPr="00483EBE">
              <w:rPr>
                <w:sz w:val="12"/>
                <w:szCs w:val="12"/>
              </w:rPr>
              <w:t>$2,960</w:t>
            </w:r>
          </w:p>
        </w:tc>
        <w:tc>
          <w:tcPr>
            <w:tcW w:w="0" w:type="auto"/>
            <w:tcBorders>
              <w:top w:val="nil"/>
              <w:left w:val="nil"/>
              <w:bottom w:val="single" w:sz="4" w:space="0" w:color="auto"/>
              <w:right w:val="single" w:sz="4" w:space="0" w:color="auto"/>
            </w:tcBorders>
            <w:shd w:val="clear" w:color="auto" w:fill="auto"/>
            <w:vAlign w:val="center"/>
            <w:hideMark/>
          </w:tcPr>
          <w:p w14:paraId="4D6D94F1"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7FF7AE9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BF1331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42C729"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FDF51C0" w14:textId="77777777" w:rsidR="00572995" w:rsidRPr="00483EBE" w:rsidRDefault="00572995" w:rsidP="00E8324D">
            <w:pPr>
              <w:pStyle w:val="Tablas"/>
              <w:rPr>
                <w:sz w:val="12"/>
                <w:szCs w:val="12"/>
              </w:rPr>
            </w:pPr>
            <w:r w:rsidRPr="00483EBE">
              <w:rPr>
                <w:sz w:val="12"/>
                <w:szCs w:val="12"/>
              </w:rPr>
              <w:t xml:space="preserve">44 </w:t>
            </w:r>
          </w:p>
        </w:tc>
        <w:tc>
          <w:tcPr>
            <w:tcW w:w="0" w:type="auto"/>
            <w:tcBorders>
              <w:top w:val="nil"/>
              <w:left w:val="nil"/>
              <w:bottom w:val="single" w:sz="4" w:space="0" w:color="auto"/>
              <w:right w:val="single" w:sz="4" w:space="0" w:color="auto"/>
            </w:tcBorders>
            <w:shd w:val="clear" w:color="auto" w:fill="auto"/>
            <w:vAlign w:val="center"/>
            <w:hideMark/>
          </w:tcPr>
          <w:p w14:paraId="45501521" w14:textId="77777777" w:rsidR="00572995" w:rsidRPr="00483EBE" w:rsidRDefault="00572995" w:rsidP="00E8324D">
            <w:pPr>
              <w:pStyle w:val="Tablas"/>
              <w:rPr>
                <w:sz w:val="12"/>
                <w:szCs w:val="12"/>
              </w:rPr>
            </w:pPr>
            <w:r w:rsidRPr="00483EBE">
              <w:rPr>
                <w:sz w:val="12"/>
                <w:szCs w:val="12"/>
              </w:rPr>
              <w:t>$158,272</w:t>
            </w:r>
          </w:p>
        </w:tc>
        <w:tc>
          <w:tcPr>
            <w:tcW w:w="0" w:type="auto"/>
            <w:tcBorders>
              <w:top w:val="nil"/>
              <w:left w:val="nil"/>
              <w:bottom w:val="single" w:sz="4" w:space="0" w:color="auto"/>
              <w:right w:val="single" w:sz="4" w:space="0" w:color="auto"/>
            </w:tcBorders>
            <w:shd w:val="clear" w:color="auto" w:fill="auto"/>
            <w:vAlign w:val="center"/>
            <w:hideMark/>
          </w:tcPr>
          <w:p w14:paraId="2C477FC9" w14:textId="77777777" w:rsidR="00572995" w:rsidRPr="00483EBE" w:rsidRDefault="00572995" w:rsidP="00E8324D">
            <w:pPr>
              <w:pStyle w:val="Tablas"/>
              <w:rPr>
                <w:sz w:val="12"/>
                <w:szCs w:val="12"/>
              </w:rPr>
            </w:pPr>
            <w:r w:rsidRPr="00483EBE">
              <w:rPr>
                <w:sz w:val="12"/>
                <w:szCs w:val="12"/>
              </w:rPr>
              <w:t>$3,597</w:t>
            </w:r>
          </w:p>
        </w:tc>
        <w:tc>
          <w:tcPr>
            <w:tcW w:w="0" w:type="auto"/>
            <w:tcBorders>
              <w:top w:val="nil"/>
              <w:left w:val="nil"/>
              <w:bottom w:val="single" w:sz="4" w:space="0" w:color="auto"/>
              <w:right w:val="single" w:sz="4" w:space="0" w:color="auto"/>
            </w:tcBorders>
            <w:shd w:val="clear" w:color="auto" w:fill="auto"/>
            <w:vAlign w:val="center"/>
            <w:hideMark/>
          </w:tcPr>
          <w:p w14:paraId="4DFE11F8" w14:textId="77777777" w:rsidR="00572995" w:rsidRPr="00483EBE" w:rsidRDefault="00572995" w:rsidP="00E8324D">
            <w:pPr>
              <w:pStyle w:val="Tablas"/>
              <w:rPr>
                <w:sz w:val="12"/>
                <w:szCs w:val="12"/>
              </w:rPr>
            </w:pPr>
            <w:r w:rsidRPr="00483EBE">
              <w:rPr>
                <w:sz w:val="12"/>
                <w:szCs w:val="12"/>
              </w:rPr>
              <w:t>$300</w:t>
            </w:r>
          </w:p>
        </w:tc>
        <w:tc>
          <w:tcPr>
            <w:tcW w:w="0" w:type="auto"/>
            <w:tcBorders>
              <w:top w:val="nil"/>
              <w:left w:val="nil"/>
              <w:bottom w:val="single" w:sz="4" w:space="0" w:color="auto"/>
              <w:right w:val="single" w:sz="4" w:space="0" w:color="auto"/>
            </w:tcBorders>
            <w:shd w:val="clear" w:color="auto" w:fill="auto"/>
            <w:vAlign w:val="center"/>
            <w:hideMark/>
          </w:tcPr>
          <w:p w14:paraId="270429A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5BF3F0A" w14:textId="77777777" w:rsidR="00572995" w:rsidRPr="00483EBE" w:rsidRDefault="00572995" w:rsidP="00E8324D">
            <w:pPr>
              <w:pStyle w:val="Tablas"/>
              <w:rPr>
                <w:sz w:val="12"/>
                <w:szCs w:val="12"/>
              </w:rPr>
            </w:pPr>
            <w:r w:rsidRPr="00483EBE">
              <w:rPr>
                <w:sz w:val="12"/>
                <w:szCs w:val="12"/>
              </w:rPr>
              <w:t>SEBD</w:t>
            </w:r>
          </w:p>
        </w:tc>
      </w:tr>
      <w:tr w:rsidR="00572995" w:rsidRPr="00483EBE" w14:paraId="6559299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8F849A"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24DED01A" w14:textId="77777777" w:rsidR="00572995" w:rsidRPr="00483EBE" w:rsidRDefault="00572995" w:rsidP="00E8324D">
            <w:pPr>
              <w:pStyle w:val="Tablas"/>
              <w:rPr>
                <w:sz w:val="12"/>
                <w:szCs w:val="12"/>
              </w:rPr>
            </w:pPr>
            <w:r w:rsidRPr="00483EBE">
              <w:rPr>
                <w:sz w:val="12"/>
                <w:szCs w:val="12"/>
              </w:rPr>
              <w:t xml:space="preserve">956 </w:t>
            </w:r>
          </w:p>
        </w:tc>
        <w:tc>
          <w:tcPr>
            <w:tcW w:w="0" w:type="auto"/>
            <w:tcBorders>
              <w:top w:val="nil"/>
              <w:left w:val="nil"/>
              <w:bottom w:val="single" w:sz="4" w:space="0" w:color="auto"/>
              <w:right w:val="single" w:sz="4" w:space="0" w:color="auto"/>
            </w:tcBorders>
            <w:shd w:val="clear" w:color="auto" w:fill="auto"/>
            <w:vAlign w:val="center"/>
            <w:hideMark/>
          </w:tcPr>
          <w:p w14:paraId="12E24C37" w14:textId="77777777" w:rsidR="00572995" w:rsidRPr="00483EBE" w:rsidRDefault="00572995" w:rsidP="00E8324D">
            <w:pPr>
              <w:pStyle w:val="Tablas"/>
              <w:rPr>
                <w:sz w:val="12"/>
                <w:szCs w:val="12"/>
              </w:rPr>
            </w:pPr>
            <w:r w:rsidRPr="00483EBE">
              <w:rPr>
                <w:sz w:val="12"/>
                <w:szCs w:val="12"/>
              </w:rPr>
              <w:t>$2,953,322</w:t>
            </w:r>
          </w:p>
        </w:tc>
        <w:tc>
          <w:tcPr>
            <w:tcW w:w="0" w:type="auto"/>
            <w:tcBorders>
              <w:top w:val="nil"/>
              <w:left w:val="nil"/>
              <w:bottom w:val="single" w:sz="4" w:space="0" w:color="auto"/>
              <w:right w:val="single" w:sz="4" w:space="0" w:color="auto"/>
            </w:tcBorders>
            <w:shd w:val="clear" w:color="auto" w:fill="auto"/>
            <w:vAlign w:val="center"/>
            <w:hideMark/>
          </w:tcPr>
          <w:p w14:paraId="0E929A7F" w14:textId="77777777" w:rsidR="00572995" w:rsidRPr="00483EBE" w:rsidRDefault="00572995" w:rsidP="00E8324D">
            <w:pPr>
              <w:pStyle w:val="Tablas"/>
              <w:rPr>
                <w:sz w:val="12"/>
                <w:szCs w:val="12"/>
              </w:rPr>
            </w:pPr>
            <w:r w:rsidRPr="00483EBE">
              <w:rPr>
                <w:sz w:val="12"/>
                <w:szCs w:val="12"/>
              </w:rPr>
              <w:t>$3,089</w:t>
            </w:r>
          </w:p>
        </w:tc>
        <w:tc>
          <w:tcPr>
            <w:tcW w:w="0" w:type="auto"/>
            <w:tcBorders>
              <w:top w:val="nil"/>
              <w:left w:val="nil"/>
              <w:bottom w:val="single" w:sz="4" w:space="0" w:color="auto"/>
              <w:right w:val="single" w:sz="4" w:space="0" w:color="auto"/>
            </w:tcBorders>
            <w:shd w:val="clear" w:color="auto" w:fill="auto"/>
            <w:vAlign w:val="center"/>
            <w:hideMark/>
          </w:tcPr>
          <w:p w14:paraId="293DBCAD" w14:textId="77777777" w:rsidR="00572995" w:rsidRPr="00483EBE" w:rsidRDefault="00572995" w:rsidP="00E8324D">
            <w:pPr>
              <w:pStyle w:val="Tablas"/>
              <w:rPr>
                <w:sz w:val="12"/>
                <w:szCs w:val="12"/>
              </w:rPr>
            </w:pPr>
            <w:r w:rsidRPr="00483EBE">
              <w:rPr>
                <w:sz w:val="12"/>
                <w:szCs w:val="12"/>
              </w:rPr>
              <w:t>$257</w:t>
            </w:r>
          </w:p>
        </w:tc>
        <w:tc>
          <w:tcPr>
            <w:tcW w:w="0" w:type="auto"/>
            <w:tcBorders>
              <w:top w:val="nil"/>
              <w:left w:val="nil"/>
              <w:bottom w:val="single" w:sz="4" w:space="0" w:color="auto"/>
              <w:right w:val="single" w:sz="4" w:space="0" w:color="auto"/>
            </w:tcBorders>
            <w:shd w:val="clear" w:color="auto" w:fill="auto"/>
            <w:vAlign w:val="center"/>
            <w:hideMark/>
          </w:tcPr>
          <w:p w14:paraId="407BF7B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EDAEA2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56406C"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0AF2501F"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0CF8636C" w14:textId="77777777" w:rsidR="00572995" w:rsidRPr="00483EBE" w:rsidRDefault="00572995" w:rsidP="00E8324D">
            <w:pPr>
              <w:pStyle w:val="Tablas"/>
              <w:rPr>
                <w:sz w:val="12"/>
                <w:szCs w:val="12"/>
              </w:rPr>
            </w:pPr>
            <w:r w:rsidRPr="00483EBE">
              <w:rPr>
                <w:sz w:val="12"/>
                <w:szCs w:val="12"/>
              </w:rPr>
              <w:t>$112,533</w:t>
            </w:r>
          </w:p>
        </w:tc>
        <w:tc>
          <w:tcPr>
            <w:tcW w:w="0" w:type="auto"/>
            <w:tcBorders>
              <w:top w:val="nil"/>
              <w:left w:val="nil"/>
              <w:bottom w:val="single" w:sz="4" w:space="0" w:color="auto"/>
              <w:right w:val="single" w:sz="4" w:space="0" w:color="auto"/>
            </w:tcBorders>
            <w:shd w:val="clear" w:color="auto" w:fill="auto"/>
            <w:vAlign w:val="center"/>
            <w:hideMark/>
          </w:tcPr>
          <w:p w14:paraId="300AD584" w14:textId="77777777" w:rsidR="00572995" w:rsidRPr="00483EBE" w:rsidRDefault="00572995" w:rsidP="00E8324D">
            <w:pPr>
              <w:pStyle w:val="Tablas"/>
              <w:rPr>
                <w:sz w:val="12"/>
                <w:szCs w:val="12"/>
              </w:rPr>
            </w:pPr>
            <w:r w:rsidRPr="00483EBE">
              <w:rPr>
                <w:sz w:val="12"/>
                <w:szCs w:val="12"/>
              </w:rPr>
              <w:t>$2,961</w:t>
            </w:r>
          </w:p>
        </w:tc>
        <w:tc>
          <w:tcPr>
            <w:tcW w:w="0" w:type="auto"/>
            <w:tcBorders>
              <w:top w:val="nil"/>
              <w:left w:val="nil"/>
              <w:bottom w:val="single" w:sz="4" w:space="0" w:color="auto"/>
              <w:right w:val="single" w:sz="4" w:space="0" w:color="auto"/>
            </w:tcBorders>
            <w:shd w:val="clear" w:color="auto" w:fill="auto"/>
            <w:vAlign w:val="center"/>
            <w:hideMark/>
          </w:tcPr>
          <w:p w14:paraId="2AADF408"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6E77B0E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0CA20CE" w14:textId="77777777" w:rsidR="00572995" w:rsidRPr="00483EBE" w:rsidRDefault="00572995" w:rsidP="00E8324D">
            <w:pPr>
              <w:pStyle w:val="Tablas"/>
              <w:rPr>
                <w:sz w:val="12"/>
                <w:szCs w:val="12"/>
              </w:rPr>
            </w:pPr>
            <w:r w:rsidRPr="00483EBE">
              <w:rPr>
                <w:sz w:val="12"/>
                <w:szCs w:val="12"/>
              </w:rPr>
              <w:t>SEBD</w:t>
            </w:r>
          </w:p>
        </w:tc>
      </w:tr>
      <w:tr w:rsidR="00572995" w:rsidRPr="00483EBE" w14:paraId="6776ECF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9E87BD"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64CA2DD5" w14:textId="77777777" w:rsidR="00572995" w:rsidRPr="00483EBE" w:rsidRDefault="00572995" w:rsidP="00E8324D">
            <w:pPr>
              <w:pStyle w:val="Tablas"/>
              <w:rPr>
                <w:sz w:val="12"/>
                <w:szCs w:val="12"/>
              </w:rPr>
            </w:pPr>
            <w:r w:rsidRPr="00483EBE">
              <w:rPr>
                <w:sz w:val="12"/>
                <w:szCs w:val="12"/>
              </w:rPr>
              <w:t xml:space="preserve">943 </w:t>
            </w:r>
          </w:p>
        </w:tc>
        <w:tc>
          <w:tcPr>
            <w:tcW w:w="0" w:type="auto"/>
            <w:tcBorders>
              <w:top w:val="nil"/>
              <w:left w:val="nil"/>
              <w:bottom w:val="single" w:sz="4" w:space="0" w:color="auto"/>
              <w:right w:val="single" w:sz="4" w:space="0" w:color="auto"/>
            </w:tcBorders>
            <w:shd w:val="clear" w:color="auto" w:fill="auto"/>
            <w:vAlign w:val="center"/>
            <w:hideMark/>
          </w:tcPr>
          <w:p w14:paraId="3B4D2BDB" w14:textId="77777777" w:rsidR="00572995" w:rsidRPr="00483EBE" w:rsidRDefault="00572995" w:rsidP="00E8324D">
            <w:pPr>
              <w:pStyle w:val="Tablas"/>
              <w:rPr>
                <w:sz w:val="12"/>
                <w:szCs w:val="12"/>
              </w:rPr>
            </w:pPr>
            <w:r w:rsidRPr="00483EBE">
              <w:rPr>
                <w:sz w:val="12"/>
                <w:szCs w:val="12"/>
              </w:rPr>
              <w:t>$2,944,823</w:t>
            </w:r>
          </w:p>
        </w:tc>
        <w:tc>
          <w:tcPr>
            <w:tcW w:w="0" w:type="auto"/>
            <w:tcBorders>
              <w:top w:val="nil"/>
              <w:left w:val="nil"/>
              <w:bottom w:val="single" w:sz="4" w:space="0" w:color="auto"/>
              <w:right w:val="single" w:sz="4" w:space="0" w:color="auto"/>
            </w:tcBorders>
            <w:shd w:val="clear" w:color="auto" w:fill="auto"/>
            <w:vAlign w:val="center"/>
            <w:hideMark/>
          </w:tcPr>
          <w:p w14:paraId="1A98447B" w14:textId="77777777" w:rsidR="00572995" w:rsidRPr="00483EBE" w:rsidRDefault="00572995" w:rsidP="00E8324D">
            <w:pPr>
              <w:pStyle w:val="Tablas"/>
              <w:rPr>
                <w:sz w:val="12"/>
                <w:szCs w:val="12"/>
              </w:rPr>
            </w:pPr>
            <w:r w:rsidRPr="00483EBE">
              <w:rPr>
                <w:sz w:val="12"/>
                <w:szCs w:val="12"/>
              </w:rPr>
              <w:t>$3,123</w:t>
            </w:r>
          </w:p>
        </w:tc>
        <w:tc>
          <w:tcPr>
            <w:tcW w:w="0" w:type="auto"/>
            <w:tcBorders>
              <w:top w:val="nil"/>
              <w:left w:val="nil"/>
              <w:bottom w:val="single" w:sz="4" w:space="0" w:color="auto"/>
              <w:right w:val="single" w:sz="4" w:space="0" w:color="auto"/>
            </w:tcBorders>
            <w:shd w:val="clear" w:color="auto" w:fill="auto"/>
            <w:vAlign w:val="center"/>
            <w:hideMark/>
          </w:tcPr>
          <w:p w14:paraId="5E87E6F1"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1EB3979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ACB9F9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0B59FD3"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72C117D3" w14:textId="77777777" w:rsidR="00572995" w:rsidRPr="00483EBE" w:rsidRDefault="00572995" w:rsidP="00E8324D">
            <w:pPr>
              <w:pStyle w:val="Tablas"/>
              <w:rPr>
                <w:sz w:val="12"/>
                <w:szCs w:val="12"/>
              </w:rPr>
            </w:pPr>
            <w:r w:rsidRPr="00483EBE">
              <w:rPr>
                <w:sz w:val="12"/>
                <w:szCs w:val="12"/>
              </w:rPr>
              <w:t xml:space="preserve">59 </w:t>
            </w:r>
          </w:p>
        </w:tc>
        <w:tc>
          <w:tcPr>
            <w:tcW w:w="0" w:type="auto"/>
            <w:tcBorders>
              <w:top w:val="nil"/>
              <w:left w:val="nil"/>
              <w:bottom w:val="single" w:sz="4" w:space="0" w:color="auto"/>
              <w:right w:val="single" w:sz="4" w:space="0" w:color="auto"/>
            </w:tcBorders>
            <w:shd w:val="clear" w:color="auto" w:fill="auto"/>
            <w:vAlign w:val="center"/>
            <w:hideMark/>
          </w:tcPr>
          <w:p w14:paraId="74BBE000" w14:textId="77777777" w:rsidR="00572995" w:rsidRPr="00483EBE" w:rsidRDefault="00572995" w:rsidP="00E8324D">
            <w:pPr>
              <w:pStyle w:val="Tablas"/>
              <w:rPr>
                <w:sz w:val="12"/>
                <w:szCs w:val="12"/>
              </w:rPr>
            </w:pPr>
            <w:r w:rsidRPr="00483EBE">
              <w:rPr>
                <w:sz w:val="12"/>
                <w:szCs w:val="12"/>
              </w:rPr>
              <w:t>$224,982</w:t>
            </w:r>
          </w:p>
        </w:tc>
        <w:tc>
          <w:tcPr>
            <w:tcW w:w="0" w:type="auto"/>
            <w:tcBorders>
              <w:top w:val="nil"/>
              <w:left w:val="nil"/>
              <w:bottom w:val="single" w:sz="4" w:space="0" w:color="auto"/>
              <w:right w:val="single" w:sz="4" w:space="0" w:color="auto"/>
            </w:tcBorders>
            <w:shd w:val="clear" w:color="auto" w:fill="auto"/>
            <w:vAlign w:val="center"/>
            <w:hideMark/>
          </w:tcPr>
          <w:p w14:paraId="668D64FF" w14:textId="77777777" w:rsidR="00572995" w:rsidRPr="00483EBE" w:rsidRDefault="00572995" w:rsidP="00E8324D">
            <w:pPr>
              <w:pStyle w:val="Tablas"/>
              <w:rPr>
                <w:sz w:val="12"/>
                <w:szCs w:val="12"/>
              </w:rPr>
            </w:pPr>
            <w:r w:rsidRPr="00483EBE">
              <w:rPr>
                <w:sz w:val="12"/>
                <w:szCs w:val="12"/>
              </w:rPr>
              <w:t>$3,813</w:t>
            </w:r>
          </w:p>
        </w:tc>
        <w:tc>
          <w:tcPr>
            <w:tcW w:w="0" w:type="auto"/>
            <w:tcBorders>
              <w:top w:val="nil"/>
              <w:left w:val="nil"/>
              <w:bottom w:val="single" w:sz="4" w:space="0" w:color="auto"/>
              <w:right w:val="single" w:sz="4" w:space="0" w:color="auto"/>
            </w:tcBorders>
            <w:shd w:val="clear" w:color="auto" w:fill="auto"/>
            <w:vAlign w:val="center"/>
            <w:hideMark/>
          </w:tcPr>
          <w:p w14:paraId="5968745C" w14:textId="77777777" w:rsidR="00572995" w:rsidRPr="00483EBE" w:rsidRDefault="00572995" w:rsidP="00E8324D">
            <w:pPr>
              <w:pStyle w:val="Tablas"/>
              <w:rPr>
                <w:sz w:val="12"/>
                <w:szCs w:val="12"/>
              </w:rPr>
            </w:pPr>
            <w:r w:rsidRPr="00483EBE">
              <w:rPr>
                <w:sz w:val="12"/>
                <w:szCs w:val="12"/>
              </w:rPr>
              <w:t>$318</w:t>
            </w:r>
          </w:p>
        </w:tc>
        <w:tc>
          <w:tcPr>
            <w:tcW w:w="0" w:type="auto"/>
            <w:tcBorders>
              <w:top w:val="nil"/>
              <w:left w:val="nil"/>
              <w:bottom w:val="single" w:sz="4" w:space="0" w:color="auto"/>
              <w:right w:val="single" w:sz="4" w:space="0" w:color="auto"/>
            </w:tcBorders>
            <w:shd w:val="clear" w:color="auto" w:fill="auto"/>
            <w:vAlign w:val="center"/>
            <w:hideMark/>
          </w:tcPr>
          <w:p w14:paraId="1744D29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64F337C" w14:textId="77777777" w:rsidR="00572995" w:rsidRPr="00483EBE" w:rsidRDefault="00572995" w:rsidP="00E8324D">
            <w:pPr>
              <w:pStyle w:val="Tablas"/>
              <w:rPr>
                <w:sz w:val="12"/>
                <w:szCs w:val="12"/>
              </w:rPr>
            </w:pPr>
            <w:r w:rsidRPr="00483EBE">
              <w:rPr>
                <w:sz w:val="12"/>
                <w:szCs w:val="12"/>
              </w:rPr>
              <w:t>SEBD</w:t>
            </w:r>
          </w:p>
        </w:tc>
      </w:tr>
      <w:tr w:rsidR="00572995" w:rsidRPr="00483EBE" w14:paraId="5AB0C7C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86DC686"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0665FA1F" w14:textId="77777777" w:rsidR="00572995" w:rsidRPr="00483EBE" w:rsidRDefault="00572995" w:rsidP="00E8324D">
            <w:pPr>
              <w:pStyle w:val="Tablas"/>
              <w:rPr>
                <w:sz w:val="12"/>
                <w:szCs w:val="12"/>
              </w:rPr>
            </w:pPr>
            <w:r w:rsidRPr="00483EBE">
              <w:rPr>
                <w:sz w:val="12"/>
                <w:szCs w:val="12"/>
              </w:rPr>
              <w:t xml:space="preserve">959 </w:t>
            </w:r>
          </w:p>
        </w:tc>
        <w:tc>
          <w:tcPr>
            <w:tcW w:w="0" w:type="auto"/>
            <w:tcBorders>
              <w:top w:val="nil"/>
              <w:left w:val="nil"/>
              <w:bottom w:val="single" w:sz="4" w:space="0" w:color="auto"/>
              <w:right w:val="single" w:sz="4" w:space="0" w:color="auto"/>
            </w:tcBorders>
            <w:shd w:val="clear" w:color="auto" w:fill="auto"/>
            <w:vAlign w:val="center"/>
            <w:hideMark/>
          </w:tcPr>
          <w:p w14:paraId="113918E8" w14:textId="77777777" w:rsidR="00572995" w:rsidRPr="00483EBE" w:rsidRDefault="00572995" w:rsidP="00E8324D">
            <w:pPr>
              <w:pStyle w:val="Tablas"/>
              <w:rPr>
                <w:sz w:val="12"/>
                <w:szCs w:val="12"/>
              </w:rPr>
            </w:pPr>
            <w:r w:rsidRPr="00483EBE">
              <w:rPr>
                <w:sz w:val="12"/>
                <w:szCs w:val="12"/>
              </w:rPr>
              <w:t>$2,994,682</w:t>
            </w:r>
          </w:p>
        </w:tc>
        <w:tc>
          <w:tcPr>
            <w:tcW w:w="0" w:type="auto"/>
            <w:tcBorders>
              <w:top w:val="nil"/>
              <w:left w:val="nil"/>
              <w:bottom w:val="single" w:sz="4" w:space="0" w:color="auto"/>
              <w:right w:val="single" w:sz="4" w:space="0" w:color="auto"/>
            </w:tcBorders>
            <w:shd w:val="clear" w:color="auto" w:fill="auto"/>
            <w:vAlign w:val="center"/>
            <w:hideMark/>
          </w:tcPr>
          <w:p w14:paraId="567D451C" w14:textId="77777777" w:rsidR="00572995" w:rsidRPr="00483EBE" w:rsidRDefault="00572995" w:rsidP="00E8324D">
            <w:pPr>
              <w:pStyle w:val="Tablas"/>
              <w:rPr>
                <w:sz w:val="12"/>
                <w:szCs w:val="12"/>
              </w:rPr>
            </w:pPr>
            <w:r w:rsidRPr="00483EBE">
              <w:rPr>
                <w:sz w:val="12"/>
                <w:szCs w:val="12"/>
              </w:rPr>
              <w:t>$3,123</w:t>
            </w:r>
          </w:p>
        </w:tc>
        <w:tc>
          <w:tcPr>
            <w:tcW w:w="0" w:type="auto"/>
            <w:tcBorders>
              <w:top w:val="nil"/>
              <w:left w:val="nil"/>
              <w:bottom w:val="single" w:sz="4" w:space="0" w:color="auto"/>
              <w:right w:val="single" w:sz="4" w:space="0" w:color="auto"/>
            </w:tcBorders>
            <w:shd w:val="clear" w:color="auto" w:fill="auto"/>
            <w:vAlign w:val="center"/>
            <w:hideMark/>
          </w:tcPr>
          <w:p w14:paraId="1ED1324B"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5A83290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4CA042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0F1E40"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0081FF1" w14:textId="77777777" w:rsidR="00572995" w:rsidRPr="00483EBE" w:rsidRDefault="00572995" w:rsidP="00E8324D">
            <w:pPr>
              <w:pStyle w:val="Tablas"/>
              <w:rPr>
                <w:sz w:val="12"/>
                <w:szCs w:val="12"/>
              </w:rPr>
            </w:pPr>
            <w:r w:rsidRPr="00483EBE">
              <w:rPr>
                <w:sz w:val="12"/>
                <w:szCs w:val="12"/>
              </w:rPr>
              <w:t xml:space="preserve">53 </w:t>
            </w:r>
          </w:p>
        </w:tc>
        <w:tc>
          <w:tcPr>
            <w:tcW w:w="0" w:type="auto"/>
            <w:tcBorders>
              <w:top w:val="nil"/>
              <w:left w:val="nil"/>
              <w:bottom w:val="single" w:sz="4" w:space="0" w:color="auto"/>
              <w:right w:val="single" w:sz="4" w:space="0" w:color="auto"/>
            </w:tcBorders>
            <w:shd w:val="clear" w:color="auto" w:fill="auto"/>
            <w:vAlign w:val="center"/>
            <w:hideMark/>
          </w:tcPr>
          <w:p w14:paraId="42BE3E36" w14:textId="77777777" w:rsidR="00572995" w:rsidRPr="00483EBE" w:rsidRDefault="00572995" w:rsidP="00E8324D">
            <w:pPr>
              <w:pStyle w:val="Tablas"/>
              <w:rPr>
                <w:sz w:val="12"/>
                <w:szCs w:val="12"/>
              </w:rPr>
            </w:pPr>
            <w:r w:rsidRPr="00483EBE">
              <w:rPr>
                <w:sz w:val="12"/>
                <w:szCs w:val="12"/>
              </w:rPr>
              <w:t>$158,958</w:t>
            </w:r>
          </w:p>
        </w:tc>
        <w:tc>
          <w:tcPr>
            <w:tcW w:w="0" w:type="auto"/>
            <w:tcBorders>
              <w:top w:val="nil"/>
              <w:left w:val="nil"/>
              <w:bottom w:val="single" w:sz="4" w:space="0" w:color="auto"/>
              <w:right w:val="single" w:sz="4" w:space="0" w:color="auto"/>
            </w:tcBorders>
            <w:shd w:val="clear" w:color="auto" w:fill="auto"/>
            <w:vAlign w:val="center"/>
            <w:hideMark/>
          </w:tcPr>
          <w:p w14:paraId="17657968" w14:textId="77777777" w:rsidR="00572995" w:rsidRPr="00483EBE" w:rsidRDefault="00572995" w:rsidP="00E8324D">
            <w:pPr>
              <w:pStyle w:val="Tablas"/>
              <w:rPr>
                <w:sz w:val="12"/>
                <w:szCs w:val="12"/>
              </w:rPr>
            </w:pPr>
            <w:r w:rsidRPr="00483EBE">
              <w:rPr>
                <w:sz w:val="12"/>
                <w:szCs w:val="12"/>
              </w:rPr>
              <w:t>$2,999</w:t>
            </w:r>
          </w:p>
        </w:tc>
        <w:tc>
          <w:tcPr>
            <w:tcW w:w="0" w:type="auto"/>
            <w:tcBorders>
              <w:top w:val="nil"/>
              <w:left w:val="nil"/>
              <w:bottom w:val="single" w:sz="4" w:space="0" w:color="auto"/>
              <w:right w:val="single" w:sz="4" w:space="0" w:color="auto"/>
            </w:tcBorders>
            <w:shd w:val="clear" w:color="auto" w:fill="auto"/>
            <w:vAlign w:val="center"/>
            <w:hideMark/>
          </w:tcPr>
          <w:p w14:paraId="2AEF51D1"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3A2279E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7AB1E28" w14:textId="77777777" w:rsidR="00572995" w:rsidRPr="00483EBE" w:rsidRDefault="00572995" w:rsidP="00E8324D">
            <w:pPr>
              <w:pStyle w:val="Tablas"/>
              <w:rPr>
                <w:sz w:val="12"/>
                <w:szCs w:val="12"/>
              </w:rPr>
            </w:pPr>
            <w:r w:rsidRPr="00483EBE">
              <w:rPr>
                <w:sz w:val="12"/>
                <w:szCs w:val="12"/>
              </w:rPr>
              <w:t>SEBD</w:t>
            </w:r>
          </w:p>
        </w:tc>
      </w:tr>
      <w:tr w:rsidR="00572995" w:rsidRPr="00483EBE" w14:paraId="65EB98A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AEE43E3"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31AF46B0" w14:textId="77777777" w:rsidR="00572995" w:rsidRPr="00483EBE" w:rsidRDefault="00572995" w:rsidP="00E8324D">
            <w:pPr>
              <w:pStyle w:val="Tablas"/>
              <w:rPr>
                <w:sz w:val="12"/>
                <w:szCs w:val="12"/>
              </w:rPr>
            </w:pPr>
            <w:r w:rsidRPr="00483EBE">
              <w:rPr>
                <w:sz w:val="12"/>
                <w:szCs w:val="12"/>
              </w:rPr>
              <w:t xml:space="preserve">964 </w:t>
            </w:r>
          </w:p>
        </w:tc>
        <w:tc>
          <w:tcPr>
            <w:tcW w:w="0" w:type="auto"/>
            <w:tcBorders>
              <w:top w:val="nil"/>
              <w:left w:val="nil"/>
              <w:bottom w:val="single" w:sz="4" w:space="0" w:color="auto"/>
              <w:right w:val="single" w:sz="4" w:space="0" w:color="auto"/>
            </w:tcBorders>
            <w:shd w:val="clear" w:color="auto" w:fill="auto"/>
            <w:vAlign w:val="center"/>
            <w:hideMark/>
          </w:tcPr>
          <w:p w14:paraId="2C37A501" w14:textId="77777777" w:rsidR="00572995" w:rsidRPr="00483EBE" w:rsidRDefault="00572995" w:rsidP="00E8324D">
            <w:pPr>
              <w:pStyle w:val="Tablas"/>
              <w:rPr>
                <w:sz w:val="12"/>
                <w:szCs w:val="12"/>
              </w:rPr>
            </w:pPr>
            <w:r w:rsidRPr="00483EBE">
              <w:rPr>
                <w:sz w:val="12"/>
                <w:szCs w:val="12"/>
              </w:rPr>
              <w:t>$2,858,186</w:t>
            </w:r>
          </w:p>
        </w:tc>
        <w:tc>
          <w:tcPr>
            <w:tcW w:w="0" w:type="auto"/>
            <w:tcBorders>
              <w:top w:val="nil"/>
              <w:left w:val="nil"/>
              <w:bottom w:val="single" w:sz="4" w:space="0" w:color="auto"/>
              <w:right w:val="single" w:sz="4" w:space="0" w:color="auto"/>
            </w:tcBorders>
            <w:shd w:val="clear" w:color="auto" w:fill="auto"/>
            <w:vAlign w:val="center"/>
            <w:hideMark/>
          </w:tcPr>
          <w:p w14:paraId="6DC1F3BF" w14:textId="77777777" w:rsidR="00572995" w:rsidRPr="00483EBE" w:rsidRDefault="00572995" w:rsidP="00E8324D">
            <w:pPr>
              <w:pStyle w:val="Tablas"/>
              <w:rPr>
                <w:sz w:val="12"/>
                <w:szCs w:val="12"/>
              </w:rPr>
            </w:pPr>
            <w:r w:rsidRPr="00483EBE">
              <w:rPr>
                <w:sz w:val="12"/>
                <w:szCs w:val="12"/>
              </w:rPr>
              <w:t>$2,965</w:t>
            </w:r>
          </w:p>
        </w:tc>
        <w:tc>
          <w:tcPr>
            <w:tcW w:w="0" w:type="auto"/>
            <w:tcBorders>
              <w:top w:val="nil"/>
              <w:left w:val="nil"/>
              <w:bottom w:val="single" w:sz="4" w:space="0" w:color="auto"/>
              <w:right w:val="single" w:sz="4" w:space="0" w:color="auto"/>
            </w:tcBorders>
            <w:shd w:val="clear" w:color="auto" w:fill="auto"/>
            <w:vAlign w:val="center"/>
            <w:hideMark/>
          </w:tcPr>
          <w:p w14:paraId="44B0E52A"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515462F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D66388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92C0B2"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29F754F7" w14:textId="77777777" w:rsidR="00572995" w:rsidRPr="00483EBE" w:rsidRDefault="00572995" w:rsidP="00E8324D">
            <w:pPr>
              <w:pStyle w:val="Tablas"/>
              <w:rPr>
                <w:sz w:val="12"/>
                <w:szCs w:val="12"/>
              </w:rPr>
            </w:pPr>
            <w:r w:rsidRPr="00483EBE">
              <w:rPr>
                <w:sz w:val="12"/>
                <w:szCs w:val="12"/>
              </w:rPr>
              <w:t xml:space="preserve">47 </w:t>
            </w:r>
          </w:p>
        </w:tc>
        <w:tc>
          <w:tcPr>
            <w:tcW w:w="0" w:type="auto"/>
            <w:tcBorders>
              <w:top w:val="nil"/>
              <w:left w:val="nil"/>
              <w:bottom w:val="single" w:sz="4" w:space="0" w:color="auto"/>
              <w:right w:val="single" w:sz="4" w:space="0" w:color="auto"/>
            </w:tcBorders>
            <w:shd w:val="clear" w:color="auto" w:fill="auto"/>
            <w:vAlign w:val="center"/>
            <w:hideMark/>
          </w:tcPr>
          <w:p w14:paraId="10835B94" w14:textId="77777777" w:rsidR="00572995" w:rsidRPr="00483EBE" w:rsidRDefault="00572995" w:rsidP="00E8324D">
            <w:pPr>
              <w:pStyle w:val="Tablas"/>
              <w:rPr>
                <w:sz w:val="12"/>
                <w:szCs w:val="12"/>
              </w:rPr>
            </w:pPr>
            <w:r w:rsidRPr="00483EBE">
              <w:rPr>
                <w:sz w:val="12"/>
                <w:szCs w:val="12"/>
              </w:rPr>
              <w:t>$139,056</w:t>
            </w:r>
          </w:p>
        </w:tc>
        <w:tc>
          <w:tcPr>
            <w:tcW w:w="0" w:type="auto"/>
            <w:tcBorders>
              <w:top w:val="nil"/>
              <w:left w:val="nil"/>
              <w:bottom w:val="single" w:sz="4" w:space="0" w:color="auto"/>
              <w:right w:val="single" w:sz="4" w:space="0" w:color="auto"/>
            </w:tcBorders>
            <w:shd w:val="clear" w:color="auto" w:fill="auto"/>
            <w:vAlign w:val="center"/>
            <w:hideMark/>
          </w:tcPr>
          <w:p w14:paraId="1A5CFA0F" w14:textId="77777777" w:rsidR="00572995" w:rsidRPr="00483EBE" w:rsidRDefault="00572995" w:rsidP="00E8324D">
            <w:pPr>
              <w:pStyle w:val="Tablas"/>
              <w:rPr>
                <w:sz w:val="12"/>
                <w:szCs w:val="12"/>
              </w:rPr>
            </w:pPr>
            <w:r w:rsidRPr="00483EBE">
              <w:rPr>
                <w:sz w:val="12"/>
                <w:szCs w:val="12"/>
              </w:rPr>
              <w:t>$2,959</w:t>
            </w:r>
          </w:p>
        </w:tc>
        <w:tc>
          <w:tcPr>
            <w:tcW w:w="0" w:type="auto"/>
            <w:tcBorders>
              <w:top w:val="nil"/>
              <w:left w:val="nil"/>
              <w:bottom w:val="single" w:sz="4" w:space="0" w:color="auto"/>
              <w:right w:val="single" w:sz="4" w:space="0" w:color="auto"/>
            </w:tcBorders>
            <w:shd w:val="clear" w:color="auto" w:fill="auto"/>
            <w:vAlign w:val="center"/>
            <w:hideMark/>
          </w:tcPr>
          <w:p w14:paraId="7BF1DB40" w14:textId="77777777" w:rsidR="00572995" w:rsidRPr="00483EBE" w:rsidRDefault="00572995" w:rsidP="00E8324D">
            <w:pPr>
              <w:pStyle w:val="Tablas"/>
              <w:rPr>
                <w:sz w:val="12"/>
                <w:szCs w:val="12"/>
              </w:rPr>
            </w:pPr>
            <w:r w:rsidRPr="00483EBE">
              <w:rPr>
                <w:sz w:val="12"/>
                <w:szCs w:val="12"/>
              </w:rPr>
              <w:t>$247</w:t>
            </w:r>
          </w:p>
        </w:tc>
        <w:tc>
          <w:tcPr>
            <w:tcW w:w="0" w:type="auto"/>
            <w:tcBorders>
              <w:top w:val="nil"/>
              <w:left w:val="nil"/>
              <w:bottom w:val="single" w:sz="4" w:space="0" w:color="auto"/>
              <w:right w:val="single" w:sz="4" w:space="0" w:color="auto"/>
            </w:tcBorders>
            <w:shd w:val="clear" w:color="auto" w:fill="auto"/>
            <w:vAlign w:val="center"/>
            <w:hideMark/>
          </w:tcPr>
          <w:p w14:paraId="0875233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0D56760" w14:textId="77777777" w:rsidR="00572995" w:rsidRPr="00483EBE" w:rsidRDefault="00572995" w:rsidP="00E8324D">
            <w:pPr>
              <w:pStyle w:val="Tablas"/>
              <w:rPr>
                <w:sz w:val="12"/>
                <w:szCs w:val="12"/>
              </w:rPr>
            </w:pPr>
            <w:r w:rsidRPr="00483EBE">
              <w:rPr>
                <w:sz w:val="12"/>
                <w:szCs w:val="12"/>
              </w:rPr>
              <w:t>SEBD</w:t>
            </w:r>
          </w:p>
        </w:tc>
      </w:tr>
      <w:tr w:rsidR="00572995" w:rsidRPr="00483EBE" w14:paraId="565D5A9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4C2326"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5ED3288" w14:textId="77777777" w:rsidR="00572995" w:rsidRPr="00483EBE" w:rsidRDefault="00572995" w:rsidP="00E8324D">
            <w:pPr>
              <w:pStyle w:val="Tablas"/>
              <w:rPr>
                <w:sz w:val="12"/>
                <w:szCs w:val="12"/>
              </w:rPr>
            </w:pPr>
            <w:r w:rsidRPr="00483EBE">
              <w:rPr>
                <w:sz w:val="12"/>
                <w:szCs w:val="12"/>
              </w:rPr>
              <w:t xml:space="preserve">963 </w:t>
            </w:r>
          </w:p>
        </w:tc>
        <w:tc>
          <w:tcPr>
            <w:tcW w:w="0" w:type="auto"/>
            <w:tcBorders>
              <w:top w:val="nil"/>
              <w:left w:val="nil"/>
              <w:bottom w:val="single" w:sz="4" w:space="0" w:color="auto"/>
              <w:right w:val="single" w:sz="4" w:space="0" w:color="auto"/>
            </w:tcBorders>
            <w:shd w:val="clear" w:color="auto" w:fill="auto"/>
            <w:vAlign w:val="center"/>
            <w:hideMark/>
          </w:tcPr>
          <w:p w14:paraId="27B8816C" w14:textId="77777777" w:rsidR="00572995" w:rsidRPr="00483EBE" w:rsidRDefault="00572995" w:rsidP="00E8324D">
            <w:pPr>
              <w:pStyle w:val="Tablas"/>
              <w:rPr>
                <w:sz w:val="12"/>
                <w:szCs w:val="12"/>
              </w:rPr>
            </w:pPr>
            <w:r w:rsidRPr="00483EBE">
              <w:rPr>
                <w:sz w:val="12"/>
                <w:szCs w:val="12"/>
              </w:rPr>
              <w:t>$2,921,361</w:t>
            </w:r>
          </w:p>
        </w:tc>
        <w:tc>
          <w:tcPr>
            <w:tcW w:w="0" w:type="auto"/>
            <w:tcBorders>
              <w:top w:val="nil"/>
              <w:left w:val="nil"/>
              <w:bottom w:val="single" w:sz="4" w:space="0" w:color="auto"/>
              <w:right w:val="single" w:sz="4" w:space="0" w:color="auto"/>
            </w:tcBorders>
            <w:shd w:val="clear" w:color="auto" w:fill="auto"/>
            <w:vAlign w:val="center"/>
            <w:hideMark/>
          </w:tcPr>
          <w:p w14:paraId="6C49C301" w14:textId="77777777" w:rsidR="00572995" w:rsidRPr="00483EBE" w:rsidRDefault="00572995" w:rsidP="00E8324D">
            <w:pPr>
              <w:pStyle w:val="Tablas"/>
              <w:rPr>
                <w:sz w:val="12"/>
                <w:szCs w:val="12"/>
              </w:rPr>
            </w:pPr>
            <w:r w:rsidRPr="00483EBE">
              <w:rPr>
                <w:sz w:val="12"/>
                <w:szCs w:val="12"/>
              </w:rPr>
              <w:t>$3,034</w:t>
            </w:r>
          </w:p>
        </w:tc>
        <w:tc>
          <w:tcPr>
            <w:tcW w:w="0" w:type="auto"/>
            <w:tcBorders>
              <w:top w:val="nil"/>
              <w:left w:val="nil"/>
              <w:bottom w:val="single" w:sz="4" w:space="0" w:color="auto"/>
              <w:right w:val="single" w:sz="4" w:space="0" w:color="auto"/>
            </w:tcBorders>
            <w:shd w:val="clear" w:color="auto" w:fill="auto"/>
            <w:vAlign w:val="center"/>
            <w:hideMark/>
          </w:tcPr>
          <w:p w14:paraId="64CAF519"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5929A41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D89B2D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69DE44E"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24C38C9" w14:textId="77777777" w:rsidR="00572995" w:rsidRPr="00483EBE" w:rsidRDefault="00572995" w:rsidP="00E8324D">
            <w:pPr>
              <w:pStyle w:val="Tablas"/>
              <w:rPr>
                <w:sz w:val="12"/>
                <w:szCs w:val="12"/>
              </w:rPr>
            </w:pPr>
            <w:r w:rsidRPr="00483EBE">
              <w:rPr>
                <w:sz w:val="12"/>
                <w:szCs w:val="12"/>
              </w:rPr>
              <w:t xml:space="preserve">52 </w:t>
            </w:r>
          </w:p>
        </w:tc>
        <w:tc>
          <w:tcPr>
            <w:tcW w:w="0" w:type="auto"/>
            <w:tcBorders>
              <w:top w:val="nil"/>
              <w:left w:val="nil"/>
              <w:bottom w:val="single" w:sz="4" w:space="0" w:color="auto"/>
              <w:right w:val="single" w:sz="4" w:space="0" w:color="auto"/>
            </w:tcBorders>
            <w:shd w:val="clear" w:color="auto" w:fill="auto"/>
            <w:vAlign w:val="center"/>
            <w:hideMark/>
          </w:tcPr>
          <w:p w14:paraId="012B568F" w14:textId="77777777" w:rsidR="00572995" w:rsidRPr="00483EBE" w:rsidRDefault="00572995" w:rsidP="00E8324D">
            <w:pPr>
              <w:pStyle w:val="Tablas"/>
              <w:rPr>
                <w:sz w:val="12"/>
                <w:szCs w:val="12"/>
              </w:rPr>
            </w:pPr>
            <w:r w:rsidRPr="00483EBE">
              <w:rPr>
                <w:sz w:val="12"/>
                <w:szCs w:val="12"/>
              </w:rPr>
              <w:t>$153,779</w:t>
            </w:r>
          </w:p>
        </w:tc>
        <w:tc>
          <w:tcPr>
            <w:tcW w:w="0" w:type="auto"/>
            <w:tcBorders>
              <w:top w:val="nil"/>
              <w:left w:val="nil"/>
              <w:bottom w:val="single" w:sz="4" w:space="0" w:color="auto"/>
              <w:right w:val="single" w:sz="4" w:space="0" w:color="auto"/>
            </w:tcBorders>
            <w:shd w:val="clear" w:color="auto" w:fill="auto"/>
            <w:vAlign w:val="center"/>
            <w:hideMark/>
          </w:tcPr>
          <w:p w14:paraId="76A44FC3" w14:textId="77777777" w:rsidR="00572995" w:rsidRPr="00483EBE" w:rsidRDefault="00572995" w:rsidP="00E8324D">
            <w:pPr>
              <w:pStyle w:val="Tablas"/>
              <w:rPr>
                <w:sz w:val="12"/>
                <w:szCs w:val="12"/>
              </w:rPr>
            </w:pPr>
            <w:r w:rsidRPr="00483EBE">
              <w:rPr>
                <w:sz w:val="12"/>
                <w:szCs w:val="12"/>
              </w:rPr>
              <w:t>$2,957</w:t>
            </w:r>
          </w:p>
        </w:tc>
        <w:tc>
          <w:tcPr>
            <w:tcW w:w="0" w:type="auto"/>
            <w:tcBorders>
              <w:top w:val="nil"/>
              <w:left w:val="nil"/>
              <w:bottom w:val="single" w:sz="4" w:space="0" w:color="auto"/>
              <w:right w:val="single" w:sz="4" w:space="0" w:color="auto"/>
            </w:tcBorders>
            <w:shd w:val="clear" w:color="auto" w:fill="auto"/>
            <w:vAlign w:val="center"/>
            <w:hideMark/>
          </w:tcPr>
          <w:p w14:paraId="1894E54D" w14:textId="77777777" w:rsidR="00572995" w:rsidRPr="00483EBE" w:rsidRDefault="00572995" w:rsidP="00E8324D">
            <w:pPr>
              <w:pStyle w:val="Tablas"/>
              <w:rPr>
                <w:sz w:val="12"/>
                <w:szCs w:val="12"/>
              </w:rPr>
            </w:pPr>
            <w:r w:rsidRPr="00483EBE">
              <w:rPr>
                <w:sz w:val="12"/>
                <w:szCs w:val="12"/>
              </w:rPr>
              <w:t>$246</w:t>
            </w:r>
          </w:p>
        </w:tc>
        <w:tc>
          <w:tcPr>
            <w:tcW w:w="0" w:type="auto"/>
            <w:tcBorders>
              <w:top w:val="nil"/>
              <w:left w:val="nil"/>
              <w:bottom w:val="single" w:sz="4" w:space="0" w:color="auto"/>
              <w:right w:val="single" w:sz="4" w:space="0" w:color="auto"/>
            </w:tcBorders>
            <w:shd w:val="clear" w:color="auto" w:fill="auto"/>
            <w:vAlign w:val="center"/>
            <w:hideMark/>
          </w:tcPr>
          <w:p w14:paraId="232D8AE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537524F" w14:textId="77777777" w:rsidR="00572995" w:rsidRPr="00483EBE" w:rsidRDefault="00572995" w:rsidP="00E8324D">
            <w:pPr>
              <w:pStyle w:val="Tablas"/>
              <w:rPr>
                <w:sz w:val="12"/>
                <w:szCs w:val="12"/>
              </w:rPr>
            </w:pPr>
            <w:r w:rsidRPr="00483EBE">
              <w:rPr>
                <w:sz w:val="12"/>
                <w:szCs w:val="12"/>
              </w:rPr>
              <w:t>SEBD</w:t>
            </w:r>
          </w:p>
        </w:tc>
      </w:tr>
      <w:tr w:rsidR="00572995" w:rsidRPr="00483EBE" w14:paraId="43EECAA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6A48E5"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467B6FCE" w14:textId="77777777" w:rsidR="00572995" w:rsidRPr="00483EBE" w:rsidRDefault="00572995" w:rsidP="00E8324D">
            <w:pPr>
              <w:pStyle w:val="Tablas"/>
              <w:rPr>
                <w:sz w:val="12"/>
                <w:szCs w:val="12"/>
              </w:rPr>
            </w:pPr>
            <w:r w:rsidRPr="00483EBE">
              <w:rPr>
                <w:sz w:val="12"/>
                <w:szCs w:val="12"/>
              </w:rPr>
              <w:t xml:space="preserve">950 </w:t>
            </w:r>
          </w:p>
        </w:tc>
        <w:tc>
          <w:tcPr>
            <w:tcW w:w="0" w:type="auto"/>
            <w:tcBorders>
              <w:top w:val="nil"/>
              <w:left w:val="nil"/>
              <w:bottom w:val="single" w:sz="4" w:space="0" w:color="auto"/>
              <w:right w:val="single" w:sz="4" w:space="0" w:color="auto"/>
            </w:tcBorders>
            <w:shd w:val="clear" w:color="auto" w:fill="auto"/>
            <w:vAlign w:val="center"/>
            <w:hideMark/>
          </w:tcPr>
          <w:p w14:paraId="087CF9EC" w14:textId="77777777" w:rsidR="00572995" w:rsidRPr="00483EBE" w:rsidRDefault="00572995" w:rsidP="00E8324D">
            <w:pPr>
              <w:pStyle w:val="Tablas"/>
              <w:rPr>
                <w:sz w:val="12"/>
                <w:szCs w:val="12"/>
              </w:rPr>
            </w:pPr>
            <w:r w:rsidRPr="00483EBE">
              <w:rPr>
                <w:sz w:val="12"/>
                <w:szCs w:val="12"/>
              </w:rPr>
              <w:t>$2,808,579</w:t>
            </w:r>
          </w:p>
        </w:tc>
        <w:tc>
          <w:tcPr>
            <w:tcW w:w="0" w:type="auto"/>
            <w:tcBorders>
              <w:top w:val="nil"/>
              <w:left w:val="nil"/>
              <w:bottom w:val="single" w:sz="4" w:space="0" w:color="auto"/>
              <w:right w:val="single" w:sz="4" w:space="0" w:color="auto"/>
            </w:tcBorders>
            <w:shd w:val="clear" w:color="auto" w:fill="auto"/>
            <w:vAlign w:val="center"/>
            <w:hideMark/>
          </w:tcPr>
          <w:p w14:paraId="3D8C7C2C" w14:textId="77777777" w:rsidR="00572995" w:rsidRPr="00483EBE" w:rsidRDefault="00572995" w:rsidP="00E8324D">
            <w:pPr>
              <w:pStyle w:val="Tablas"/>
              <w:rPr>
                <w:sz w:val="12"/>
                <w:szCs w:val="12"/>
              </w:rPr>
            </w:pPr>
            <w:r w:rsidRPr="00483EBE">
              <w:rPr>
                <w:sz w:val="12"/>
                <w:szCs w:val="12"/>
              </w:rPr>
              <w:t>$2,956</w:t>
            </w:r>
          </w:p>
        </w:tc>
        <w:tc>
          <w:tcPr>
            <w:tcW w:w="0" w:type="auto"/>
            <w:tcBorders>
              <w:top w:val="nil"/>
              <w:left w:val="nil"/>
              <w:bottom w:val="single" w:sz="4" w:space="0" w:color="auto"/>
              <w:right w:val="single" w:sz="4" w:space="0" w:color="auto"/>
            </w:tcBorders>
            <w:shd w:val="clear" w:color="auto" w:fill="auto"/>
            <w:vAlign w:val="center"/>
            <w:hideMark/>
          </w:tcPr>
          <w:p w14:paraId="5184689E" w14:textId="77777777" w:rsidR="00572995" w:rsidRPr="00483EBE" w:rsidRDefault="00572995" w:rsidP="00E8324D">
            <w:pPr>
              <w:pStyle w:val="Tablas"/>
              <w:rPr>
                <w:sz w:val="12"/>
                <w:szCs w:val="12"/>
              </w:rPr>
            </w:pPr>
            <w:r w:rsidRPr="00483EBE">
              <w:rPr>
                <w:sz w:val="12"/>
                <w:szCs w:val="12"/>
              </w:rPr>
              <w:t>$246</w:t>
            </w:r>
          </w:p>
        </w:tc>
        <w:tc>
          <w:tcPr>
            <w:tcW w:w="0" w:type="auto"/>
            <w:tcBorders>
              <w:top w:val="nil"/>
              <w:left w:val="nil"/>
              <w:bottom w:val="single" w:sz="4" w:space="0" w:color="auto"/>
              <w:right w:val="single" w:sz="4" w:space="0" w:color="auto"/>
            </w:tcBorders>
            <w:shd w:val="clear" w:color="auto" w:fill="auto"/>
            <w:vAlign w:val="center"/>
            <w:hideMark/>
          </w:tcPr>
          <w:p w14:paraId="5FAE5DE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F560F7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39CDF56"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1430D789" w14:textId="77777777" w:rsidR="00572995" w:rsidRPr="00483EBE" w:rsidRDefault="00572995" w:rsidP="00E8324D">
            <w:pPr>
              <w:pStyle w:val="Tablas"/>
              <w:rPr>
                <w:sz w:val="12"/>
                <w:szCs w:val="12"/>
              </w:rPr>
            </w:pPr>
            <w:r w:rsidRPr="00483EBE">
              <w:rPr>
                <w:sz w:val="12"/>
                <w:szCs w:val="12"/>
              </w:rPr>
              <w:t xml:space="preserve">56 </w:t>
            </w:r>
          </w:p>
        </w:tc>
        <w:tc>
          <w:tcPr>
            <w:tcW w:w="0" w:type="auto"/>
            <w:tcBorders>
              <w:top w:val="nil"/>
              <w:left w:val="nil"/>
              <w:bottom w:val="single" w:sz="4" w:space="0" w:color="auto"/>
              <w:right w:val="single" w:sz="4" w:space="0" w:color="auto"/>
            </w:tcBorders>
            <w:shd w:val="clear" w:color="auto" w:fill="auto"/>
            <w:vAlign w:val="center"/>
            <w:hideMark/>
          </w:tcPr>
          <w:p w14:paraId="30C96ED3" w14:textId="77777777" w:rsidR="00572995" w:rsidRPr="00483EBE" w:rsidRDefault="00572995" w:rsidP="00E8324D">
            <w:pPr>
              <w:pStyle w:val="Tablas"/>
              <w:rPr>
                <w:sz w:val="12"/>
                <w:szCs w:val="12"/>
              </w:rPr>
            </w:pPr>
            <w:r w:rsidRPr="00483EBE">
              <w:rPr>
                <w:sz w:val="12"/>
                <w:szCs w:val="12"/>
              </w:rPr>
              <w:t>$188,735</w:t>
            </w:r>
          </w:p>
        </w:tc>
        <w:tc>
          <w:tcPr>
            <w:tcW w:w="0" w:type="auto"/>
            <w:tcBorders>
              <w:top w:val="nil"/>
              <w:left w:val="nil"/>
              <w:bottom w:val="single" w:sz="4" w:space="0" w:color="auto"/>
              <w:right w:val="single" w:sz="4" w:space="0" w:color="auto"/>
            </w:tcBorders>
            <w:shd w:val="clear" w:color="auto" w:fill="auto"/>
            <w:vAlign w:val="center"/>
            <w:hideMark/>
          </w:tcPr>
          <w:p w14:paraId="3AAD5624" w14:textId="77777777" w:rsidR="00572995" w:rsidRPr="00483EBE" w:rsidRDefault="00572995" w:rsidP="00E8324D">
            <w:pPr>
              <w:pStyle w:val="Tablas"/>
              <w:rPr>
                <w:sz w:val="12"/>
                <w:szCs w:val="12"/>
              </w:rPr>
            </w:pPr>
            <w:r w:rsidRPr="00483EBE">
              <w:rPr>
                <w:sz w:val="12"/>
                <w:szCs w:val="12"/>
              </w:rPr>
              <w:t>$3,370</w:t>
            </w:r>
          </w:p>
        </w:tc>
        <w:tc>
          <w:tcPr>
            <w:tcW w:w="0" w:type="auto"/>
            <w:tcBorders>
              <w:top w:val="nil"/>
              <w:left w:val="nil"/>
              <w:bottom w:val="single" w:sz="4" w:space="0" w:color="auto"/>
              <w:right w:val="single" w:sz="4" w:space="0" w:color="auto"/>
            </w:tcBorders>
            <w:shd w:val="clear" w:color="auto" w:fill="auto"/>
            <w:vAlign w:val="center"/>
            <w:hideMark/>
          </w:tcPr>
          <w:p w14:paraId="26CE737A" w14:textId="77777777" w:rsidR="00572995" w:rsidRPr="00483EBE" w:rsidRDefault="00572995" w:rsidP="00E8324D">
            <w:pPr>
              <w:pStyle w:val="Tablas"/>
              <w:rPr>
                <w:sz w:val="12"/>
                <w:szCs w:val="12"/>
              </w:rPr>
            </w:pPr>
            <w:r w:rsidRPr="00483EBE">
              <w:rPr>
                <w:sz w:val="12"/>
                <w:szCs w:val="12"/>
              </w:rPr>
              <w:t>$281</w:t>
            </w:r>
          </w:p>
        </w:tc>
        <w:tc>
          <w:tcPr>
            <w:tcW w:w="0" w:type="auto"/>
            <w:tcBorders>
              <w:top w:val="nil"/>
              <w:left w:val="nil"/>
              <w:bottom w:val="single" w:sz="4" w:space="0" w:color="auto"/>
              <w:right w:val="single" w:sz="4" w:space="0" w:color="auto"/>
            </w:tcBorders>
            <w:shd w:val="clear" w:color="auto" w:fill="auto"/>
            <w:vAlign w:val="center"/>
            <w:hideMark/>
          </w:tcPr>
          <w:p w14:paraId="5930E55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3DB0229" w14:textId="77777777" w:rsidR="00572995" w:rsidRPr="00483EBE" w:rsidRDefault="00572995" w:rsidP="00E8324D">
            <w:pPr>
              <w:pStyle w:val="Tablas"/>
              <w:rPr>
                <w:sz w:val="12"/>
                <w:szCs w:val="12"/>
              </w:rPr>
            </w:pPr>
            <w:r w:rsidRPr="00483EBE">
              <w:rPr>
                <w:sz w:val="12"/>
                <w:szCs w:val="12"/>
              </w:rPr>
              <w:t>SEBD</w:t>
            </w:r>
          </w:p>
        </w:tc>
      </w:tr>
      <w:tr w:rsidR="00572995" w:rsidRPr="00483EBE" w14:paraId="046B54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E0D70F"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5EA7405A" w14:textId="77777777" w:rsidR="00572995" w:rsidRPr="00483EBE" w:rsidRDefault="00572995" w:rsidP="00E8324D">
            <w:pPr>
              <w:pStyle w:val="Tablas"/>
              <w:rPr>
                <w:sz w:val="12"/>
                <w:szCs w:val="12"/>
              </w:rPr>
            </w:pPr>
            <w:r w:rsidRPr="00483EBE">
              <w:rPr>
                <w:sz w:val="12"/>
                <w:szCs w:val="12"/>
              </w:rPr>
              <w:t xml:space="preserve">883 </w:t>
            </w:r>
          </w:p>
        </w:tc>
        <w:tc>
          <w:tcPr>
            <w:tcW w:w="0" w:type="auto"/>
            <w:tcBorders>
              <w:top w:val="nil"/>
              <w:left w:val="nil"/>
              <w:bottom w:val="single" w:sz="4" w:space="0" w:color="auto"/>
              <w:right w:val="single" w:sz="4" w:space="0" w:color="auto"/>
            </w:tcBorders>
            <w:shd w:val="clear" w:color="auto" w:fill="auto"/>
            <w:vAlign w:val="center"/>
            <w:hideMark/>
          </w:tcPr>
          <w:p w14:paraId="515C97BC" w14:textId="77777777" w:rsidR="00572995" w:rsidRPr="00483EBE" w:rsidRDefault="00572995" w:rsidP="00E8324D">
            <w:pPr>
              <w:pStyle w:val="Tablas"/>
              <w:rPr>
                <w:sz w:val="12"/>
                <w:szCs w:val="12"/>
              </w:rPr>
            </w:pPr>
            <w:r w:rsidRPr="00483EBE">
              <w:rPr>
                <w:sz w:val="12"/>
                <w:szCs w:val="12"/>
              </w:rPr>
              <w:t>$2,532,236</w:t>
            </w:r>
          </w:p>
        </w:tc>
        <w:tc>
          <w:tcPr>
            <w:tcW w:w="0" w:type="auto"/>
            <w:tcBorders>
              <w:top w:val="nil"/>
              <w:left w:val="nil"/>
              <w:bottom w:val="single" w:sz="4" w:space="0" w:color="auto"/>
              <w:right w:val="single" w:sz="4" w:space="0" w:color="auto"/>
            </w:tcBorders>
            <w:shd w:val="clear" w:color="auto" w:fill="auto"/>
            <w:vAlign w:val="center"/>
            <w:hideMark/>
          </w:tcPr>
          <w:p w14:paraId="6835D55F" w14:textId="77777777" w:rsidR="00572995" w:rsidRPr="00483EBE" w:rsidRDefault="00572995" w:rsidP="00E8324D">
            <w:pPr>
              <w:pStyle w:val="Tablas"/>
              <w:rPr>
                <w:sz w:val="12"/>
                <w:szCs w:val="12"/>
              </w:rPr>
            </w:pPr>
            <w:r w:rsidRPr="00483EBE">
              <w:rPr>
                <w:sz w:val="12"/>
                <w:szCs w:val="12"/>
              </w:rPr>
              <w:t>$2,868</w:t>
            </w:r>
          </w:p>
        </w:tc>
        <w:tc>
          <w:tcPr>
            <w:tcW w:w="0" w:type="auto"/>
            <w:tcBorders>
              <w:top w:val="nil"/>
              <w:left w:val="nil"/>
              <w:bottom w:val="single" w:sz="4" w:space="0" w:color="auto"/>
              <w:right w:val="single" w:sz="4" w:space="0" w:color="auto"/>
            </w:tcBorders>
            <w:shd w:val="clear" w:color="auto" w:fill="auto"/>
            <w:vAlign w:val="center"/>
            <w:hideMark/>
          </w:tcPr>
          <w:p w14:paraId="744781B0" w14:textId="77777777" w:rsidR="00572995" w:rsidRPr="00483EBE" w:rsidRDefault="00572995" w:rsidP="00E8324D">
            <w:pPr>
              <w:pStyle w:val="Tablas"/>
              <w:rPr>
                <w:sz w:val="12"/>
                <w:szCs w:val="12"/>
              </w:rPr>
            </w:pPr>
            <w:r w:rsidRPr="00483EBE">
              <w:rPr>
                <w:sz w:val="12"/>
                <w:szCs w:val="12"/>
              </w:rPr>
              <w:t>$239</w:t>
            </w:r>
          </w:p>
        </w:tc>
        <w:tc>
          <w:tcPr>
            <w:tcW w:w="0" w:type="auto"/>
            <w:tcBorders>
              <w:top w:val="nil"/>
              <w:left w:val="nil"/>
              <w:bottom w:val="single" w:sz="4" w:space="0" w:color="auto"/>
              <w:right w:val="single" w:sz="4" w:space="0" w:color="auto"/>
            </w:tcBorders>
            <w:shd w:val="clear" w:color="auto" w:fill="auto"/>
            <w:vAlign w:val="center"/>
            <w:hideMark/>
          </w:tcPr>
          <w:p w14:paraId="7647378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529C97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221C6A"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6AA8EDF7" w14:textId="77777777" w:rsidR="00572995" w:rsidRPr="00483EBE" w:rsidRDefault="00572995" w:rsidP="00E8324D">
            <w:pPr>
              <w:pStyle w:val="Tablas"/>
              <w:rPr>
                <w:sz w:val="12"/>
                <w:szCs w:val="12"/>
              </w:rPr>
            </w:pPr>
            <w:r w:rsidRPr="00483EBE">
              <w:rPr>
                <w:sz w:val="12"/>
                <w:szCs w:val="12"/>
              </w:rPr>
              <w:t xml:space="preserve">71 </w:t>
            </w:r>
          </w:p>
        </w:tc>
        <w:tc>
          <w:tcPr>
            <w:tcW w:w="0" w:type="auto"/>
            <w:tcBorders>
              <w:top w:val="nil"/>
              <w:left w:val="nil"/>
              <w:bottom w:val="single" w:sz="4" w:space="0" w:color="auto"/>
              <w:right w:val="single" w:sz="4" w:space="0" w:color="auto"/>
            </w:tcBorders>
            <w:shd w:val="clear" w:color="auto" w:fill="auto"/>
            <w:vAlign w:val="center"/>
            <w:hideMark/>
          </w:tcPr>
          <w:p w14:paraId="6DBE064D" w14:textId="77777777" w:rsidR="00572995" w:rsidRPr="00483EBE" w:rsidRDefault="00572995" w:rsidP="00E8324D">
            <w:pPr>
              <w:pStyle w:val="Tablas"/>
              <w:rPr>
                <w:sz w:val="12"/>
                <w:szCs w:val="12"/>
              </w:rPr>
            </w:pPr>
            <w:r w:rsidRPr="00483EBE">
              <w:rPr>
                <w:sz w:val="12"/>
                <w:szCs w:val="12"/>
              </w:rPr>
              <w:t>$219,854</w:t>
            </w:r>
          </w:p>
        </w:tc>
        <w:tc>
          <w:tcPr>
            <w:tcW w:w="0" w:type="auto"/>
            <w:tcBorders>
              <w:top w:val="nil"/>
              <w:left w:val="nil"/>
              <w:bottom w:val="single" w:sz="4" w:space="0" w:color="auto"/>
              <w:right w:val="single" w:sz="4" w:space="0" w:color="auto"/>
            </w:tcBorders>
            <w:shd w:val="clear" w:color="auto" w:fill="auto"/>
            <w:vAlign w:val="center"/>
            <w:hideMark/>
          </w:tcPr>
          <w:p w14:paraId="2E04B58E" w14:textId="77777777" w:rsidR="00572995" w:rsidRPr="00483EBE" w:rsidRDefault="00572995" w:rsidP="00E8324D">
            <w:pPr>
              <w:pStyle w:val="Tablas"/>
              <w:rPr>
                <w:sz w:val="12"/>
                <w:szCs w:val="12"/>
              </w:rPr>
            </w:pPr>
            <w:r w:rsidRPr="00483EBE">
              <w:rPr>
                <w:sz w:val="12"/>
                <w:szCs w:val="12"/>
              </w:rPr>
              <w:t>$3,097</w:t>
            </w:r>
          </w:p>
        </w:tc>
        <w:tc>
          <w:tcPr>
            <w:tcW w:w="0" w:type="auto"/>
            <w:tcBorders>
              <w:top w:val="nil"/>
              <w:left w:val="nil"/>
              <w:bottom w:val="single" w:sz="4" w:space="0" w:color="auto"/>
              <w:right w:val="single" w:sz="4" w:space="0" w:color="auto"/>
            </w:tcBorders>
            <w:shd w:val="clear" w:color="auto" w:fill="auto"/>
            <w:vAlign w:val="center"/>
            <w:hideMark/>
          </w:tcPr>
          <w:p w14:paraId="05B5CC8D" w14:textId="77777777" w:rsidR="00572995" w:rsidRPr="00483EBE" w:rsidRDefault="00572995" w:rsidP="00E8324D">
            <w:pPr>
              <w:pStyle w:val="Tablas"/>
              <w:rPr>
                <w:sz w:val="12"/>
                <w:szCs w:val="12"/>
              </w:rPr>
            </w:pPr>
            <w:r w:rsidRPr="00483EBE">
              <w:rPr>
                <w:sz w:val="12"/>
                <w:szCs w:val="12"/>
              </w:rPr>
              <w:t>$258</w:t>
            </w:r>
          </w:p>
        </w:tc>
        <w:tc>
          <w:tcPr>
            <w:tcW w:w="0" w:type="auto"/>
            <w:tcBorders>
              <w:top w:val="nil"/>
              <w:left w:val="nil"/>
              <w:bottom w:val="single" w:sz="4" w:space="0" w:color="auto"/>
              <w:right w:val="single" w:sz="4" w:space="0" w:color="auto"/>
            </w:tcBorders>
            <w:shd w:val="clear" w:color="auto" w:fill="auto"/>
            <w:vAlign w:val="center"/>
            <w:hideMark/>
          </w:tcPr>
          <w:p w14:paraId="2A74E70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1D00561" w14:textId="77777777" w:rsidR="00572995" w:rsidRPr="00483EBE" w:rsidRDefault="00572995" w:rsidP="00E8324D">
            <w:pPr>
              <w:pStyle w:val="Tablas"/>
              <w:rPr>
                <w:sz w:val="12"/>
                <w:szCs w:val="12"/>
              </w:rPr>
            </w:pPr>
            <w:r w:rsidRPr="00483EBE">
              <w:rPr>
                <w:sz w:val="12"/>
                <w:szCs w:val="12"/>
              </w:rPr>
              <w:t>SEBD</w:t>
            </w:r>
          </w:p>
        </w:tc>
      </w:tr>
      <w:tr w:rsidR="00572995" w:rsidRPr="00483EBE" w14:paraId="0E8BC44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965CF1"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37784F3C" w14:textId="77777777" w:rsidR="00572995" w:rsidRPr="00483EBE" w:rsidRDefault="00572995" w:rsidP="00E8324D">
            <w:pPr>
              <w:pStyle w:val="Tablas"/>
              <w:rPr>
                <w:sz w:val="12"/>
                <w:szCs w:val="12"/>
              </w:rPr>
            </w:pPr>
            <w:r w:rsidRPr="00483EBE">
              <w:rPr>
                <w:sz w:val="12"/>
                <w:szCs w:val="12"/>
              </w:rPr>
              <w:t xml:space="preserve">868 </w:t>
            </w:r>
          </w:p>
        </w:tc>
        <w:tc>
          <w:tcPr>
            <w:tcW w:w="0" w:type="auto"/>
            <w:tcBorders>
              <w:top w:val="nil"/>
              <w:left w:val="nil"/>
              <w:bottom w:val="single" w:sz="4" w:space="0" w:color="auto"/>
              <w:right w:val="single" w:sz="4" w:space="0" w:color="auto"/>
            </w:tcBorders>
            <w:shd w:val="clear" w:color="auto" w:fill="auto"/>
            <w:vAlign w:val="center"/>
            <w:hideMark/>
          </w:tcPr>
          <w:p w14:paraId="1D8487CB" w14:textId="77777777" w:rsidR="00572995" w:rsidRPr="00483EBE" w:rsidRDefault="00572995" w:rsidP="00E8324D">
            <w:pPr>
              <w:pStyle w:val="Tablas"/>
              <w:rPr>
                <w:sz w:val="12"/>
                <w:szCs w:val="12"/>
              </w:rPr>
            </w:pPr>
            <w:r w:rsidRPr="00483EBE">
              <w:rPr>
                <w:sz w:val="12"/>
                <w:szCs w:val="12"/>
              </w:rPr>
              <w:t>$2,516,006</w:t>
            </w:r>
          </w:p>
        </w:tc>
        <w:tc>
          <w:tcPr>
            <w:tcW w:w="0" w:type="auto"/>
            <w:tcBorders>
              <w:top w:val="nil"/>
              <w:left w:val="nil"/>
              <w:bottom w:val="single" w:sz="4" w:space="0" w:color="auto"/>
              <w:right w:val="single" w:sz="4" w:space="0" w:color="auto"/>
            </w:tcBorders>
            <w:shd w:val="clear" w:color="auto" w:fill="auto"/>
            <w:vAlign w:val="center"/>
            <w:hideMark/>
          </w:tcPr>
          <w:p w14:paraId="005A25CE" w14:textId="77777777" w:rsidR="00572995" w:rsidRPr="00483EBE" w:rsidRDefault="00572995" w:rsidP="00E8324D">
            <w:pPr>
              <w:pStyle w:val="Tablas"/>
              <w:rPr>
                <w:sz w:val="12"/>
                <w:szCs w:val="12"/>
              </w:rPr>
            </w:pPr>
            <w:r w:rsidRPr="00483EBE">
              <w:rPr>
                <w:sz w:val="12"/>
                <w:szCs w:val="12"/>
              </w:rPr>
              <w:t>$2,899</w:t>
            </w:r>
          </w:p>
        </w:tc>
        <w:tc>
          <w:tcPr>
            <w:tcW w:w="0" w:type="auto"/>
            <w:tcBorders>
              <w:top w:val="nil"/>
              <w:left w:val="nil"/>
              <w:bottom w:val="single" w:sz="4" w:space="0" w:color="auto"/>
              <w:right w:val="single" w:sz="4" w:space="0" w:color="auto"/>
            </w:tcBorders>
            <w:shd w:val="clear" w:color="auto" w:fill="auto"/>
            <w:vAlign w:val="center"/>
            <w:hideMark/>
          </w:tcPr>
          <w:p w14:paraId="1D690603" w14:textId="77777777" w:rsidR="00572995" w:rsidRPr="00483EBE" w:rsidRDefault="00572995" w:rsidP="00E8324D">
            <w:pPr>
              <w:pStyle w:val="Tablas"/>
              <w:rPr>
                <w:sz w:val="12"/>
                <w:szCs w:val="12"/>
              </w:rPr>
            </w:pPr>
            <w:r w:rsidRPr="00483EBE">
              <w:rPr>
                <w:sz w:val="12"/>
                <w:szCs w:val="12"/>
              </w:rPr>
              <w:t>$242</w:t>
            </w:r>
          </w:p>
        </w:tc>
        <w:tc>
          <w:tcPr>
            <w:tcW w:w="0" w:type="auto"/>
            <w:tcBorders>
              <w:top w:val="nil"/>
              <w:left w:val="nil"/>
              <w:bottom w:val="single" w:sz="4" w:space="0" w:color="auto"/>
              <w:right w:val="single" w:sz="4" w:space="0" w:color="auto"/>
            </w:tcBorders>
            <w:shd w:val="clear" w:color="auto" w:fill="auto"/>
            <w:vAlign w:val="center"/>
            <w:hideMark/>
          </w:tcPr>
          <w:p w14:paraId="6118611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F51292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A3FAA1"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18D2E74E" w14:textId="77777777" w:rsidR="00572995" w:rsidRPr="00483EBE" w:rsidRDefault="00572995" w:rsidP="00E8324D">
            <w:pPr>
              <w:pStyle w:val="Tablas"/>
              <w:rPr>
                <w:sz w:val="12"/>
                <w:szCs w:val="12"/>
              </w:rPr>
            </w:pPr>
            <w:r w:rsidRPr="00483EBE">
              <w:rPr>
                <w:sz w:val="12"/>
                <w:szCs w:val="12"/>
              </w:rPr>
              <w:t xml:space="preserve">80 </w:t>
            </w:r>
          </w:p>
        </w:tc>
        <w:tc>
          <w:tcPr>
            <w:tcW w:w="0" w:type="auto"/>
            <w:tcBorders>
              <w:top w:val="nil"/>
              <w:left w:val="nil"/>
              <w:bottom w:val="single" w:sz="4" w:space="0" w:color="auto"/>
              <w:right w:val="single" w:sz="4" w:space="0" w:color="auto"/>
            </w:tcBorders>
            <w:shd w:val="clear" w:color="auto" w:fill="auto"/>
            <w:vAlign w:val="center"/>
            <w:hideMark/>
          </w:tcPr>
          <w:p w14:paraId="6E0055A1" w14:textId="77777777" w:rsidR="00572995" w:rsidRPr="00483EBE" w:rsidRDefault="00572995" w:rsidP="00E8324D">
            <w:pPr>
              <w:pStyle w:val="Tablas"/>
              <w:rPr>
                <w:sz w:val="12"/>
                <w:szCs w:val="12"/>
              </w:rPr>
            </w:pPr>
            <w:r w:rsidRPr="00483EBE">
              <w:rPr>
                <w:sz w:val="12"/>
                <w:szCs w:val="12"/>
              </w:rPr>
              <w:t>$240,339</w:t>
            </w:r>
          </w:p>
        </w:tc>
        <w:tc>
          <w:tcPr>
            <w:tcW w:w="0" w:type="auto"/>
            <w:tcBorders>
              <w:top w:val="nil"/>
              <w:left w:val="nil"/>
              <w:bottom w:val="single" w:sz="4" w:space="0" w:color="auto"/>
              <w:right w:val="single" w:sz="4" w:space="0" w:color="auto"/>
            </w:tcBorders>
            <w:shd w:val="clear" w:color="auto" w:fill="auto"/>
            <w:vAlign w:val="center"/>
            <w:hideMark/>
          </w:tcPr>
          <w:p w14:paraId="1DE1E778" w14:textId="77777777" w:rsidR="00572995" w:rsidRPr="00483EBE" w:rsidRDefault="00572995" w:rsidP="00E8324D">
            <w:pPr>
              <w:pStyle w:val="Tablas"/>
              <w:rPr>
                <w:sz w:val="12"/>
                <w:szCs w:val="12"/>
              </w:rPr>
            </w:pPr>
            <w:r w:rsidRPr="00483EBE">
              <w:rPr>
                <w:sz w:val="12"/>
                <w:szCs w:val="12"/>
              </w:rPr>
              <w:t>$3,004</w:t>
            </w:r>
          </w:p>
        </w:tc>
        <w:tc>
          <w:tcPr>
            <w:tcW w:w="0" w:type="auto"/>
            <w:tcBorders>
              <w:top w:val="nil"/>
              <w:left w:val="nil"/>
              <w:bottom w:val="single" w:sz="4" w:space="0" w:color="auto"/>
              <w:right w:val="single" w:sz="4" w:space="0" w:color="auto"/>
            </w:tcBorders>
            <w:shd w:val="clear" w:color="auto" w:fill="auto"/>
            <w:vAlign w:val="center"/>
            <w:hideMark/>
          </w:tcPr>
          <w:p w14:paraId="7E79A24F"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1B54A7FD"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9BD4EFB" w14:textId="77777777" w:rsidR="00572995" w:rsidRPr="00483EBE" w:rsidRDefault="00572995" w:rsidP="00E8324D">
            <w:pPr>
              <w:pStyle w:val="Tablas"/>
              <w:rPr>
                <w:sz w:val="12"/>
                <w:szCs w:val="12"/>
              </w:rPr>
            </w:pPr>
            <w:r w:rsidRPr="00483EBE">
              <w:rPr>
                <w:sz w:val="12"/>
                <w:szCs w:val="12"/>
              </w:rPr>
              <w:t>SEBD</w:t>
            </w:r>
          </w:p>
        </w:tc>
      </w:tr>
      <w:tr w:rsidR="00572995" w:rsidRPr="00483EBE" w14:paraId="22DBFC5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2F4DFFC"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27418F61" w14:textId="77777777" w:rsidR="00572995" w:rsidRPr="00483EBE" w:rsidRDefault="00572995" w:rsidP="00E8324D">
            <w:pPr>
              <w:pStyle w:val="Tablas"/>
              <w:rPr>
                <w:sz w:val="12"/>
                <w:szCs w:val="12"/>
              </w:rPr>
            </w:pPr>
            <w:r w:rsidRPr="00483EBE">
              <w:rPr>
                <w:sz w:val="12"/>
                <w:szCs w:val="12"/>
              </w:rPr>
              <w:t xml:space="preserve">826 </w:t>
            </w:r>
          </w:p>
        </w:tc>
        <w:tc>
          <w:tcPr>
            <w:tcW w:w="0" w:type="auto"/>
            <w:tcBorders>
              <w:top w:val="nil"/>
              <w:left w:val="nil"/>
              <w:bottom w:val="single" w:sz="4" w:space="0" w:color="auto"/>
              <w:right w:val="single" w:sz="4" w:space="0" w:color="auto"/>
            </w:tcBorders>
            <w:shd w:val="clear" w:color="auto" w:fill="auto"/>
            <w:vAlign w:val="center"/>
            <w:hideMark/>
          </w:tcPr>
          <w:p w14:paraId="192644FF" w14:textId="77777777" w:rsidR="00572995" w:rsidRPr="00483EBE" w:rsidRDefault="00572995" w:rsidP="00E8324D">
            <w:pPr>
              <w:pStyle w:val="Tablas"/>
              <w:rPr>
                <w:sz w:val="12"/>
                <w:szCs w:val="12"/>
              </w:rPr>
            </w:pPr>
            <w:r w:rsidRPr="00483EBE">
              <w:rPr>
                <w:sz w:val="12"/>
                <w:szCs w:val="12"/>
              </w:rPr>
              <w:t>$2,249,615</w:t>
            </w:r>
          </w:p>
        </w:tc>
        <w:tc>
          <w:tcPr>
            <w:tcW w:w="0" w:type="auto"/>
            <w:tcBorders>
              <w:top w:val="nil"/>
              <w:left w:val="nil"/>
              <w:bottom w:val="single" w:sz="4" w:space="0" w:color="auto"/>
              <w:right w:val="single" w:sz="4" w:space="0" w:color="auto"/>
            </w:tcBorders>
            <w:shd w:val="clear" w:color="auto" w:fill="auto"/>
            <w:vAlign w:val="center"/>
            <w:hideMark/>
          </w:tcPr>
          <w:p w14:paraId="6C31AC6C" w14:textId="77777777" w:rsidR="00572995" w:rsidRPr="00483EBE" w:rsidRDefault="00572995" w:rsidP="00E8324D">
            <w:pPr>
              <w:pStyle w:val="Tablas"/>
              <w:rPr>
                <w:sz w:val="12"/>
                <w:szCs w:val="12"/>
              </w:rPr>
            </w:pPr>
            <w:r w:rsidRPr="00483EBE">
              <w:rPr>
                <w:sz w:val="12"/>
                <w:szCs w:val="12"/>
              </w:rPr>
              <w:t>$2,724</w:t>
            </w:r>
          </w:p>
        </w:tc>
        <w:tc>
          <w:tcPr>
            <w:tcW w:w="0" w:type="auto"/>
            <w:tcBorders>
              <w:top w:val="nil"/>
              <w:left w:val="nil"/>
              <w:bottom w:val="single" w:sz="4" w:space="0" w:color="auto"/>
              <w:right w:val="single" w:sz="4" w:space="0" w:color="auto"/>
            </w:tcBorders>
            <w:shd w:val="clear" w:color="auto" w:fill="auto"/>
            <w:vAlign w:val="center"/>
            <w:hideMark/>
          </w:tcPr>
          <w:p w14:paraId="48B09781" w14:textId="77777777" w:rsidR="00572995" w:rsidRPr="00483EBE" w:rsidRDefault="00572995" w:rsidP="00E8324D">
            <w:pPr>
              <w:pStyle w:val="Tablas"/>
              <w:rPr>
                <w:sz w:val="12"/>
                <w:szCs w:val="12"/>
              </w:rPr>
            </w:pPr>
            <w:r w:rsidRPr="00483EBE">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39B11BD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A85B0C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DB28BE"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53B6DD2F" w14:textId="77777777" w:rsidR="00572995" w:rsidRPr="00483EBE" w:rsidRDefault="00572995" w:rsidP="00E8324D">
            <w:pPr>
              <w:pStyle w:val="Tablas"/>
              <w:rPr>
                <w:sz w:val="12"/>
                <w:szCs w:val="12"/>
              </w:rPr>
            </w:pPr>
            <w:r w:rsidRPr="00483EBE">
              <w:rPr>
                <w:sz w:val="12"/>
                <w:szCs w:val="12"/>
              </w:rPr>
              <w:t xml:space="preserve">76 </w:t>
            </w:r>
          </w:p>
        </w:tc>
        <w:tc>
          <w:tcPr>
            <w:tcW w:w="0" w:type="auto"/>
            <w:tcBorders>
              <w:top w:val="nil"/>
              <w:left w:val="nil"/>
              <w:bottom w:val="single" w:sz="4" w:space="0" w:color="auto"/>
              <w:right w:val="single" w:sz="4" w:space="0" w:color="auto"/>
            </w:tcBorders>
            <w:shd w:val="clear" w:color="auto" w:fill="auto"/>
            <w:vAlign w:val="center"/>
            <w:hideMark/>
          </w:tcPr>
          <w:p w14:paraId="29503DF3" w14:textId="77777777" w:rsidR="00572995" w:rsidRPr="00483EBE" w:rsidRDefault="00572995" w:rsidP="00E8324D">
            <w:pPr>
              <w:pStyle w:val="Tablas"/>
              <w:rPr>
                <w:sz w:val="12"/>
                <w:szCs w:val="12"/>
              </w:rPr>
            </w:pPr>
            <w:r w:rsidRPr="00483EBE">
              <w:rPr>
                <w:sz w:val="12"/>
                <w:szCs w:val="12"/>
              </w:rPr>
              <w:t>$221,910</w:t>
            </w:r>
          </w:p>
        </w:tc>
        <w:tc>
          <w:tcPr>
            <w:tcW w:w="0" w:type="auto"/>
            <w:tcBorders>
              <w:top w:val="nil"/>
              <w:left w:val="nil"/>
              <w:bottom w:val="single" w:sz="4" w:space="0" w:color="auto"/>
              <w:right w:val="single" w:sz="4" w:space="0" w:color="auto"/>
            </w:tcBorders>
            <w:shd w:val="clear" w:color="auto" w:fill="auto"/>
            <w:vAlign w:val="center"/>
            <w:hideMark/>
          </w:tcPr>
          <w:p w14:paraId="06656002" w14:textId="77777777" w:rsidR="00572995" w:rsidRPr="00483EBE" w:rsidRDefault="00572995" w:rsidP="00E8324D">
            <w:pPr>
              <w:pStyle w:val="Tablas"/>
              <w:rPr>
                <w:sz w:val="12"/>
                <w:szCs w:val="12"/>
              </w:rPr>
            </w:pPr>
            <w:r w:rsidRPr="00483EBE">
              <w:rPr>
                <w:sz w:val="12"/>
                <w:szCs w:val="12"/>
              </w:rPr>
              <w:t>$2,920</w:t>
            </w:r>
          </w:p>
        </w:tc>
        <w:tc>
          <w:tcPr>
            <w:tcW w:w="0" w:type="auto"/>
            <w:tcBorders>
              <w:top w:val="nil"/>
              <w:left w:val="nil"/>
              <w:bottom w:val="single" w:sz="4" w:space="0" w:color="auto"/>
              <w:right w:val="single" w:sz="4" w:space="0" w:color="auto"/>
            </w:tcBorders>
            <w:shd w:val="clear" w:color="auto" w:fill="auto"/>
            <w:vAlign w:val="center"/>
            <w:hideMark/>
          </w:tcPr>
          <w:p w14:paraId="7A20E033"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5A45FC9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9F6F9DA" w14:textId="77777777" w:rsidR="00572995" w:rsidRPr="00483EBE" w:rsidRDefault="00572995" w:rsidP="00E8324D">
            <w:pPr>
              <w:pStyle w:val="Tablas"/>
              <w:rPr>
                <w:sz w:val="12"/>
                <w:szCs w:val="12"/>
              </w:rPr>
            </w:pPr>
            <w:r w:rsidRPr="00483EBE">
              <w:rPr>
                <w:sz w:val="12"/>
                <w:szCs w:val="12"/>
              </w:rPr>
              <w:t>SEBD</w:t>
            </w:r>
          </w:p>
        </w:tc>
      </w:tr>
      <w:tr w:rsidR="00572995" w:rsidRPr="00483EBE" w14:paraId="4F2DCBD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6D18EE"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3062558D" w14:textId="77777777" w:rsidR="00572995" w:rsidRPr="00483EBE" w:rsidRDefault="00572995" w:rsidP="00E8324D">
            <w:pPr>
              <w:pStyle w:val="Tablas"/>
              <w:rPr>
                <w:sz w:val="12"/>
                <w:szCs w:val="12"/>
              </w:rPr>
            </w:pPr>
            <w:r w:rsidRPr="00483EBE">
              <w:rPr>
                <w:sz w:val="12"/>
                <w:szCs w:val="12"/>
              </w:rPr>
              <w:t xml:space="preserve">791 </w:t>
            </w:r>
          </w:p>
        </w:tc>
        <w:tc>
          <w:tcPr>
            <w:tcW w:w="0" w:type="auto"/>
            <w:tcBorders>
              <w:top w:val="nil"/>
              <w:left w:val="nil"/>
              <w:bottom w:val="single" w:sz="4" w:space="0" w:color="auto"/>
              <w:right w:val="single" w:sz="4" w:space="0" w:color="auto"/>
            </w:tcBorders>
            <w:shd w:val="clear" w:color="auto" w:fill="auto"/>
            <w:vAlign w:val="center"/>
            <w:hideMark/>
          </w:tcPr>
          <w:p w14:paraId="4778DC10" w14:textId="77777777" w:rsidR="00572995" w:rsidRPr="00483EBE" w:rsidRDefault="00572995" w:rsidP="00E8324D">
            <w:pPr>
              <w:pStyle w:val="Tablas"/>
              <w:rPr>
                <w:sz w:val="12"/>
                <w:szCs w:val="12"/>
              </w:rPr>
            </w:pPr>
            <w:r w:rsidRPr="00483EBE">
              <w:rPr>
                <w:sz w:val="12"/>
                <w:szCs w:val="12"/>
              </w:rPr>
              <w:t>$2,194,684</w:t>
            </w:r>
          </w:p>
        </w:tc>
        <w:tc>
          <w:tcPr>
            <w:tcW w:w="0" w:type="auto"/>
            <w:tcBorders>
              <w:top w:val="nil"/>
              <w:left w:val="nil"/>
              <w:bottom w:val="single" w:sz="4" w:space="0" w:color="auto"/>
              <w:right w:val="single" w:sz="4" w:space="0" w:color="auto"/>
            </w:tcBorders>
            <w:shd w:val="clear" w:color="auto" w:fill="auto"/>
            <w:vAlign w:val="center"/>
            <w:hideMark/>
          </w:tcPr>
          <w:p w14:paraId="029F237D" w14:textId="77777777" w:rsidR="00572995" w:rsidRPr="00483EBE" w:rsidRDefault="00572995" w:rsidP="00E8324D">
            <w:pPr>
              <w:pStyle w:val="Tablas"/>
              <w:rPr>
                <w:sz w:val="12"/>
                <w:szCs w:val="12"/>
              </w:rPr>
            </w:pPr>
            <w:r w:rsidRPr="00483EBE">
              <w:rPr>
                <w:sz w:val="12"/>
                <w:szCs w:val="12"/>
              </w:rPr>
              <w:t>$2,775</w:t>
            </w:r>
          </w:p>
        </w:tc>
        <w:tc>
          <w:tcPr>
            <w:tcW w:w="0" w:type="auto"/>
            <w:tcBorders>
              <w:top w:val="nil"/>
              <w:left w:val="nil"/>
              <w:bottom w:val="single" w:sz="4" w:space="0" w:color="auto"/>
              <w:right w:val="single" w:sz="4" w:space="0" w:color="auto"/>
            </w:tcBorders>
            <w:shd w:val="clear" w:color="auto" w:fill="auto"/>
            <w:vAlign w:val="center"/>
            <w:hideMark/>
          </w:tcPr>
          <w:p w14:paraId="2E212570" w14:textId="77777777" w:rsidR="00572995" w:rsidRPr="00483EBE" w:rsidRDefault="00572995" w:rsidP="00E8324D">
            <w:pPr>
              <w:pStyle w:val="Tablas"/>
              <w:rPr>
                <w:sz w:val="12"/>
                <w:szCs w:val="12"/>
              </w:rPr>
            </w:pPr>
            <w:r w:rsidRPr="00483EBE">
              <w:rPr>
                <w:sz w:val="12"/>
                <w:szCs w:val="12"/>
              </w:rPr>
              <w:t>$231</w:t>
            </w:r>
          </w:p>
        </w:tc>
        <w:tc>
          <w:tcPr>
            <w:tcW w:w="0" w:type="auto"/>
            <w:tcBorders>
              <w:top w:val="nil"/>
              <w:left w:val="nil"/>
              <w:bottom w:val="single" w:sz="4" w:space="0" w:color="auto"/>
              <w:right w:val="single" w:sz="4" w:space="0" w:color="auto"/>
            </w:tcBorders>
            <w:shd w:val="clear" w:color="auto" w:fill="auto"/>
            <w:vAlign w:val="center"/>
            <w:hideMark/>
          </w:tcPr>
          <w:p w14:paraId="48A607E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48A7EC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02DE81D"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2C2E823E" w14:textId="77777777" w:rsidR="00572995" w:rsidRPr="00483EBE" w:rsidRDefault="00572995" w:rsidP="00E8324D">
            <w:pPr>
              <w:pStyle w:val="Tablas"/>
              <w:rPr>
                <w:sz w:val="12"/>
                <w:szCs w:val="12"/>
              </w:rPr>
            </w:pPr>
            <w:r w:rsidRPr="00483EBE">
              <w:rPr>
                <w:sz w:val="12"/>
                <w:szCs w:val="12"/>
              </w:rPr>
              <w:t xml:space="preserve">77 </w:t>
            </w:r>
          </w:p>
        </w:tc>
        <w:tc>
          <w:tcPr>
            <w:tcW w:w="0" w:type="auto"/>
            <w:tcBorders>
              <w:top w:val="nil"/>
              <w:left w:val="nil"/>
              <w:bottom w:val="single" w:sz="4" w:space="0" w:color="auto"/>
              <w:right w:val="single" w:sz="4" w:space="0" w:color="auto"/>
            </w:tcBorders>
            <w:shd w:val="clear" w:color="auto" w:fill="auto"/>
            <w:vAlign w:val="center"/>
            <w:hideMark/>
          </w:tcPr>
          <w:p w14:paraId="0F4758F9" w14:textId="77777777" w:rsidR="00572995" w:rsidRPr="00483EBE" w:rsidRDefault="00572995" w:rsidP="00E8324D">
            <w:pPr>
              <w:pStyle w:val="Tablas"/>
              <w:rPr>
                <w:sz w:val="12"/>
                <w:szCs w:val="12"/>
              </w:rPr>
            </w:pPr>
            <w:r w:rsidRPr="00483EBE">
              <w:rPr>
                <w:sz w:val="12"/>
                <w:szCs w:val="12"/>
              </w:rPr>
              <w:t>$256,006</w:t>
            </w:r>
          </w:p>
        </w:tc>
        <w:tc>
          <w:tcPr>
            <w:tcW w:w="0" w:type="auto"/>
            <w:tcBorders>
              <w:top w:val="nil"/>
              <w:left w:val="nil"/>
              <w:bottom w:val="single" w:sz="4" w:space="0" w:color="auto"/>
              <w:right w:val="single" w:sz="4" w:space="0" w:color="auto"/>
            </w:tcBorders>
            <w:shd w:val="clear" w:color="auto" w:fill="auto"/>
            <w:vAlign w:val="center"/>
            <w:hideMark/>
          </w:tcPr>
          <w:p w14:paraId="3F2CF0C5" w14:textId="77777777" w:rsidR="00572995" w:rsidRPr="00483EBE" w:rsidRDefault="00572995" w:rsidP="00E8324D">
            <w:pPr>
              <w:pStyle w:val="Tablas"/>
              <w:rPr>
                <w:sz w:val="12"/>
                <w:szCs w:val="12"/>
              </w:rPr>
            </w:pPr>
            <w:r w:rsidRPr="00483EBE">
              <w:rPr>
                <w:sz w:val="12"/>
                <w:szCs w:val="12"/>
              </w:rPr>
              <w:t>$3,325</w:t>
            </w:r>
          </w:p>
        </w:tc>
        <w:tc>
          <w:tcPr>
            <w:tcW w:w="0" w:type="auto"/>
            <w:tcBorders>
              <w:top w:val="nil"/>
              <w:left w:val="nil"/>
              <w:bottom w:val="single" w:sz="4" w:space="0" w:color="auto"/>
              <w:right w:val="single" w:sz="4" w:space="0" w:color="auto"/>
            </w:tcBorders>
            <w:shd w:val="clear" w:color="auto" w:fill="auto"/>
            <w:vAlign w:val="center"/>
            <w:hideMark/>
          </w:tcPr>
          <w:p w14:paraId="3A1D84C4" w14:textId="77777777" w:rsidR="00572995" w:rsidRPr="00483EBE" w:rsidRDefault="00572995" w:rsidP="00E8324D">
            <w:pPr>
              <w:pStyle w:val="Tablas"/>
              <w:rPr>
                <w:sz w:val="12"/>
                <w:szCs w:val="12"/>
              </w:rPr>
            </w:pPr>
            <w:r w:rsidRPr="00483EBE">
              <w:rPr>
                <w:sz w:val="12"/>
                <w:szCs w:val="12"/>
              </w:rPr>
              <w:t>$277</w:t>
            </w:r>
          </w:p>
        </w:tc>
        <w:tc>
          <w:tcPr>
            <w:tcW w:w="0" w:type="auto"/>
            <w:tcBorders>
              <w:top w:val="nil"/>
              <w:left w:val="nil"/>
              <w:bottom w:val="single" w:sz="4" w:space="0" w:color="auto"/>
              <w:right w:val="single" w:sz="4" w:space="0" w:color="auto"/>
            </w:tcBorders>
            <w:shd w:val="clear" w:color="auto" w:fill="auto"/>
            <w:vAlign w:val="center"/>
            <w:hideMark/>
          </w:tcPr>
          <w:p w14:paraId="197B2CD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573310F" w14:textId="77777777" w:rsidR="00572995" w:rsidRPr="00483EBE" w:rsidRDefault="00572995" w:rsidP="00E8324D">
            <w:pPr>
              <w:pStyle w:val="Tablas"/>
              <w:rPr>
                <w:sz w:val="12"/>
                <w:szCs w:val="12"/>
              </w:rPr>
            </w:pPr>
            <w:r w:rsidRPr="00483EBE">
              <w:rPr>
                <w:sz w:val="12"/>
                <w:szCs w:val="12"/>
              </w:rPr>
              <w:t>SEBD</w:t>
            </w:r>
          </w:p>
        </w:tc>
      </w:tr>
      <w:tr w:rsidR="00572995" w:rsidRPr="00483EBE" w14:paraId="49D283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AF1C435"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1800FB93" w14:textId="77777777" w:rsidR="00572995" w:rsidRPr="00483EBE" w:rsidRDefault="00572995" w:rsidP="00E8324D">
            <w:pPr>
              <w:pStyle w:val="Tablas"/>
              <w:rPr>
                <w:sz w:val="12"/>
                <w:szCs w:val="12"/>
              </w:rPr>
            </w:pPr>
            <w:r w:rsidRPr="00483EBE">
              <w:rPr>
                <w:sz w:val="12"/>
                <w:szCs w:val="12"/>
              </w:rPr>
              <w:t xml:space="preserve">774 </w:t>
            </w:r>
          </w:p>
        </w:tc>
        <w:tc>
          <w:tcPr>
            <w:tcW w:w="0" w:type="auto"/>
            <w:tcBorders>
              <w:top w:val="nil"/>
              <w:left w:val="nil"/>
              <w:bottom w:val="single" w:sz="4" w:space="0" w:color="auto"/>
              <w:right w:val="single" w:sz="4" w:space="0" w:color="auto"/>
            </w:tcBorders>
            <w:shd w:val="clear" w:color="auto" w:fill="auto"/>
            <w:vAlign w:val="center"/>
            <w:hideMark/>
          </w:tcPr>
          <w:p w14:paraId="78BFF377" w14:textId="77777777" w:rsidR="00572995" w:rsidRPr="00483EBE" w:rsidRDefault="00572995" w:rsidP="00E8324D">
            <w:pPr>
              <w:pStyle w:val="Tablas"/>
              <w:rPr>
                <w:sz w:val="12"/>
                <w:szCs w:val="12"/>
              </w:rPr>
            </w:pPr>
            <w:r w:rsidRPr="00483EBE">
              <w:rPr>
                <w:sz w:val="12"/>
                <w:szCs w:val="12"/>
              </w:rPr>
              <w:t>$2,266,876</w:t>
            </w:r>
          </w:p>
        </w:tc>
        <w:tc>
          <w:tcPr>
            <w:tcW w:w="0" w:type="auto"/>
            <w:tcBorders>
              <w:top w:val="nil"/>
              <w:left w:val="nil"/>
              <w:bottom w:val="single" w:sz="4" w:space="0" w:color="auto"/>
              <w:right w:val="single" w:sz="4" w:space="0" w:color="auto"/>
            </w:tcBorders>
            <w:shd w:val="clear" w:color="auto" w:fill="auto"/>
            <w:vAlign w:val="center"/>
            <w:hideMark/>
          </w:tcPr>
          <w:p w14:paraId="76EC1DDA" w14:textId="77777777" w:rsidR="00572995" w:rsidRPr="00483EBE" w:rsidRDefault="00572995" w:rsidP="00E8324D">
            <w:pPr>
              <w:pStyle w:val="Tablas"/>
              <w:rPr>
                <w:sz w:val="12"/>
                <w:szCs w:val="12"/>
              </w:rPr>
            </w:pPr>
            <w:r w:rsidRPr="00483EBE">
              <w:rPr>
                <w:sz w:val="12"/>
                <w:szCs w:val="12"/>
              </w:rPr>
              <w:t>$2,929</w:t>
            </w:r>
          </w:p>
        </w:tc>
        <w:tc>
          <w:tcPr>
            <w:tcW w:w="0" w:type="auto"/>
            <w:tcBorders>
              <w:top w:val="nil"/>
              <w:left w:val="nil"/>
              <w:bottom w:val="single" w:sz="4" w:space="0" w:color="auto"/>
              <w:right w:val="single" w:sz="4" w:space="0" w:color="auto"/>
            </w:tcBorders>
            <w:shd w:val="clear" w:color="auto" w:fill="auto"/>
            <w:vAlign w:val="center"/>
            <w:hideMark/>
          </w:tcPr>
          <w:p w14:paraId="5B423DB0" w14:textId="77777777" w:rsidR="00572995" w:rsidRPr="00483EBE" w:rsidRDefault="00572995" w:rsidP="00E8324D">
            <w:pPr>
              <w:pStyle w:val="Tablas"/>
              <w:rPr>
                <w:sz w:val="12"/>
                <w:szCs w:val="12"/>
              </w:rPr>
            </w:pPr>
            <w:r w:rsidRPr="00483EBE">
              <w:rPr>
                <w:sz w:val="12"/>
                <w:szCs w:val="12"/>
              </w:rPr>
              <w:t>$244</w:t>
            </w:r>
          </w:p>
        </w:tc>
        <w:tc>
          <w:tcPr>
            <w:tcW w:w="0" w:type="auto"/>
            <w:tcBorders>
              <w:top w:val="nil"/>
              <w:left w:val="nil"/>
              <w:bottom w:val="single" w:sz="4" w:space="0" w:color="auto"/>
              <w:right w:val="single" w:sz="4" w:space="0" w:color="auto"/>
            </w:tcBorders>
            <w:shd w:val="clear" w:color="auto" w:fill="auto"/>
            <w:vAlign w:val="center"/>
            <w:hideMark/>
          </w:tcPr>
          <w:p w14:paraId="17456EC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DB7294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6B734A0"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4D6AC1EE" w14:textId="77777777" w:rsidR="00572995" w:rsidRPr="00483EBE" w:rsidRDefault="00572995" w:rsidP="00E8324D">
            <w:pPr>
              <w:pStyle w:val="Tablas"/>
              <w:rPr>
                <w:sz w:val="12"/>
                <w:szCs w:val="12"/>
              </w:rPr>
            </w:pPr>
            <w:r w:rsidRPr="00483EBE">
              <w:rPr>
                <w:sz w:val="12"/>
                <w:szCs w:val="12"/>
              </w:rPr>
              <w:t xml:space="preserve">75 </w:t>
            </w:r>
          </w:p>
        </w:tc>
        <w:tc>
          <w:tcPr>
            <w:tcW w:w="0" w:type="auto"/>
            <w:tcBorders>
              <w:top w:val="nil"/>
              <w:left w:val="nil"/>
              <w:bottom w:val="single" w:sz="4" w:space="0" w:color="auto"/>
              <w:right w:val="single" w:sz="4" w:space="0" w:color="auto"/>
            </w:tcBorders>
            <w:shd w:val="clear" w:color="auto" w:fill="auto"/>
            <w:vAlign w:val="center"/>
            <w:hideMark/>
          </w:tcPr>
          <w:p w14:paraId="139E9F34" w14:textId="77777777" w:rsidR="00572995" w:rsidRPr="00483EBE" w:rsidRDefault="00572995" w:rsidP="00E8324D">
            <w:pPr>
              <w:pStyle w:val="Tablas"/>
              <w:rPr>
                <w:sz w:val="12"/>
                <w:szCs w:val="12"/>
              </w:rPr>
            </w:pPr>
            <w:r w:rsidRPr="00483EBE">
              <w:rPr>
                <w:sz w:val="12"/>
                <w:szCs w:val="12"/>
              </w:rPr>
              <w:t>$217,158</w:t>
            </w:r>
          </w:p>
        </w:tc>
        <w:tc>
          <w:tcPr>
            <w:tcW w:w="0" w:type="auto"/>
            <w:tcBorders>
              <w:top w:val="nil"/>
              <w:left w:val="nil"/>
              <w:bottom w:val="single" w:sz="4" w:space="0" w:color="auto"/>
              <w:right w:val="single" w:sz="4" w:space="0" w:color="auto"/>
            </w:tcBorders>
            <w:shd w:val="clear" w:color="auto" w:fill="auto"/>
            <w:vAlign w:val="center"/>
            <w:hideMark/>
          </w:tcPr>
          <w:p w14:paraId="474E5C44" w14:textId="77777777" w:rsidR="00572995" w:rsidRPr="00483EBE" w:rsidRDefault="00572995" w:rsidP="00E8324D">
            <w:pPr>
              <w:pStyle w:val="Tablas"/>
              <w:rPr>
                <w:sz w:val="12"/>
                <w:szCs w:val="12"/>
              </w:rPr>
            </w:pPr>
            <w:r w:rsidRPr="00483EBE">
              <w:rPr>
                <w:sz w:val="12"/>
                <w:szCs w:val="12"/>
              </w:rPr>
              <w:t>$2,895</w:t>
            </w:r>
          </w:p>
        </w:tc>
        <w:tc>
          <w:tcPr>
            <w:tcW w:w="0" w:type="auto"/>
            <w:tcBorders>
              <w:top w:val="nil"/>
              <w:left w:val="nil"/>
              <w:bottom w:val="single" w:sz="4" w:space="0" w:color="auto"/>
              <w:right w:val="single" w:sz="4" w:space="0" w:color="auto"/>
            </w:tcBorders>
            <w:shd w:val="clear" w:color="auto" w:fill="auto"/>
            <w:vAlign w:val="center"/>
            <w:hideMark/>
          </w:tcPr>
          <w:p w14:paraId="24367665"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5868C46D"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6446B3B" w14:textId="77777777" w:rsidR="00572995" w:rsidRPr="00483EBE" w:rsidRDefault="00572995" w:rsidP="00E8324D">
            <w:pPr>
              <w:pStyle w:val="Tablas"/>
              <w:rPr>
                <w:sz w:val="12"/>
                <w:szCs w:val="12"/>
              </w:rPr>
            </w:pPr>
            <w:r w:rsidRPr="00483EBE">
              <w:rPr>
                <w:sz w:val="12"/>
                <w:szCs w:val="12"/>
              </w:rPr>
              <w:t>SEBD</w:t>
            </w:r>
          </w:p>
        </w:tc>
      </w:tr>
      <w:tr w:rsidR="00572995" w:rsidRPr="00483EBE" w14:paraId="4D2E73A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1B5471"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F8341E0" w14:textId="77777777" w:rsidR="00572995" w:rsidRPr="00483EBE" w:rsidRDefault="00572995" w:rsidP="00E8324D">
            <w:pPr>
              <w:pStyle w:val="Tablas"/>
              <w:rPr>
                <w:sz w:val="12"/>
                <w:szCs w:val="12"/>
              </w:rPr>
            </w:pPr>
            <w:r w:rsidRPr="00483EBE">
              <w:rPr>
                <w:sz w:val="12"/>
                <w:szCs w:val="12"/>
              </w:rPr>
              <w:t xml:space="preserve">743 </w:t>
            </w:r>
          </w:p>
        </w:tc>
        <w:tc>
          <w:tcPr>
            <w:tcW w:w="0" w:type="auto"/>
            <w:tcBorders>
              <w:top w:val="nil"/>
              <w:left w:val="nil"/>
              <w:bottom w:val="single" w:sz="4" w:space="0" w:color="auto"/>
              <w:right w:val="single" w:sz="4" w:space="0" w:color="auto"/>
            </w:tcBorders>
            <w:shd w:val="clear" w:color="auto" w:fill="auto"/>
            <w:vAlign w:val="center"/>
            <w:hideMark/>
          </w:tcPr>
          <w:p w14:paraId="59830B82" w14:textId="77777777" w:rsidR="00572995" w:rsidRPr="00483EBE" w:rsidRDefault="00572995" w:rsidP="00E8324D">
            <w:pPr>
              <w:pStyle w:val="Tablas"/>
              <w:rPr>
                <w:sz w:val="12"/>
                <w:szCs w:val="12"/>
              </w:rPr>
            </w:pPr>
            <w:r w:rsidRPr="00483EBE">
              <w:rPr>
                <w:sz w:val="12"/>
                <w:szCs w:val="12"/>
              </w:rPr>
              <w:t>$1,988,944</w:t>
            </w:r>
          </w:p>
        </w:tc>
        <w:tc>
          <w:tcPr>
            <w:tcW w:w="0" w:type="auto"/>
            <w:tcBorders>
              <w:top w:val="nil"/>
              <w:left w:val="nil"/>
              <w:bottom w:val="single" w:sz="4" w:space="0" w:color="auto"/>
              <w:right w:val="single" w:sz="4" w:space="0" w:color="auto"/>
            </w:tcBorders>
            <w:shd w:val="clear" w:color="auto" w:fill="auto"/>
            <w:vAlign w:val="center"/>
            <w:hideMark/>
          </w:tcPr>
          <w:p w14:paraId="135D71F7" w14:textId="77777777" w:rsidR="00572995" w:rsidRPr="00483EBE" w:rsidRDefault="00572995" w:rsidP="00E8324D">
            <w:pPr>
              <w:pStyle w:val="Tablas"/>
              <w:rPr>
                <w:sz w:val="12"/>
                <w:szCs w:val="12"/>
              </w:rPr>
            </w:pPr>
            <w:r w:rsidRPr="00483EBE">
              <w:rPr>
                <w:sz w:val="12"/>
                <w:szCs w:val="12"/>
              </w:rPr>
              <w:t>$2,677</w:t>
            </w:r>
          </w:p>
        </w:tc>
        <w:tc>
          <w:tcPr>
            <w:tcW w:w="0" w:type="auto"/>
            <w:tcBorders>
              <w:top w:val="nil"/>
              <w:left w:val="nil"/>
              <w:bottom w:val="single" w:sz="4" w:space="0" w:color="auto"/>
              <w:right w:val="single" w:sz="4" w:space="0" w:color="auto"/>
            </w:tcBorders>
            <w:shd w:val="clear" w:color="auto" w:fill="auto"/>
            <w:vAlign w:val="center"/>
            <w:hideMark/>
          </w:tcPr>
          <w:p w14:paraId="02E9CE40" w14:textId="77777777" w:rsidR="00572995" w:rsidRPr="00483EBE" w:rsidRDefault="00572995" w:rsidP="00E8324D">
            <w:pPr>
              <w:pStyle w:val="Tablas"/>
              <w:rPr>
                <w:sz w:val="12"/>
                <w:szCs w:val="12"/>
              </w:rPr>
            </w:pPr>
            <w:r w:rsidRPr="00483EBE">
              <w:rPr>
                <w:sz w:val="12"/>
                <w:szCs w:val="12"/>
              </w:rPr>
              <w:t>$223</w:t>
            </w:r>
          </w:p>
        </w:tc>
        <w:tc>
          <w:tcPr>
            <w:tcW w:w="0" w:type="auto"/>
            <w:tcBorders>
              <w:top w:val="nil"/>
              <w:left w:val="nil"/>
              <w:bottom w:val="single" w:sz="4" w:space="0" w:color="auto"/>
              <w:right w:val="single" w:sz="4" w:space="0" w:color="auto"/>
            </w:tcBorders>
            <w:shd w:val="clear" w:color="auto" w:fill="auto"/>
            <w:vAlign w:val="center"/>
            <w:hideMark/>
          </w:tcPr>
          <w:p w14:paraId="5E9A259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AA128D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3A88ACE"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23E204B6" w14:textId="77777777" w:rsidR="00572995" w:rsidRPr="00483EBE" w:rsidRDefault="00572995" w:rsidP="00E8324D">
            <w:pPr>
              <w:pStyle w:val="Tablas"/>
              <w:rPr>
                <w:sz w:val="12"/>
                <w:szCs w:val="12"/>
              </w:rPr>
            </w:pPr>
            <w:r w:rsidRPr="00483EBE">
              <w:rPr>
                <w:sz w:val="12"/>
                <w:szCs w:val="12"/>
              </w:rPr>
              <w:t xml:space="preserve">80 </w:t>
            </w:r>
          </w:p>
        </w:tc>
        <w:tc>
          <w:tcPr>
            <w:tcW w:w="0" w:type="auto"/>
            <w:tcBorders>
              <w:top w:val="nil"/>
              <w:left w:val="nil"/>
              <w:bottom w:val="single" w:sz="4" w:space="0" w:color="auto"/>
              <w:right w:val="single" w:sz="4" w:space="0" w:color="auto"/>
            </w:tcBorders>
            <w:shd w:val="clear" w:color="auto" w:fill="auto"/>
            <w:vAlign w:val="center"/>
            <w:hideMark/>
          </w:tcPr>
          <w:p w14:paraId="30DB87F8" w14:textId="77777777" w:rsidR="00572995" w:rsidRPr="00483EBE" w:rsidRDefault="00572995" w:rsidP="00E8324D">
            <w:pPr>
              <w:pStyle w:val="Tablas"/>
              <w:rPr>
                <w:sz w:val="12"/>
                <w:szCs w:val="12"/>
              </w:rPr>
            </w:pPr>
            <w:r w:rsidRPr="00483EBE">
              <w:rPr>
                <w:sz w:val="12"/>
                <w:szCs w:val="12"/>
              </w:rPr>
              <w:t>$270,400</w:t>
            </w:r>
          </w:p>
        </w:tc>
        <w:tc>
          <w:tcPr>
            <w:tcW w:w="0" w:type="auto"/>
            <w:tcBorders>
              <w:top w:val="nil"/>
              <w:left w:val="nil"/>
              <w:bottom w:val="single" w:sz="4" w:space="0" w:color="auto"/>
              <w:right w:val="single" w:sz="4" w:space="0" w:color="auto"/>
            </w:tcBorders>
            <w:shd w:val="clear" w:color="auto" w:fill="auto"/>
            <w:vAlign w:val="center"/>
            <w:hideMark/>
          </w:tcPr>
          <w:p w14:paraId="70FC045D" w14:textId="77777777" w:rsidR="00572995" w:rsidRPr="00483EBE" w:rsidRDefault="00572995" w:rsidP="00E8324D">
            <w:pPr>
              <w:pStyle w:val="Tablas"/>
              <w:rPr>
                <w:sz w:val="12"/>
                <w:szCs w:val="12"/>
              </w:rPr>
            </w:pPr>
            <w:r w:rsidRPr="00483EBE">
              <w:rPr>
                <w:sz w:val="12"/>
                <w:szCs w:val="12"/>
              </w:rPr>
              <w:t>$3,380</w:t>
            </w:r>
          </w:p>
        </w:tc>
        <w:tc>
          <w:tcPr>
            <w:tcW w:w="0" w:type="auto"/>
            <w:tcBorders>
              <w:top w:val="nil"/>
              <w:left w:val="nil"/>
              <w:bottom w:val="single" w:sz="4" w:space="0" w:color="auto"/>
              <w:right w:val="single" w:sz="4" w:space="0" w:color="auto"/>
            </w:tcBorders>
            <w:shd w:val="clear" w:color="auto" w:fill="auto"/>
            <w:vAlign w:val="center"/>
            <w:hideMark/>
          </w:tcPr>
          <w:p w14:paraId="0F406ABC" w14:textId="77777777" w:rsidR="00572995" w:rsidRPr="00483EBE" w:rsidRDefault="00572995" w:rsidP="00E8324D">
            <w:pPr>
              <w:pStyle w:val="Tablas"/>
              <w:rPr>
                <w:sz w:val="12"/>
                <w:szCs w:val="12"/>
              </w:rPr>
            </w:pPr>
            <w:r w:rsidRPr="00483EBE">
              <w:rPr>
                <w:sz w:val="12"/>
                <w:szCs w:val="12"/>
              </w:rPr>
              <w:t>$282</w:t>
            </w:r>
          </w:p>
        </w:tc>
        <w:tc>
          <w:tcPr>
            <w:tcW w:w="0" w:type="auto"/>
            <w:tcBorders>
              <w:top w:val="nil"/>
              <w:left w:val="nil"/>
              <w:bottom w:val="single" w:sz="4" w:space="0" w:color="auto"/>
              <w:right w:val="single" w:sz="4" w:space="0" w:color="auto"/>
            </w:tcBorders>
            <w:shd w:val="clear" w:color="auto" w:fill="auto"/>
            <w:vAlign w:val="center"/>
            <w:hideMark/>
          </w:tcPr>
          <w:p w14:paraId="354B670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8BBF18D" w14:textId="77777777" w:rsidR="00572995" w:rsidRPr="00483EBE" w:rsidRDefault="00572995" w:rsidP="00E8324D">
            <w:pPr>
              <w:pStyle w:val="Tablas"/>
              <w:rPr>
                <w:sz w:val="12"/>
                <w:szCs w:val="12"/>
              </w:rPr>
            </w:pPr>
            <w:r w:rsidRPr="00483EBE">
              <w:rPr>
                <w:sz w:val="12"/>
                <w:szCs w:val="12"/>
              </w:rPr>
              <w:t>SEBD</w:t>
            </w:r>
          </w:p>
        </w:tc>
      </w:tr>
      <w:tr w:rsidR="00572995" w:rsidRPr="00483EBE" w14:paraId="39BEA81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A18C2AA"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72F0AF2C" w14:textId="77777777" w:rsidR="00572995" w:rsidRPr="00483EBE" w:rsidRDefault="00572995" w:rsidP="00E8324D">
            <w:pPr>
              <w:pStyle w:val="Tablas"/>
              <w:rPr>
                <w:sz w:val="12"/>
                <w:szCs w:val="12"/>
              </w:rPr>
            </w:pPr>
            <w:r w:rsidRPr="00483EBE">
              <w:rPr>
                <w:sz w:val="12"/>
                <w:szCs w:val="12"/>
              </w:rPr>
              <w:t xml:space="preserve">743 </w:t>
            </w:r>
          </w:p>
        </w:tc>
        <w:tc>
          <w:tcPr>
            <w:tcW w:w="0" w:type="auto"/>
            <w:tcBorders>
              <w:top w:val="nil"/>
              <w:left w:val="nil"/>
              <w:bottom w:val="single" w:sz="4" w:space="0" w:color="auto"/>
              <w:right w:val="single" w:sz="4" w:space="0" w:color="auto"/>
            </w:tcBorders>
            <w:shd w:val="clear" w:color="auto" w:fill="auto"/>
            <w:vAlign w:val="center"/>
            <w:hideMark/>
          </w:tcPr>
          <w:p w14:paraId="167D2CC3" w14:textId="77777777" w:rsidR="00572995" w:rsidRPr="00483EBE" w:rsidRDefault="00572995" w:rsidP="00E8324D">
            <w:pPr>
              <w:pStyle w:val="Tablas"/>
              <w:rPr>
                <w:sz w:val="12"/>
                <w:szCs w:val="12"/>
              </w:rPr>
            </w:pPr>
            <w:r w:rsidRPr="00483EBE">
              <w:rPr>
                <w:sz w:val="12"/>
                <w:szCs w:val="12"/>
              </w:rPr>
              <w:t>$1,962,425</w:t>
            </w:r>
          </w:p>
        </w:tc>
        <w:tc>
          <w:tcPr>
            <w:tcW w:w="0" w:type="auto"/>
            <w:tcBorders>
              <w:top w:val="nil"/>
              <w:left w:val="nil"/>
              <w:bottom w:val="single" w:sz="4" w:space="0" w:color="auto"/>
              <w:right w:val="single" w:sz="4" w:space="0" w:color="auto"/>
            </w:tcBorders>
            <w:shd w:val="clear" w:color="auto" w:fill="auto"/>
            <w:vAlign w:val="center"/>
            <w:hideMark/>
          </w:tcPr>
          <w:p w14:paraId="5B2AFF64" w14:textId="77777777" w:rsidR="00572995" w:rsidRPr="00483EBE" w:rsidRDefault="00572995" w:rsidP="00E8324D">
            <w:pPr>
              <w:pStyle w:val="Tablas"/>
              <w:rPr>
                <w:sz w:val="12"/>
                <w:szCs w:val="12"/>
              </w:rPr>
            </w:pPr>
            <w:r w:rsidRPr="00483EBE">
              <w:rPr>
                <w:sz w:val="12"/>
                <w:szCs w:val="12"/>
              </w:rPr>
              <w:t>$2,641</w:t>
            </w:r>
          </w:p>
        </w:tc>
        <w:tc>
          <w:tcPr>
            <w:tcW w:w="0" w:type="auto"/>
            <w:tcBorders>
              <w:top w:val="nil"/>
              <w:left w:val="nil"/>
              <w:bottom w:val="single" w:sz="4" w:space="0" w:color="auto"/>
              <w:right w:val="single" w:sz="4" w:space="0" w:color="auto"/>
            </w:tcBorders>
            <w:shd w:val="clear" w:color="auto" w:fill="auto"/>
            <w:vAlign w:val="center"/>
            <w:hideMark/>
          </w:tcPr>
          <w:p w14:paraId="1B949545" w14:textId="77777777" w:rsidR="00572995" w:rsidRPr="00483EBE" w:rsidRDefault="00572995" w:rsidP="00E8324D">
            <w:pPr>
              <w:pStyle w:val="Tablas"/>
              <w:rPr>
                <w:sz w:val="12"/>
                <w:szCs w:val="12"/>
              </w:rPr>
            </w:pPr>
            <w:r w:rsidRPr="00483EBE">
              <w:rPr>
                <w:sz w:val="12"/>
                <w:szCs w:val="12"/>
              </w:rPr>
              <w:t>$220</w:t>
            </w:r>
          </w:p>
        </w:tc>
        <w:tc>
          <w:tcPr>
            <w:tcW w:w="0" w:type="auto"/>
            <w:tcBorders>
              <w:top w:val="nil"/>
              <w:left w:val="nil"/>
              <w:bottom w:val="single" w:sz="4" w:space="0" w:color="auto"/>
              <w:right w:val="single" w:sz="4" w:space="0" w:color="auto"/>
            </w:tcBorders>
            <w:shd w:val="clear" w:color="auto" w:fill="auto"/>
            <w:vAlign w:val="center"/>
            <w:hideMark/>
          </w:tcPr>
          <w:p w14:paraId="2E2F27C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2168BA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F7AD7B"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59C7032D" w14:textId="77777777" w:rsidR="00572995" w:rsidRPr="00483EBE" w:rsidRDefault="00572995" w:rsidP="00E8324D">
            <w:pPr>
              <w:pStyle w:val="Tablas"/>
              <w:rPr>
                <w:sz w:val="12"/>
                <w:szCs w:val="12"/>
              </w:rPr>
            </w:pPr>
            <w:r w:rsidRPr="00483EBE">
              <w:rPr>
                <w:sz w:val="12"/>
                <w:szCs w:val="12"/>
              </w:rPr>
              <w:t xml:space="preserve">78 </w:t>
            </w:r>
          </w:p>
        </w:tc>
        <w:tc>
          <w:tcPr>
            <w:tcW w:w="0" w:type="auto"/>
            <w:tcBorders>
              <w:top w:val="nil"/>
              <w:left w:val="nil"/>
              <w:bottom w:val="single" w:sz="4" w:space="0" w:color="auto"/>
              <w:right w:val="single" w:sz="4" w:space="0" w:color="auto"/>
            </w:tcBorders>
            <w:shd w:val="clear" w:color="auto" w:fill="auto"/>
            <w:vAlign w:val="center"/>
            <w:hideMark/>
          </w:tcPr>
          <w:p w14:paraId="42D1B7BB" w14:textId="77777777" w:rsidR="00572995" w:rsidRPr="00483EBE" w:rsidRDefault="00572995" w:rsidP="00E8324D">
            <w:pPr>
              <w:pStyle w:val="Tablas"/>
              <w:rPr>
                <w:sz w:val="12"/>
                <w:szCs w:val="12"/>
              </w:rPr>
            </w:pPr>
            <w:r w:rsidRPr="00483EBE">
              <w:rPr>
                <w:sz w:val="12"/>
                <w:szCs w:val="12"/>
              </w:rPr>
              <w:t>$225,648</w:t>
            </w:r>
          </w:p>
        </w:tc>
        <w:tc>
          <w:tcPr>
            <w:tcW w:w="0" w:type="auto"/>
            <w:tcBorders>
              <w:top w:val="nil"/>
              <w:left w:val="nil"/>
              <w:bottom w:val="single" w:sz="4" w:space="0" w:color="auto"/>
              <w:right w:val="single" w:sz="4" w:space="0" w:color="auto"/>
            </w:tcBorders>
            <w:shd w:val="clear" w:color="auto" w:fill="auto"/>
            <w:vAlign w:val="center"/>
            <w:hideMark/>
          </w:tcPr>
          <w:p w14:paraId="0282475F" w14:textId="77777777" w:rsidR="00572995" w:rsidRPr="00483EBE" w:rsidRDefault="00572995" w:rsidP="00E8324D">
            <w:pPr>
              <w:pStyle w:val="Tablas"/>
              <w:rPr>
                <w:sz w:val="12"/>
                <w:szCs w:val="12"/>
              </w:rPr>
            </w:pPr>
            <w:r w:rsidRPr="00483EBE">
              <w:rPr>
                <w:sz w:val="12"/>
                <w:szCs w:val="12"/>
              </w:rPr>
              <w:t>$2,893</w:t>
            </w:r>
          </w:p>
        </w:tc>
        <w:tc>
          <w:tcPr>
            <w:tcW w:w="0" w:type="auto"/>
            <w:tcBorders>
              <w:top w:val="nil"/>
              <w:left w:val="nil"/>
              <w:bottom w:val="single" w:sz="4" w:space="0" w:color="auto"/>
              <w:right w:val="single" w:sz="4" w:space="0" w:color="auto"/>
            </w:tcBorders>
            <w:shd w:val="clear" w:color="auto" w:fill="auto"/>
            <w:vAlign w:val="center"/>
            <w:hideMark/>
          </w:tcPr>
          <w:p w14:paraId="5AF8B118"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11AEDEA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CA0A3F3" w14:textId="77777777" w:rsidR="00572995" w:rsidRPr="00483EBE" w:rsidRDefault="00572995" w:rsidP="00E8324D">
            <w:pPr>
              <w:pStyle w:val="Tablas"/>
              <w:rPr>
                <w:sz w:val="12"/>
                <w:szCs w:val="12"/>
              </w:rPr>
            </w:pPr>
            <w:r w:rsidRPr="00483EBE">
              <w:rPr>
                <w:sz w:val="12"/>
                <w:szCs w:val="12"/>
              </w:rPr>
              <w:t>SEBD</w:t>
            </w:r>
          </w:p>
        </w:tc>
      </w:tr>
      <w:tr w:rsidR="00572995" w:rsidRPr="00483EBE" w14:paraId="0204A47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242B20C"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33B56BB3" w14:textId="77777777" w:rsidR="00572995" w:rsidRPr="00483EBE" w:rsidRDefault="00572995" w:rsidP="00E8324D">
            <w:pPr>
              <w:pStyle w:val="Tablas"/>
              <w:rPr>
                <w:sz w:val="12"/>
                <w:szCs w:val="12"/>
              </w:rPr>
            </w:pPr>
            <w:r w:rsidRPr="00483EBE">
              <w:rPr>
                <w:sz w:val="12"/>
                <w:szCs w:val="12"/>
              </w:rPr>
              <w:t xml:space="preserve">656 </w:t>
            </w:r>
          </w:p>
        </w:tc>
        <w:tc>
          <w:tcPr>
            <w:tcW w:w="0" w:type="auto"/>
            <w:tcBorders>
              <w:top w:val="nil"/>
              <w:left w:val="nil"/>
              <w:bottom w:val="single" w:sz="4" w:space="0" w:color="auto"/>
              <w:right w:val="single" w:sz="4" w:space="0" w:color="auto"/>
            </w:tcBorders>
            <w:shd w:val="clear" w:color="auto" w:fill="auto"/>
            <w:vAlign w:val="center"/>
            <w:hideMark/>
          </w:tcPr>
          <w:p w14:paraId="51F176BC" w14:textId="77777777" w:rsidR="00572995" w:rsidRPr="00483EBE" w:rsidRDefault="00572995" w:rsidP="00E8324D">
            <w:pPr>
              <w:pStyle w:val="Tablas"/>
              <w:rPr>
                <w:sz w:val="12"/>
                <w:szCs w:val="12"/>
              </w:rPr>
            </w:pPr>
            <w:r w:rsidRPr="00483EBE">
              <w:rPr>
                <w:sz w:val="12"/>
                <w:szCs w:val="12"/>
              </w:rPr>
              <w:t>$1,622,862</w:t>
            </w:r>
          </w:p>
        </w:tc>
        <w:tc>
          <w:tcPr>
            <w:tcW w:w="0" w:type="auto"/>
            <w:tcBorders>
              <w:top w:val="nil"/>
              <w:left w:val="nil"/>
              <w:bottom w:val="single" w:sz="4" w:space="0" w:color="auto"/>
              <w:right w:val="single" w:sz="4" w:space="0" w:color="auto"/>
            </w:tcBorders>
            <w:shd w:val="clear" w:color="auto" w:fill="auto"/>
            <w:vAlign w:val="center"/>
            <w:hideMark/>
          </w:tcPr>
          <w:p w14:paraId="3764F9CB" w14:textId="77777777" w:rsidR="00572995" w:rsidRPr="00483EBE" w:rsidRDefault="00572995" w:rsidP="00E8324D">
            <w:pPr>
              <w:pStyle w:val="Tablas"/>
              <w:rPr>
                <w:sz w:val="12"/>
                <w:szCs w:val="12"/>
              </w:rPr>
            </w:pPr>
            <w:r w:rsidRPr="00483EBE">
              <w:rPr>
                <w:sz w:val="12"/>
                <w:szCs w:val="12"/>
              </w:rPr>
              <w:t>$2,474</w:t>
            </w:r>
          </w:p>
        </w:tc>
        <w:tc>
          <w:tcPr>
            <w:tcW w:w="0" w:type="auto"/>
            <w:tcBorders>
              <w:top w:val="nil"/>
              <w:left w:val="nil"/>
              <w:bottom w:val="single" w:sz="4" w:space="0" w:color="auto"/>
              <w:right w:val="single" w:sz="4" w:space="0" w:color="auto"/>
            </w:tcBorders>
            <w:shd w:val="clear" w:color="auto" w:fill="auto"/>
            <w:vAlign w:val="center"/>
            <w:hideMark/>
          </w:tcPr>
          <w:p w14:paraId="37CF9F03" w14:textId="77777777" w:rsidR="00572995" w:rsidRPr="00483EBE" w:rsidRDefault="00572995" w:rsidP="00E8324D">
            <w:pPr>
              <w:pStyle w:val="Tablas"/>
              <w:rPr>
                <w:sz w:val="12"/>
                <w:szCs w:val="12"/>
              </w:rPr>
            </w:pPr>
            <w:r w:rsidRPr="00483EBE">
              <w:rPr>
                <w:sz w:val="12"/>
                <w:szCs w:val="12"/>
              </w:rPr>
              <w:t>$206</w:t>
            </w:r>
          </w:p>
        </w:tc>
        <w:tc>
          <w:tcPr>
            <w:tcW w:w="0" w:type="auto"/>
            <w:tcBorders>
              <w:top w:val="nil"/>
              <w:left w:val="nil"/>
              <w:bottom w:val="single" w:sz="4" w:space="0" w:color="auto"/>
              <w:right w:val="single" w:sz="4" w:space="0" w:color="auto"/>
            </w:tcBorders>
            <w:shd w:val="clear" w:color="auto" w:fill="auto"/>
            <w:vAlign w:val="center"/>
            <w:hideMark/>
          </w:tcPr>
          <w:p w14:paraId="33140DC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36092E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AEFC5E9"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6B88655E" w14:textId="77777777" w:rsidR="00572995" w:rsidRPr="00483EBE" w:rsidRDefault="00572995" w:rsidP="00E8324D">
            <w:pPr>
              <w:pStyle w:val="Tablas"/>
              <w:rPr>
                <w:sz w:val="12"/>
                <w:szCs w:val="12"/>
              </w:rPr>
            </w:pPr>
            <w:r w:rsidRPr="00483EBE">
              <w:rPr>
                <w:sz w:val="12"/>
                <w:szCs w:val="12"/>
              </w:rPr>
              <w:t xml:space="preserve">77 </w:t>
            </w:r>
          </w:p>
        </w:tc>
        <w:tc>
          <w:tcPr>
            <w:tcW w:w="0" w:type="auto"/>
            <w:tcBorders>
              <w:top w:val="nil"/>
              <w:left w:val="nil"/>
              <w:bottom w:val="single" w:sz="4" w:space="0" w:color="auto"/>
              <w:right w:val="single" w:sz="4" w:space="0" w:color="auto"/>
            </w:tcBorders>
            <w:shd w:val="clear" w:color="auto" w:fill="auto"/>
            <w:vAlign w:val="center"/>
            <w:hideMark/>
          </w:tcPr>
          <w:p w14:paraId="6AA5AC4D" w14:textId="77777777" w:rsidR="00572995" w:rsidRPr="00483EBE" w:rsidRDefault="00572995" w:rsidP="00E8324D">
            <w:pPr>
              <w:pStyle w:val="Tablas"/>
              <w:rPr>
                <w:sz w:val="12"/>
                <w:szCs w:val="12"/>
              </w:rPr>
            </w:pPr>
            <w:r w:rsidRPr="00483EBE">
              <w:rPr>
                <w:sz w:val="12"/>
                <w:szCs w:val="12"/>
              </w:rPr>
              <w:t>$186,855</w:t>
            </w:r>
          </w:p>
        </w:tc>
        <w:tc>
          <w:tcPr>
            <w:tcW w:w="0" w:type="auto"/>
            <w:tcBorders>
              <w:top w:val="nil"/>
              <w:left w:val="nil"/>
              <w:bottom w:val="single" w:sz="4" w:space="0" w:color="auto"/>
              <w:right w:val="single" w:sz="4" w:space="0" w:color="auto"/>
            </w:tcBorders>
            <w:shd w:val="clear" w:color="auto" w:fill="auto"/>
            <w:vAlign w:val="center"/>
            <w:hideMark/>
          </w:tcPr>
          <w:p w14:paraId="70CFE833" w14:textId="77777777" w:rsidR="00572995" w:rsidRPr="00483EBE" w:rsidRDefault="00572995" w:rsidP="00E8324D">
            <w:pPr>
              <w:pStyle w:val="Tablas"/>
              <w:rPr>
                <w:sz w:val="12"/>
                <w:szCs w:val="12"/>
              </w:rPr>
            </w:pPr>
            <w:r w:rsidRPr="00483EBE">
              <w:rPr>
                <w:sz w:val="12"/>
                <w:szCs w:val="12"/>
              </w:rPr>
              <w:t>$2,427</w:t>
            </w:r>
          </w:p>
        </w:tc>
        <w:tc>
          <w:tcPr>
            <w:tcW w:w="0" w:type="auto"/>
            <w:tcBorders>
              <w:top w:val="nil"/>
              <w:left w:val="nil"/>
              <w:bottom w:val="single" w:sz="4" w:space="0" w:color="auto"/>
              <w:right w:val="single" w:sz="4" w:space="0" w:color="auto"/>
            </w:tcBorders>
            <w:shd w:val="clear" w:color="auto" w:fill="auto"/>
            <w:vAlign w:val="center"/>
            <w:hideMark/>
          </w:tcPr>
          <w:p w14:paraId="730BF1BF" w14:textId="77777777" w:rsidR="00572995" w:rsidRPr="00483EBE" w:rsidRDefault="00572995" w:rsidP="00E8324D">
            <w:pPr>
              <w:pStyle w:val="Tablas"/>
              <w:rPr>
                <w:sz w:val="12"/>
                <w:szCs w:val="12"/>
              </w:rPr>
            </w:pPr>
            <w:r w:rsidRPr="00483EBE">
              <w:rPr>
                <w:sz w:val="12"/>
                <w:szCs w:val="12"/>
              </w:rPr>
              <w:t>$202</w:t>
            </w:r>
          </w:p>
        </w:tc>
        <w:tc>
          <w:tcPr>
            <w:tcW w:w="0" w:type="auto"/>
            <w:tcBorders>
              <w:top w:val="nil"/>
              <w:left w:val="nil"/>
              <w:bottom w:val="single" w:sz="4" w:space="0" w:color="auto"/>
              <w:right w:val="single" w:sz="4" w:space="0" w:color="auto"/>
            </w:tcBorders>
            <w:shd w:val="clear" w:color="auto" w:fill="auto"/>
            <w:vAlign w:val="center"/>
            <w:hideMark/>
          </w:tcPr>
          <w:p w14:paraId="2C462B1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AEFF131" w14:textId="77777777" w:rsidR="00572995" w:rsidRPr="00483EBE" w:rsidRDefault="00572995" w:rsidP="00E8324D">
            <w:pPr>
              <w:pStyle w:val="Tablas"/>
              <w:rPr>
                <w:sz w:val="12"/>
                <w:szCs w:val="12"/>
              </w:rPr>
            </w:pPr>
            <w:r w:rsidRPr="00483EBE">
              <w:rPr>
                <w:sz w:val="12"/>
                <w:szCs w:val="12"/>
              </w:rPr>
              <w:t>SEBD</w:t>
            </w:r>
          </w:p>
        </w:tc>
      </w:tr>
      <w:tr w:rsidR="00572995" w:rsidRPr="00483EBE" w14:paraId="360D71E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273863"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06AAF3CE" w14:textId="77777777" w:rsidR="00572995" w:rsidRPr="00483EBE" w:rsidRDefault="00572995" w:rsidP="00E8324D">
            <w:pPr>
              <w:pStyle w:val="Tablas"/>
              <w:rPr>
                <w:sz w:val="12"/>
                <w:szCs w:val="12"/>
              </w:rPr>
            </w:pPr>
            <w:r w:rsidRPr="00483EBE">
              <w:rPr>
                <w:sz w:val="12"/>
                <w:szCs w:val="12"/>
              </w:rPr>
              <w:t xml:space="preserve">589 </w:t>
            </w:r>
          </w:p>
        </w:tc>
        <w:tc>
          <w:tcPr>
            <w:tcW w:w="0" w:type="auto"/>
            <w:tcBorders>
              <w:top w:val="nil"/>
              <w:left w:val="nil"/>
              <w:bottom w:val="single" w:sz="4" w:space="0" w:color="auto"/>
              <w:right w:val="single" w:sz="4" w:space="0" w:color="auto"/>
            </w:tcBorders>
            <w:shd w:val="clear" w:color="auto" w:fill="auto"/>
            <w:vAlign w:val="center"/>
            <w:hideMark/>
          </w:tcPr>
          <w:p w14:paraId="6757D508" w14:textId="77777777" w:rsidR="00572995" w:rsidRPr="00483EBE" w:rsidRDefault="00572995" w:rsidP="00E8324D">
            <w:pPr>
              <w:pStyle w:val="Tablas"/>
              <w:rPr>
                <w:sz w:val="12"/>
                <w:szCs w:val="12"/>
              </w:rPr>
            </w:pPr>
            <w:r w:rsidRPr="00483EBE">
              <w:rPr>
                <w:sz w:val="12"/>
                <w:szCs w:val="12"/>
              </w:rPr>
              <w:t>$1,604,997</w:t>
            </w:r>
          </w:p>
        </w:tc>
        <w:tc>
          <w:tcPr>
            <w:tcW w:w="0" w:type="auto"/>
            <w:tcBorders>
              <w:top w:val="nil"/>
              <w:left w:val="nil"/>
              <w:bottom w:val="single" w:sz="4" w:space="0" w:color="auto"/>
              <w:right w:val="single" w:sz="4" w:space="0" w:color="auto"/>
            </w:tcBorders>
            <w:shd w:val="clear" w:color="auto" w:fill="auto"/>
            <w:vAlign w:val="center"/>
            <w:hideMark/>
          </w:tcPr>
          <w:p w14:paraId="2F946F20" w14:textId="77777777" w:rsidR="00572995" w:rsidRPr="00483EBE" w:rsidRDefault="00572995" w:rsidP="00E8324D">
            <w:pPr>
              <w:pStyle w:val="Tablas"/>
              <w:rPr>
                <w:sz w:val="12"/>
                <w:szCs w:val="12"/>
              </w:rPr>
            </w:pPr>
            <w:r w:rsidRPr="00483EBE">
              <w:rPr>
                <w:sz w:val="12"/>
                <w:szCs w:val="12"/>
              </w:rPr>
              <w:t>$2,725</w:t>
            </w:r>
          </w:p>
        </w:tc>
        <w:tc>
          <w:tcPr>
            <w:tcW w:w="0" w:type="auto"/>
            <w:tcBorders>
              <w:top w:val="nil"/>
              <w:left w:val="nil"/>
              <w:bottom w:val="single" w:sz="4" w:space="0" w:color="auto"/>
              <w:right w:val="single" w:sz="4" w:space="0" w:color="auto"/>
            </w:tcBorders>
            <w:shd w:val="clear" w:color="auto" w:fill="auto"/>
            <w:vAlign w:val="center"/>
            <w:hideMark/>
          </w:tcPr>
          <w:p w14:paraId="6C77DBB0" w14:textId="77777777" w:rsidR="00572995" w:rsidRPr="00483EBE" w:rsidRDefault="00572995" w:rsidP="00E8324D">
            <w:pPr>
              <w:pStyle w:val="Tablas"/>
              <w:rPr>
                <w:sz w:val="12"/>
                <w:szCs w:val="12"/>
              </w:rPr>
            </w:pPr>
            <w:r w:rsidRPr="00483EBE">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4D33F09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CA0A7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A447FCE"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50E7CEF0" w14:textId="77777777" w:rsidR="00572995" w:rsidRPr="00483EBE" w:rsidRDefault="00572995" w:rsidP="00E8324D">
            <w:pPr>
              <w:pStyle w:val="Tablas"/>
              <w:rPr>
                <w:sz w:val="12"/>
                <w:szCs w:val="12"/>
              </w:rPr>
            </w:pPr>
            <w:r w:rsidRPr="00483EBE">
              <w:rPr>
                <w:sz w:val="12"/>
                <w:szCs w:val="12"/>
              </w:rPr>
              <w:t xml:space="preserve">80 </w:t>
            </w:r>
          </w:p>
        </w:tc>
        <w:tc>
          <w:tcPr>
            <w:tcW w:w="0" w:type="auto"/>
            <w:tcBorders>
              <w:top w:val="nil"/>
              <w:left w:val="nil"/>
              <w:bottom w:val="single" w:sz="4" w:space="0" w:color="auto"/>
              <w:right w:val="single" w:sz="4" w:space="0" w:color="auto"/>
            </w:tcBorders>
            <w:shd w:val="clear" w:color="auto" w:fill="auto"/>
            <w:vAlign w:val="center"/>
            <w:hideMark/>
          </w:tcPr>
          <w:p w14:paraId="67FAA381" w14:textId="77777777" w:rsidR="00572995" w:rsidRPr="00483EBE" w:rsidRDefault="00572995" w:rsidP="00E8324D">
            <w:pPr>
              <w:pStyle w:val="Tablas"/>
              <w:rPr>
                <w:sz w:val="12"/>
                <w:szCs w:val="12"/>
              </w:rPr>
            </w:pPr>
            <w:r w:rsidRPr="00483EBE">
              <w:rPr>
                <w:sz w:val="12"/>
                <w:szCs w:val="12"/>
              </w:rPr>
              <w:t>$217,522</w:t>
            </w:r>
          </w:p>
        </w:tc>
        <w:tc>
          <w:tcPr>
            <w:tcW w:w="0" w:type="auto"/>
            <w:tcBorders>
              <w:top w:val="nil"/>
              <w:left w:val="nil"/>
              <w:bottom w:val="single" w:sz="4" w:space="0" w:color="auto"/>
              <w:right w:val="single" w:sz="4" w:space="0" w:color="auto"/>
            </w:tcBorders>
            <w:shd w:val="clear" w:color="auto" w:fill="auto"/>
            <w:vAlign w:val="center"/>
            <w:hideMark/>
          </w:tcPr>
          <w:p w14:paraId="155F6F4C" w14:textId="77777777" w:rsidR="00572995" w:rsidRPr="00483EBE" w:rsidRDefault="00572995" w:rsidP="00E8324D">
            <w:pPr>
              <w:pStyle w:val="Tablas"/>
              <w:rPr>
                <w:sz w:val="12"/>
                <w:szCs w:val="12"/>
              </w:rPr>
            </w:pPr>
            <w:r w:rsidRPr="00483EBE">
              <w:rPr>
                <w:sz w:val="12"/>
                <w:szCs w:val="12"/>
              </w:rPr>
              <w:t>$2,719</w:t>
            </w:r>
          </w:p>
        </w:tc>
        <w:tc>
          <w:tcPr>
            <w:tcW w:w="0" w:type="auto"/>
            <w:tcBorders>
              <w:top w:val="nil"/>
              <w:left w:val="nil"/>
              <w:bottom w:val="single" w:sz="4" w:space="0" w:color="auto"/>
              <w:right w:val="single" w:sz="4" w:space="0" w:color="auto"/>
            </w:tcBorders>
            <w:shd w:val="clear" w:color="auto" w:fill="auto"/>
            <w:vAlign w:val="center"/>
            <w:hideMark/>
          </w:tcPr>
          <w:p w14:paraId="093D6B83" w14:textId="77777777" w:rsidR="00572995" w:rsidRPr="00483EBE" w:rsidRDefault="00572995" w:rsidP="00E8324D">
            <w:pPr>
              <w:pStyle w:val="Tablas"/>
              <w:rPr>
                <w:sz w:val="12"/>
                <w:szCs w:val="12"/>
              </w:rPr>
            </w:pPr>
            <w:r w:rsidRPr="00483EBE">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14523D3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202F212" w14:textId="77777777" w:rsidR="00572995" w:rsidRPr="00483EBE" w:rsidRDefault="00572995" w:rsidP="00E8324D">
            <w:pPr>
              <w:pStyle w:val="Tablas"/>
              <w:rPr>
                <w:sz w:val="12"/>
                <w:szCs w:val="12"/>
              </w:rPr>
            </w:pPr>
            <w:r w:rsidRPr="00483EBE">
              <w:rPr>
                <w:sz w:val="12"/>
                <w:szCs w:val="12"/>
              </w:rPr>
              <w:t>SEBD</w:t>
            </w:r>
          </w:p>
        </w:tc>
      </w:tr>
      <w:tr w:rsidR="00572995" w:rsidRPr="00483EBE" w14:paraId="31C21D3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CD6C0AC"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15AA4A99" w14:textId="77777777" w:rsidR="00572995" w:rsidRPr="00483EBE" w:rsidRDefault="00572995" w:rsidP="00E8324D">
            <w:pPr>
              <w:pStyle w:val="Tablas"/>
              <w:rPr>
                <w:sz w:val="12"/>
                <w:szCs w:val="12"/>
              </w:rPr>
            </w:pPr>
            <w:r w:rsidRPr="00483EBE">
              <w:rPr>
                <w:sz w:val="12"/>
                <w:szCs w:val="12"/>
              </w:rPr>
              <w:t xml:space="preserve">542 </w:t>
            </w:r>
          </w:p>
        </w:tc>
        <w:tc>
          <w:tcPr>
            <w:tcW w:w="0" w:type="auto"/>
            <w:tcBorders>
              <w:top w:val="nil"/>
              <w:left w:val="nil"/>
              <w:bottom w:val="single" w:sz="4" w:space="0" w:color="auto"/>
              <w:right w:val="single" w:sz="4" w:space="0" w:color="auto"/>
            </w:tcBorders>
            <w:shd w:val="clear" w:color="auto" w:fill="auto"/>
            <w:vAlign w:val="center"/>
            <w:hideMark/>
          </w:tcPr>
          <w:p w14:paraId="40FC8754" w14:textId="77777777" w:rsidR="00572995" w:rsidRPr="00483EBE" w:rsidRDefault="00572995" w:rsidP="00E8324D">
            <w:pPr>
              <w:pStyle w:val="Tablas"/>
              <w:rPr>
                <w:sz w:val="12"/>
                <w:szCs w:val="12"/>
              </w:rPr>
            </w:pPr>
            <w:r w:rsidRPr="00483EBE">
              <w:rPr>
                <w:sz w:val="12"/>
                <w:szCs w:val="12"/>
              </w:rPr>
              <w:t>$1,441,420</w:t>
            </w:r>
          </w:p>
        </w:tc>
        <w:tc>
          <w:tcPr>
            <w:tcW w:w="0" w:type="auto"/>
            <w:tcBorders>
              <w:top w:val="nil"/>
              <w:left w:val="nil"/>
              <w:bottom w:val="single" w:sz="4" w:space="0" w:color="auto"/>
              <w:right w:val="single" w:sz="4" w:space="0" w:color="auto"/>
            </w:tcBorders>
            <w:shd w:val="clear" w:color="auto" w:fill="auto"/>
            <w:vAlign w:val="center"/>
            <w:hideMark/>
          </w:tcPr>
          <w:p w14:paraId="32E080C0" w14:textId="77777777" w:rsidR="00572995" w:rsidRPr="00483EBE" w:rsidRDefault="00572995" w:rsidP="00E8324D">
            <w:pPr>
              <w:pStyle w:val="Tablas"/>
              <w:rPr>
                <w:sz w:val="12"/>
                <w:szCs w:val="12"/>
              </w:rPr>
            </w:pPr>
            <w:r w:rsidRPr="00483EBE">
              <w:rPr>
                <w:sz w:val="12"/>
                <w:szCs w:val="12"/>
              </w:rPr>
              <w:t>$2,659</w:t>
            </w:r>
          </w:p>
        </w:tc>
        <w:tc>
          <w:tcPr>
            <w:tcW w:w="0" w:type="auto"/>
            <w:tcBorders>
              <w:top w:val="nil"/>
              <w:left w:val="nil"/>
              <w:bottom w:val="single" w:sz="4" w:space="0" w:color="auto"/>
              <w:right w:val="single" w:sz="4" w:space="0" w:color="auto"/>
            </w:tcBorders>
            <w:shd w:val="clear" w:color="auto" w:fill="auto"/>
            <w:vAlign w:val="center"/>
            <w:hideMark/>
          </w:tcPr>
          <w:p w14:paraId="69B81A6B" w14:textId="77777777" w:rsidR="00572995" w:rsidRPr="00483EBE" w:rsidRDefault="00572995" w:rsidP="00E8324D">
            <w:pPr>
              <w:pStyle w:val="Tablas"/>
              <w:rPr>
                <w:sz w:val="12"/>
                <w:szCs w:val="12"/>
              </w:rPr>
            </w:pPr>
            <w:r w:rsidRPr="00483EBE">
              <w:rPr>
                <w:sz w:val="12"/>
                <w:szCs w:val="12"/>
              </w:rPr>
              <w:t>$222</w:t>
            </w:r>
          </w:p>
        </w:tc>
        <w:tc>
          <w:tcPr>
            <w:tcW w:w="0" w:type="auto"/>
            <w:tcBorders>
              <w:top w:val="nil"/>
              <w:left w:val="nil"/>
              <w:bottom w:val="single" w:sz="4" w:space="0" w:color="auto"/>
              <w:right w:val="single" w:sz="4" w:space="0" w:color="auto"/>
            </w:tcBorders>
            <w:shd w:val="clear" w:color="auto" w:fill="auto"/>
            <w:vAlign w:val="center"/>
            <w:hideMark/>
          </w:tcPr>
          <w:p w14:paraId="56DA5E7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2664AF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57338E"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2161CD84" w14:textId="77777777" w:rsidR="00572995" w:rsidRPr="00483EBE" w:rsidRDefault="00572995" w:rsidP="00E8324D">
            <w:pPr>
              <w:pStyle w:val="Tablas"/>
              <w:rPr>
                <w:sz w:val="12"/>
                <w:szCs w:val="12"/>
              </w:rPr>
            </w:pPr>
            <w:r w:rsidRPr="00483EBE">
              <w:rPr>
                <w:sz w:val="12"/>
                <w:szCs w:val="12"/>
              </w:rPr>
              <w:t xml:space="preserve">79 </w:t>
            </w:r>
          </w:p>
        </w:tc>
        <w:tc>
          <w:tcPr>
            <w:tcW w:w="0" w:type="auto"/>
            <w:tcBorders>
              <w:top w:val="nil"/>
              <w:left w:val="nil"/>
              <w:bottom w:val="single" w:sz="4" w:space="0" w:color="auto"/>
              <w:right w:val="single" w:sz="4" w:space="0" w:color="auto"/>
            </w:tcBorders>
            <w:shd w:val="clear" w:color="auto" w:fill="auto"/>
            <w:vAlign w:val="center"/>
            <w:hideMark/>
          </w:tcPr>
          <w:p w14:paraId="40160F67" w14:textId="77777777" w:rsidR="00572995" w:rsidRPr="00483EBE" w:rsidRDefault="00572995" w:rsidP="00E8324D">
            <w:pPr>
              <w:pStyle w:val="Tablas"/>
              <w:rPr>
                <w:sz w:val="12"/>
                <w:szCs w:val="12"/>
              </w:rPr>
            </w:pPr>
            <w:r w:rsidRPr="00483EBE">
              <w:rPr>
                <w:sz w:val="12"/>
                <w:szCs w:val="12"/>
              </w:rPr>
              <w:t>$177,536</w:t>
            </w:r>
          </w:p>
        </w:tc>
        <w:tc>
          <w:tcPr>
            <w:tcW w:w="0" w:type="auto"/>
            <w:tcBorders>
              <w:top w:val="nil"/>
              <w:left w:val="nil"/>
              <w:bottom w:val="single" w:sz="4" w:space="0" w:color="auto"/>
              <w:right w:val="single" w:sz="4" w:space="0" w:color="auto"/>
            </w:tcBorders>
            <w:shd w:val="clear" w:color="auto" w:fill="auto"/>
            <w:vAlign w:val="center"/>
            <w:hideMark/>
          </w:tcPr>
          <w:p w14:paraId="2959C314" w14:textId="77777777" w:rsidR="00572995" w:rsidRPr="00483EBE" w:rsidRDefault="00572995" w:rsidP="00E8324D">
            <w:pPr>
              <w:pStyle w:val="Tablas"/>
              <w:rPr>
                <w:sz w:val="12"/>
                <w:szCs w:val="12"/>
              </w:rPr>
            </w:pPr>
            <w:r w:rsidRPr="00483EBE">
              <w:rPr>
                <w:sz w:val="12"/>
                <w:szCs w:val="12"/>
              </w:rPr>
              <w:t>$2,247</w:t>
            </w:r>
          </w:p>
        </w:tc>
        <w:tc>
          <w:tcPr>
            <w:tcW w:w="0" w:type="auto"/>
            <w:tcBorders>
              <w:top w:val="nil"/>
              <w:left w:val="nil"/>
              <w:bottom w:val="single" w:sz="4" w:space="0" w:color="auto"/>
              <w:right w:val="single" w:sz="4" w:space="0" w:color="auto"/>
            </w:tcBorders>
            <w:shd w:val="clear" w:color="auto" w:fill="auto"/>
            <w:vAlign w:val="center"/>
            <w:hideMark/>
          </w:tcPr>
          <w:p w14:paraId="739D95E0" w14:textId="77777777" w:rsidR="00572995" w:rsidRPr="00483EBE" w:rsidRDefault="00572995" w:rsidP="00E8324D">
            <w:pPr>
              <w:pStyle w:val="Tablas"/>
              <w:rPr>
                <w:sz w:val="12"/>
                <w:szCs w:val="12"/>
              </w:rPr>
            </w:pPr>
            <w:r w:rsidRPr="00483EBE">
              <w:rPr>
                <w:sz w:val="12"/>
                <w:szCs w:val="12"/>
              </w:rPr>
              <w:t>$187</w:t>
            </w:r>
          </w:p>
        </w:tc>
        <w:tc>
          <w:tcPr>
            <w:tcW w:w="0" w:type="auto"/>
            <w:tcBorders>
              <w:top w:val="nil"/>
              <w:left w:val="nil"/>
              <w:bottom w:val="single" w:sz="4" w:space="0" w:color="auto"/>
              <w:right w:val="single" w:sz="4" w:space="0" w:color="auto"/>
            </w:tcBorders>
            <w:shd w:val="clear" w:color="auto" w:fill="auto"/>
            <w:vAlign w:val="center"/>
            <w:hideMark/>
          </w:tcPr>
          <w:p w14:paraId="7F8BBAB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E87FB58" w14:textId="77777777" w:rsidR="00572995" w:rsidRPr="00483EBE" w:rsidRDefault="00572995" w:rsidP="00E8324D">
            <w:pPr>
              <w:pStyle w:val="Tablas"/>
              <w:rPr>
                <w:sz w:val="12"/>
                <w:szCs w:val="12"/>
              </w:rPr>
            </w:pPr>
            <w:r w:rsidRPr="00483EBE">
              <w:rPr>
                <w:sz w:val="12"/>
                <w:szCs w:val="12"/>
              </w:rPr>
              <w:t>SEBD</w:t>
            </w:r>
          </w:p>
        </w:tc>
      </w:tr>
      <w:tr w:rsidR="00572995" w:rsidRPr="00483EBE" w14:paraId="5951C83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E85E76"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337CC2A3" w14:textId="77777777" w:rsidR="00572995" w:rsidRPr="00483EBE" w:rsidRDefault="00572995" w:rsidP="00E8324D">
            <w:pPr>
              <w:pStyle w:val="Tablas"/>
              <w:rPr>
                <w:sz w:val="12"/>
                <w:szCs w:val="12"/>
              </w:rPr>
            </w:pPr>
            <w:r w:rsidRPr="00483EBE">
              <w:rPr>
                <w:sz w:val="12"/>
                <w:szCs w:val="12"/>
              </w:rPr>
              <w:t xml:space="preserve">504 </w:t>
            </w:r>
          </w:p>
        </w:tc>
        <w:tc>
          <w:tcPr>
            <w:tcW w:w="0" w:type="auto"/>
            <w:tcBorders>
              <w:top w:val="nil"/>
              <w:left w:val="nil"/>
              <w:bottom w:val="single" w:sz="4" w:space="0" w:color="auto"/>
              <w:right w:val="single" w:sz="4" w:space="0" w:color="auto"/>
            </w:tcBorders>
            <w:shd w:val="clear" w:color="auto" w:fill="auto"/>
            <w:vAlign w:val="center"/>
            <w:hideMark/>
          </w:tcPr>
          <w:p w14:paraId="5443C519" w14:textId="77777777" w:rsidR="00572995" w:rsidRPr="00483EBE" w:rsidRDefault="00572995" w:rsidP="00E8324D">
            <w:pPr>
              <w:pStyle w:val="Tablas"/>
              <w:rPr>
                <w:sz w:val="12"/>
                <w:szCs w:val="12"/>
              </w:rPr>
            </w:pPr>
            <w:r w:rsidRPr="00483EBE">
              <w:rPr>
                <w:sz w:val="12"/>
                <w:szCs w:val="12"/>
              </w:rPr>
              <w:t>$1,223,007</w:t>
            </w:r>
          </w:p>
        </w:tc>
        <w:tc>
          <w:tcPr>
            <w:tcW w:w="0" w:type="auto"/>
            <w:tcBorders>
              <w:top w:val="nil"/>
              <w:left w:val="nil"/>
              <w:bottom w:val="single" w:sz="4" w:space="0" w:color="auto"/>
              <w:right w:val="single" w:sz="4" w:space="0" w:color="auto"/>
            </w:tcBorders>
            <w:shd w:val="clear" w:color="auto" w:fill="auto"/>
            <w:vAlign w:val="center"/>
            <w:hideMark/>
          </w:tcPr>
          <w:p w14:paraId="46ED40C6" w14:textId="77777777" w:rsidR="00572995" w:rsidRPr="00483EBE" w:rsidRDefault="00572995" w:rsidP="00E8324D">
            <w:pPr>
              <w:pStyle w:val="Tablas"/>
              <w:rPr>
                <w:sz w:val="12"/>
                <w:szCs w:val="12"/>
              </w:rPr>
            </w:pPr>
            <w:r w:rsidRPr="00483EBE">
              <w:rPr>
                <w:sz w:val="12"/>
                <w:szCs w:val="12"/>
              </w:rPr>
              <w:t>$2,427</w:t>
            </w:r>
          </w:p>
        </w:tc>
        <w:tc>
          <w:tcPr>
            <w:tcW w:w="0" w:type="auto"/>
            <w:tcBorders>
              <w:top w:val="nil"/>
              <w:left w:val="nil"/>
              <w:bottom w:val="single" w:sz="4" w:space="0" w:color="auto"/>
              <w:right w:val="single" w:sz="4" w:space="0" w:color="auto"/>
            </w:tcBorders>
            <w:shd w:val="clear" w:color="auto" w:fill="auto"/>
            <w:vAlign w:val="center"/>
            <w:hideMark/>
          </w:tcPr>
          <w:p w14:paraId="16DACCF7" w14:textId="77777777" w:rsidR="00572995" w:rsidRPr="00483EBE" w:rsidRDefault="00572995" w:rsidP="00E8324D">
            <w:pPr>
              <w:pStyle w:val="Tablas"/>
              <w:rPr>
                <w:sz w:val="12"/>
                <w:szCs w:val="12"/>
              </w:rPr>
            </w:pPr>
            <w:r w:rsidRPr="00483EBE">
              <w:rPr>
                <w:sz w:val="12"/>
                <w:szCs w:val="12"/>
              </w:rPr>
              <w:t>$202</w:t>
            </w:r>
          </w:p>
        </w:tc>
        <w:tc>
          <w:tcPr>
            <w:tcW w:w="0" w:type="auto"/>
            <w:tcBorders>
              <w:top w:val="nil"/>
              <w:left w:val="nil"/>
              <w:bottom w:val="single" w:sz="4" w:space="0" w:color="auto"/>
              <w:right w:val="single" w:sz="4" w:space="0" w:color="auto"/>
            </w:tcBorders>
            <w:shd w:val="clear" w:color="auto" w:fill="auto"/>
            <w:vAlign w:val="center"/>
            <w:hideMark/>
          </w:tcPr>
          <w:p w14:paraId="62F5DBD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CFEFB0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F213EA"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5DF2CAF4" w14:textId="77777777" w:rsidR="00572995" w:rsidRPr="00483EBE" w:rsidRDefault="00572995" w:rsidP="00E8324D">
            <w:pPr>
              <w:pStyle w:val="Tablas"/>
              <w:rPr>
                <w:sz w:val="12"/>
                <w:szCs w:val="12"/>
              </w:rPr>
            </w:pPr>
            <w:r w:rsidRPr="00483EBE">
              <w:rPr>
                <w:sz w:val="12"/>
                <w:szCs w:val="12"/>
              </w:rPr>
              <w:t xml:space="preserve">56 </w:t>
            </w:r>
          </w:p>
        </w:tc>
        <w:tc>
          <w:tcPr>
            <w:tcW w:w="0" w:type="auto"/>
            <w:tcBorders>
              <w:top w:val="nil"/>
              <w:left w:val="nil"/>
              <w:bottom w:val="single" w:sz="4" w:space="0" w:color="auto"/>
              <w:right w:val="single" w:sz="4" w:space="0" w:color="auto"/>
            </w:tcBorders>
            <w:shd w:val="clear" w:color="auto" w:fill="auto"/>
            <w:vAlign w:val="center"/>
            <w:hideMark/>
          </w:tcPr>
          <w:p w14:paraId="4660CF67" w14:textId="77777777" w:rsidR="00572995" w:rsidRPr="00483EBE" w:rsidRDefault="00572995" w:rsidP="00E8324D">
            <w:pPr>
              <w:pStyle w:val="Tablas"/>
              <w:rPr>
                <w:sz w:val="12"/>
                <w:szCs w:val="12"/>
              </w:rPr>
            </w:pPr>
            <w:r w:rsidRPr="00483EBE">
              <w:rPr>
                <w:sz w:val="12"/>
                <w:szCs w:val="12"/>
              </w:rPr>
              <w:t>$140,566</w:t>
            </w:r>
          </w:p>
        </w:tc>
        <w:tc>
          <w:tcPr>
            <w:tcW w:w="0" w:type="auto"/>
            <w:tcBorders>
              <w:top w:val="nil"/>
              <w:left w:val="nil"/>
              <w:bottom w:val="single" w:sz="4" w:space="0" w:color="auto"/>
              <w:right w:val="single" w:sz="4" w:space="0" w:color="auto"/>
            </w:tcBorders>
            <w:shd w:val="clear" w:color="auto" w:fill="auto"/>
            <w:vAlign w:val="center"/>
            <w:hideMark/>
          </w:tcPr>
          <w:p w14:paraId="0B017751" w14:textId="77777777" w:rsidR="00572995" w:rsidRPr="00483EBE" w:rsidRDefault="00572995" w:rsidP="00E8324D">
            <w:pPr>
              <w:pStyle w:val="Tablas"/>
              <w:rPr>
                <w:sz w:val="12"/>
                <w:szCs w:val="12"/>
              </w:rPr>
            </w:pPr>
            <w:r w:rsidRPr="00483EBE">
              <w:rPr>
                <w:sz w:val="12"/>
                <w:szCs w:val="12"/>
              </w:rPr>
              <w:t>$2,510</w:t>
            </w:r>
          </w:p>
        </w:tc>
        <w:tc>
          <w:tcPr>
            <w:tcW w:w="0" w:type="auto"/>
            <w:tcBorders>
              <w:top w:val="nil"/>
              <w:left w:val="nil"/>
              <w:bottom w:val="single" w:sz="4" w:space="0" w:color="auto"/>
              <w:right w:val="single" w:sz="4" w:space="0" w:color="auto"/>
            </w:tcBorders>
            <w:shd w:val="clear" w:color="auto" w:fill="auto"/>
            <w:vAlign w:val="center"/>
            <w:hideMark/>
          </w:tcPr>
          <w:p w14:paraId="524B0A2F" w14:textId="77777777" w:rsidR="00572995" w:rsidRPr="00483EBE" w:rsidRDefault="00572995" w:rsidP="00E8324D">
            <w:pPr>
              <w:pStyle w:val="Tablas"/>
              <w:rPr>
                <w:sz w:val="12"/>
                <w:szCs w:val="12"/>
              </w:rPr>
            </w:pPr>
            <w:r w:rsidRPr="00483EBE">
              <w:rPr>
                <w:sz w:val="12"/>
                <w:szCs w:val="12"/>
              </w:rPr>
              <w:t>$209</w:t>
            </w:r>
          </w:p>
        </w:tc>
        <w:tc>
          <w:tcPr>
            <w:tcW w:w="0" w:type="auto"/>
            <w:tcBorders>
              <w:top w:val="nil"/>
              <w:left w:val="nil"/>
              <w:bottom w:val="single" w:sz="4" w:space="0" w:color="auto"/>
              <w:right w:val="single" w:sz="4" w:space="0" w:color="auto"/>
            </w:tcBorders>
            <w:shd w:val="clear" w:color="auto" w:fill="auto"/>
            <w:vAlign w:val="center"/>
            <w:hideMark/>
          </w:tcPr>
          <w:p w14:paraId="23D289EA"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F018B81" w14:textId="77777777" w:rsidR="00572995" w:rsidRPr="00483EBE" w:rsidRDefault="00572995" w:rsidP="00E8324D">
            <w:pPr>
              <w:pStyle w:val="Tablas"/>
              <w:rPr>
                <w:sz w:val="12"/>
                <w:szCs w:val="12"/>
              </w:rPr>
            </w:pPr>
            <w:r w:rsidRPr="00483EBE">
              <w:rPr>
                <w:sz w:val="12"/>
                <w:szCs w:val="12"/>
              </w:rPr>
              <w:t>SEBD</w:t>
            </w:r>
          </w:p>
        </w:tc>
      </w:tr>
      <w:tr w:rsidR="00572995" w:rsidRPr="00483EBE" w14:paraId="7C1EDC6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7B3648"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EDE407F" w14:textId="77777777" w:rsidR="00572995" w:rsidRPr="00483EBE" w:rsidRDefault="00572995" w:rsidP="00E8324D">
            <w:pPr>
              <w:pStyle w:val="Tablas"/>
              <w:rPr>
                <w:sz w:val="12"/>
                <w:szCs w:val="12"/>
              </w:rPr>
            </w:pPr>
            <w:r w:rsidRPr="00483EBE">
              <w:rPr>
                <w:sz w:val="12"/>
                <w:szCs w:val="12"/>
              </w:rPr>
              <w:t xml:space="preserve">415 </w:t>
            </w:r>
          </w:p>
        </w:tc>
        <w:tc>
          <w:tcPr>
            <w:tcW w:w="0" w:type="auto"/>
            <w:tcBorders>
              <w:top w:val="nil"/>
              <w:left w:val="nil"/>
              <w:bottom w:val="single" w:sz="4" w:space="0" w:color="auto"/>
              <w:right w:val="single" w:sz="4" w:space="0" w:color="auto"/>
            </w:tcBorders>
            <w:shd w:val="clear" w:color="auto" w:fill="auto"/>
            <w:vAlign w:val="center"/>
            <w:hideMark/>
          </w:tcPr>
          <w:p w14:paraId="0F5D27E6" w14:textId="77777777" w:rsidR="00572995" w:rsidRPr="00483EBE" w:rsidRDefault="00572995" w:rsidP="00E8324D">
            <w:pPr>
              <w:pStyle w:val="Tablas"/>
              <w:rPr>
                <w:sz w:val="12"/>
                <w:szCs w:val="12"/>
              </w:rPr>
            </w:pPr>
            <w:r w:rsidRPr="00483EBE">
              <w:rPr>
                <w:sz w:val="12"/>
                <w:szCs w:val="12"/>
              </w:rPr>
              <w:t>$1,113,275</w:t>
            </w:r>
          </w:p>
        </w:tc>
        <w:tc>
          <w:tcPr>
            <w:tcW w:w="0" w:type="auto"/>
            <w:tcBorders>
              <w:top w:val="nil"/>
              <w:left w:val="nil"/>
              <w:bottom w:val="single" w:sz="4" w:space="0" w:color="auto"/>
              <w:right w:val="single" w:sz="4" w:space="0" w:color="auto"/>
            </w:tcBorders>
            <w:shd w:val="clear" w:color="auto" w:fill="auto"/>
            <w:vAlign w:val="center"/>
            <w:hideMark/>
          </w:tcPr>
          <w:p w14:paraId="03D05B48" w14:textId="77777777" w:rsidR="00572995" w:rsidRPr="00483EBE" w:rsidRDefault="00572995" w:rsidP="00E8324D">
            <w:pPr>
              <w:pStyle w:val="Tablas"/>
              <w:rPr>
                <w:sz w:val="12"/>
                <w:szCs w:val="12"/>
              </w:rPr>
            </w:pPr>
            <w:r w:rsidRPr="00483EBE">
              <w:rPr>
                <w:sz w:val="12"/>
                <w:szCs w:val="12"/>
              </w:rPr>
              <w:t>$2,683</w:t>
            </w:r>
          </w:p>
        </w:tc>
        <w:tc>
          <w:tcPr>
            <w:tcW w:w="0" w:type="auto"/>
            <w:tcBorders>
              <w:top w:val="nil"/>
              <w:left w:val="nil"/>
              <w:bottom w:val="single" w:sz="4" w:space="0" w:color="auto"/>
              <w:right w:val="single" w:sz="4" w:space="0" w:color="auto"/>
            </w:tcBorders>
            <w:shd w:val="clear" w:color="auto" w:fill="auto"/>
            <w:vAlign w:val="center"/>
            <w:hideMark/>
          </w:tcPr>
          <w:p w14:paraId="6B4A7986" w14:textId="77777777" w:rsidR="00572995" w:rsidRPr="00483EBE" w:rsidRDefault="00572995" w:rsidP="00E8324D">
            <w:pPr>
              <w:pStyle w:val="Tablas"/>
              <w:rPr>
                <w:sz w:val="12"/>
                <w:szCs w:val="12"/>
              </w:rPr>
            </w:pPr>
            <w:r w:rsidRPr="00483EBE">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2324F58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BEB18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0586ED"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20162FC1" w14:textId="77777777" w:rsidR="00572995" w:rsidRPr="00483EBE" w:rsidRDefault="00572995" w:rsidP="00E8324D">
            <w:pPr>
              <w:pStyle w:val="Tablas"/>
              <w:rPr>
                <w:sz w:val="12"/>
                <w:szCs w:val="12"/>
              </w:rPr>
            </w:pPr>
            <w:r w:rsidRPr="00483EBE">
              <w:rPr>
                <w:sz w:val="12"/>
                <w:szCs w:val="12"/>
              </w:rPr>
              <w:t xml:space="preserve">57 </w:t>
            </w:r>
          </w:p>
        </w:tc>
        <w:tc>
          <w:tcPr>
            <w:tcW w:w="0" w:type="auto"/>
            <w:tcBorders>
              <w:top w:val="nil"/>
              <w:left w:val="nil"/>
              <w:bottom w:val="single" w:sz="4" w:space="0" w:color="auto"/>
              <w:right w:val="single" w:sz="4" w:space="0" w:color="auto"/>
            </w:tcBorders>
            <w:shd w:val="clear" w:color="auto" w:fill="auto"/>
            <w:vAlign w:val="center"/>
            <w:hideMark/>
          </w:tcPr>
          <w:p w14:paraId="0E32CA0C" w14:textId="77777777" w:rsidR="00572995" w:rsidRPr="00483EBE" w:rsidRDefault="00572995" w:rsidP="00E8324D">
            <w:pPr>
              <w:pStyle w:val="Tablas"/>
              <w:rPr>
                <w:sz w:val="12"/>
                <w:szCs w:val="12"/>
              </w:rPr>
            </w:pPr>
            <w:r w:rsidRPr="00483EBE">
              <w:rPr>
                <w:sz w:val="12"/>
                <w:szCs w:val="12"/>
              </w:rPr>
              <w:t>$132,386</w:t>
            </w:r>
          </w:p>
        </w:tc>
        <w:tc>
          <w:tcPr>
            <w:tcW w:w="0" w:type="auto"/>
            <w:tcBorders>
              <w:top w:val="nil"/>
              <w:left w:val="nil"/>
              <w:bottom w:val="single" w:sz="4" w:space="0" w:color="auto"/>
              <w:right w:val="single" w:sz="4" w:space="0" w:color="auto"/>
            </w:tcBorders>
            <w:shd w:val="clear" w:color="auto" w:fill="auto"/>
            <w:vAlign w:val="center"/>
            <w:hideMark/>
          </w:tcPr>
          <w:p w14:paraId="4D7DD40C" w14:textId="77777777" w:rsidR="00572995" w:rsidRPr="00483EBE" w:rsidRDefault="00572995" w:rsidP="00E8324D">
            <w:pPr>
              <w:pStyle w:val="Tablas"/>
              <w:rPr>
                <w:sz w:val="12"/>
                <w:szCs w:val="12"/>
              </w:rPr>
            </w:pPr>
            <w:r w:rsidRPr="00483EBE">
              <w:rPr>
                <w:sz w:val="12"/>
                <w:szCs w:val="12"/>
              </w:rPr>
              <w:t>$2,323</w:t>
            </w:r>
          </w:p>
        </w:tc>
        <w:tc>
          <w:tcPr>
            <w:tcW w:w="0" w:type="auto"/>
            <w:tcBorders>
              <w:top w:val="nil"/>
              <w:left w:val="nil"/>
              <w:bottom w:val="single" w:sz="4" w:space="0" w:color="auto"/>
              <w:right w:val="single" w:sz="4" w:space="0" w:color="auto"/>
            </w:tcBorders>
            <w:shd w:val="clear" w:color="auto" w:fill="auto"/>
            <w:vAlign w:val="center"/>
            <w:hideMark/>
          </w:tcPr>
          <w:p w14:paraId="6F3CB835" w14:textId="77777777" w:rsidR="00572995" w:rsidRPr="00483EBE" w:rsidRDefault="00572995" w:rsidP="00E8324D">
            <w:pPr>
              <w:pStyle w:val="Tablas"/>
              <w:rPr>
                <w:sz w:val="12"/>
                <w:szCs w:val="12"/>
              </w:rPr>
            </w:pPr>
            <w:r w:rsidRPr="00483EBE">
              <w:rPr>
                <w:sz w:val="12"/>
                <w:szCs w:val="12"/>
              </w:rPr>
              <w:t>$194</w:t>
            </w:r>
          </w:p>
        </w:tc>
        <w:tc>
          <w:tcPr>
            <w:tcW w:w="0" w:type="auto"/>
            <w:tcBorders>
              <w:top w:val="nil"/>
              <w:left w:val="nil"/>
              <w:bottom w:val="single" w:sz="4" w:space="0" w:color="auto"/>
              <w:right w:val="single" w:sz="4" w:space="0" w:color="auto"/>
            </w:tcBorders>
            <w:shd w:val="clear" w:color="auto" w:fill="auto"/>
            <w:vAlign w:val="center"/>
            <w:hideMark/>
          </w:tcPr>
          <w:p w14:paraId="0773C00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E9A2F8B" w14:textId="77777777" w:rsidR="00572995" w:rsidRPr="00483EBE" w:rsidRDefault="00572995" w:rsidP="00E8324D">
            <w:pPr>
              <w:pStyle w:val="Tablas"/>
              <w:rPr>
                <w:sz w:val="12"/>
                <w:szCs w:val="12"/>
              </w:rPr>
            </w:pPr>
            <w:r w:rsidRPr="00483EBE">
              <w:rPr>
                <w:sz w:val="12"/>
                <w:szCs w:val="12"/>
              </w:rPr>
              <w:t>SEBD</w:t>
            </w:r>
          </w:p>
        </w:tc>
      </w:tr>
      <w:tr w:rsidR="00572995" w:rsidRPr="00483EBE" w14:paraId="1CB0A70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6F9833A"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D2C2A00" w14:textId="77777777" w:rsidR="00572995" w:rsidRPr="00483EBE" w:rsidRDefault="00572995" w:rsidP="00E8324D">
            <w:pPr>
              <w:pStyle w:val="Tablas"/>
              <w:rPr>
                <w:sz w:val="12"/>
                <w:szCs w:val="12"/>
              </w:rPr>
            </w:pPr>
            <w:r w:rsidRPr="00483EBE">
              <w:rPr>
                <w:sz w:val="12"/>
                <w:szCs w:val="12"/>
              </w:rPr>
              <w:t xml:space="preserve">374 </w:t>
            </w:r>
          </w:p>
        </w:tc>
        <w:tc>
          <w:tcPr>
            <w:tcW w:w="0" w:type="auto"/>
            <w:tcBorders>
              <w:top w:val="nil"/>
              <w:left w:val="nil"/>
              <w:bottom w:val="single" w:sz="4" w:space="0" w:color="auto"/>
              <w:right w:val="single" w:sz="4" w:space="0" w:color="auto"/>
            </w:tcBorders>
            <w:shd w:val="clear" w:color="auto" w:fill="auto"/>
            <w:vAlign w:val="center"/>
            <w:hideMark/>
          </w:tcPr>
          <w:p w14:paraId="52542B59" w14:textId="77777777" w:rsidR="00572995" w:rsidRPr="00483EBE" w:rsidRDefault="00572995" w:rsidP="00E8324D">
            <w:pPr>
              <w:pStyle w:val="Tablas"/>
              <w:rPr>
                <w:sz w:val="12"/>
                <w:szCs w:val="12"/>
              </w:rPr>
            </w:pPr>
            <w:r w:rsidRPr="00483EBE">
              <w:rPr>
                <w:sz w:val="12"/>
                <w:szCs w:val="12"/>
              </w:rPr>
              <w:t>$966,181</w:t>
            </w:r>
          </w:p>
        </w:tc>
        <w:tc>
          <w:tcPr>
            <w:tcW w:w="0" w:type="auto"/>
            <w:tcBorders>
              <w:top w:val="nil"/>
              <w:left w:val="nil"/>
              <w:bottom w:val="single" w:sz="4" w:space="0" w:color="auto"/>
              <w:right w:val="single" w:sz="4" w:space="0" w:color="auto"/>
            </w:tcBorders>
            <w:shd w:val="clear" w:color="auto" w:fill="auto"/>
            <w:vAlign w:val="center"/>
            <w:hideMark/>
          </w:tcPr>
          <w:p w14:paraId="020FDE29" w14:textId="77777777" w:rsidR="00572995" w:rsidRPr="00483EBE" w:rsidRDefault="00572995" w:rsidP="00E8324D">
            <w:pPr>
              <w:pStyle w:val="Tablas"/>
              <w:rPr>
                <w:sz w:val="12"/>
                <w:szCs w:val="12"/>
              </w:rPr>
            </w:pPr>
            <w:r w:rsidRPr="00483EBE">
              <w:rPr>
                <w:sz w:val="12"/>
                <w:szCs w:val="12"/>
              </w:rPr>
              <w:t>$2,583</w:t>
            </w:r>
          </w:p>
        </w:tc>
        <w:tc>
          <w:tcPr>
            <w:tcW w:w="0" w:type="auto"/>
            <w:tcBorders>
              <w:top w:val="nil"/>
              <w:left w:val="nil"/>
              <w:bottom w:val="single" w:sz="4" w:space="0" w:color="auto"/>
              <w:right w:val="single" w:sz="4" w:space="0" w:color="auto"/>
            </w:tcBorders>
            <w:shd w:val="clear" w:color="auto" w:fill="auto"/>
            <w:vAlign w:val="center"/>
            <w:hideMark/>
          </w:tcPr>
          <w:p w14:paraId="35CA82CB"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35086C8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F39670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31DFB6"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C605276" w14:textId="77777777" w:rsidR="00572995" w:rsidRPr="00483EBE" w:rsidRDefault="00572995" w:rsidP="00E8324D">
            <w:pPr>
              <w:pStyle w:val="Tablas"/>
              <w:rPr>
                <w:sz w:val="12"/>
                <w:szCs w:val="12"/>
              </w:rPr>
            </w:pPr>
            <w:r w:rsidRPr="00483EBE">
              <w:rPr>
                <w:sz w:val="12"/>
                <w:szCs w:val="12"/>
              </w:rPr>
              <w:t xml:space="preserve">66 </w:t>
            </w:r>
          </w:p>
        </w:tc>
        <w:tc>
          <w:tcPr>
            <w:tcW w:w="0" w:type="auto"/>
            <w:tcBorders>
              <w:top w:val="nil"/>
              <w:left w:val="nil"/>
              <w:bottom w:val="single" w:sz="4" w:space="0" w:color="auto"/>
              <w:right w:val="single" w:sz="4" w:space="0" w:color="auto"/>
            </w:tcBorders>
            <w:shd w:val="clear" w:color="auto" w:fill="auto"/>
            <w:vAlign w:val="center"/>
            <w:hideMark/>
          </w:tcPr>
          <w:p w14:paraId="064850C3" w14:textId="77777777" w:rsidR="00572995" w:rsidRPr="00483EBE" w:rsidRDefault="00572995" w:rsidP="00E8324D">
            <w:pPr>
              <w:pStyle w:val="Tablas"/>
              <w:rPr>
                <w:sz w:val="12"/>
                <w:szCs w:val="12"/>
              </w:rPr>
            </w:pPr>
            <w:r w:rsidRPr="00483EBE">
              <w:rPr>
                <w:sz w:val="12"/>
                <w:szCs w:val="12"/>
              </w:rPr>
              <w:t>$138,073</w:t>
            </w:r>
          </w:p>
        </w:tc>
        <w:tc>
          <w:tcPr>
            <w:tcW w:w="0" w:type="auto"/>
            <w:tcBorders>
              <w:top w:val="nil"/>
              <w:left w:val="nil"/>
              <w:bottom w:val="single" w:sz="4" w:space="0" w:color="auto"/>
              <w:right w:val="single" w:sz="4" w:space="0" w:color="auto"/>
            </w:tcBorders>
            <w:shd w:val="clear" w:color="auto" w:fill="auto"/>
            <w:vAlign w:val="center"/>
            <w:hideMark/>
          </w:tcPr>
          <w:p w14:paraId="1F4EFECA" w14:textId="77777777" w:rsidR="00572995" w:rsidRPr="00483EBE" w:rsidRDefault="00572995" w:rsidP="00E8324D">
            <w:pPr>
              <w:pStyle w:val="Tablas"/>
              <w:rPr>
                <w:sz w:val="12"/>
                <w:szCs w:val="12"/>
              </w:rPr>
            </w:pPr>
            <w:r w:rsidRPr="00483EBE">
              <w:rPr>
                <w:sz w:val="12"/>
                <w:szCs w:val="12"/>
              </w:rPr>
              <w:t>$2,092</w:t>
            </w:r>
          </w:p>
        </w:tc>
        <w:tc>
          <w:tcPr>
            <w:tcW w:w="0" w:type="auto"/>
            <w:tcBorders>
              <w:top w:val="nil"/>
              <w:left w:val="nil"/>
              <w:bottom w:val="single" w:sz="4" w:space="0" w:color="auto"/>
              <w:right w:val="single" w:sz="4" w:space="0" w:color="auto"/>
            </w:tcBorders>
            <w:shd w:val="clear" w:color="auto" w:fill="auto"/>
            <w:vAlign w:val="center"/>
            <w:hideMark/>
          </w:tcPr>
          <w:p w14:paraId="34915CD5" w14:textId="77777777" w:rsidR="00572995" w:rsidRPr="00483EBE" w:rsidRDefault="00572995" w:rsidP="00E8324D">
            <w:pPr>
              <w:pStyle w:val="Tablas"/>
              <w:rPr>
                <w:sz w:val="12"/>
                <w:szCs w:val="12"/>
              </w:rPr>
            </w:pPr>
            <w:r w:rsidRPr="00483EBE">
              <w:rPr>
                <w:sz w:val="12"/>
                <w:szCs w:val="12"/>
              </w:rPr>
              <w:t>$174</w:t>
            </w:r>
          </w:p>
        </w:tc>
        <w:tc>
          <w:tcPr>
            <w:tcW w:w="0" w:type="auto"/>
            <w:tcBorders>
              <w:top w:val="nil"/>
              <w:left w:val="nil"/>
              <w:bottom w:val="single" w:sz="4" w:space="0" w:color="auto"/>
              <w:right w:val="single" w:sz="4" w:space="0" w:color="auto"/>
            </w:tcBorders>
            <w:shd w:val="clear" w:color="auto" w:fill="auto"/>
            <w:vAlign w:val="center"/>
            <w:hideMark/>
          </w:tcPr>
          <w:p w14:paraId="47A31BDD"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770C7DF" w14:textId="77777777" w:rsidR="00572995" w:rsidRPr="00483EBE" w:rsidRDefault="00572995" w:rsidP="00E8324D">
            <w:pPr>
              <w:pStyle w:val="Tablas"/>
              <w:rPr>
                <w:sz w:val="12"/>
                <w:szCs w:val="12"/>
              </w:rPr>
            </w:pPr>
            <w:r w:rsidRPr="00483EBE">
              <w:rPr>
                <w:sz w:val="12"/>
                <w:szCs w:val="12"/>
              </w:rPr>
              <w:t>SEBD</w:t>
            </w:r>
          </w:p>
        </w:tc>
      </w:tr>
      <w:tr w:rsidR="00572995" w:rsidRPr="00483EBE" w14:paraId="0FCACF6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03A7E8"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674D4140" w14:textId="77777777" w:rsidR="00572995" w:rsidRPr="00483EBE" w:rsidRDefault="00572995" w:rsidP="00E8324D">
            <w:pPr>
              <w:pStyle w:val="Tablas"/>
              <w:rPr>
                <w:sz w:val="12"/>
                <w:szCs w:val="12"/>
              </w:rPr>
            </w:pPr>
            <w:r w:rsidRPr="00483EBE">
              <w:rPr>
                <w:sz w:val="12"/>
                <w:szCs w:val="12"/>
              </w:rPr>
              <w:t xml:space="preserve">344 </w:t>
            </w:r>
          </w:p>
        </w:tc>
        <w:tc>
          <w:tcPr>
            <w:tcW w:w="0" w:type="auto"/>
            <w:tcBorders>
              <w:top w:val="nil"/>
              <w:left w:val="nil"/>
              <w:bottom w:val="single" w:sz="4" w:space="0" w:color="auto"/>
              <w:right w:val="single" w:sz="4" w:space="0" w:color="auto"/>
            </w:tcBorders>
            <w:shd w:val="clear" w:color="auto" w:fill="auto"/>
            <w:vAlign w:val="center"/>
            <w:hideMark/>
          </w:tcPr>
          <w:p w14:paraId="19CD2984" w14:textId="77777777" w:rsidR="00572995" w:rsidRPr="00483EBE" w:rsidRDefault="00572995" w:rsidP="00E8324D">
            <w:pPr>
              <w:pStyle w:val="Tablas"/>
              <w:rPr>
                <w:sz w:val="12"/>
                <w:szCs w:val="12"/>
              </w:rPr>
            </w:pPr>
            <w:r w:rsidRPr="00483EBE">
              <w:rPr>
                <w:sz w:val="12"/>
                <w:szCs w:val="12"/>
              </w:rPr>
              <w:t>$892,809</w:t>
            </w:r>
          </w:p>
        </w:tc>
        <w:tc>
          <w:tcPr>
            <w:tcW w:w="0" w:type="auto"/>
            <w:tcBorders>
              <w:top w:val="nil"/>
              <w:left w:val="nil"/>
              <w:bottom w:val="single" w:sz="4" w:space="0" w:color="auto"/>
              <w:right w:val="single" w:sz="4" w:space="0" w:color="auto"/>
            </w:tcBorders>
            <w:shd w:val="clear" w:color="auto" w:fill="auto"/>
            <w:vAlign w:val="center"/>
            <w:hideMark/>
          </w:tcPr>
          <w:p w14:paraId="6EBE6AB1" w14:textId="77777777" w:rsidR="00572995" w:rsidRPr="00483EBE" w:rsidRDefault="00572995" w:rsidP="00E8324D">
            <w:pPr>
              <w:pStyle w:val="Tablas"/>
              <w:rPr>
                <w:sz w:val="12"/>
                <w:szCs w:val="12"/>
              </w:rPr>
            </w:pPr>
            <w:r w:rsidRPr="00483EBE">
              <w:rPr>
                <w:sz w:val="12"/>
                <w:szCs w:val="12"/>
              </w:rPr>
              <w:t>$2,595</w:t>
            </w:r>
          </w:p>
        </w:tc>
        <w:tc>
          <w:tcPr>
            <w:tcW w:w="0" w:type="auto"/>
            <w:tcBorders>
              <w:top w:val="nil"/>
              <w:left w:val="nil"/>
              <w:bottom w:val="single" w:sz="4" w:space="0" w:color="auto"/>
              <w:right w:val="single" w:sz="4" w:space="0" w:color="auto"/>
            </w:tcBorders>
            <w:shd w:val="clear" w:color="auto" w:fill="auto"/>
            <w:vAlign w:val="center"/>
            <w:hideMark/>
          </w:tcPr>
          <w:p w14:paraId="1A0FFBEB" w14:textId="77777777" w:rsidR="00572995" w:rsidRPr="00483EBE" w:rsidRDefault="00572995" w:rsidP="00E8324D">
            <w:pPr>
              <w:pStyle w:val="Tablas"/>
              <w:rPr>
                <w:sz w:val="12"/>
                <w:szCs w:val="12"/>
              </w:rPr>
            </w:pPr>
            <w:r w:rsidRPr="00483EBE">
              <w:rPr>
                <w:sz w:val="12"/>
                <w:szCs w:val="12"/>
              </w:rPr>
              <w:t>$216</w:t>
            </w:r>
          </w:p>
        </w:tc>
        <w:tc>
          <w:tcPr>
            <w:tcW w:w="0" w:type="auto"/>
            <w:tcBorders>
              <w:top w:val="nil"/>
              <w:left w:val="nil"/>
              <w:bottom w:val="single" w:sz="4" w:space="0" w:color="auto"/>
              <w:right w:val="single" w:sz="4" w:space="0" w:color="auto"/>
            </w:tcBorders>
            <w:shd w:val="clear" w:color="auto" w:fill="auto"/>
            <w:vAlign w:val="center"/>
            <w:hideMark/>
          </w:tcPr>
          <w:p w14:paraId="7240245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1BED96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A6F619"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6D3BE0F7" w14:textId="77777777" w:rsidR="00572995" w:rsidRPr="00483EBE" w:rsidRDefault="00572995" w:rsidP="00E8324D">
            <w:pPr>
              <w:pStyle w:val="Tablas"/>
              <w:rPr>
                <w:sz w:val="12"/>
                <w:szCs w:val="12"/>
              </w:rPr>
            </w:pPr>
            <w:r w:rsidRPr="00483EBE">
              <w:rPr>
                <w:sz w:val="12"/>
                <w:szCs w:val="12"/>
              </w:rPr>
              <w:t xml:space="preserve">58 </w:t>
            </w:r>
          </w:p>
        </w:tc>
        <w:tc>
          <w:tcPr>
            <w:tcW w:w="0" w:type="auto"/>
            <w:tcBorders>
              <w:top w:val="nil"/>
              <w:left w:val="nil"/>
              <w:bottom w:val="single" w:sz="4" w:space="0" w:color="auto"/>
              <w:right w:val="single" w:sz="4" w:space="0" w:color="auto"/>
            </w:tcBorders>
            <w:shd w:val="clear" w:color="auto" w:fill="auto"/>
            <w:vAlign w:val="center"/>
            <w:hideMark/>
          </w:tcPr>
          <w:p w14:paraId="2D32534D" w14:textId="77777777" w:rsidR="00572995" w:rsidRPr="00483EBE" w:rsidRDefault="00572995" w:rsidP="00E8324D">
            <w:pPr>
              <w:pStyle w:val="Tablas"/>
              <w:rPr>
                <w:sz w:val="12"/>
                <w:szCs w:val="12"/>
              </w:rPr>
            </w:pPr>
            <w:r w:rsidRPr="00483EBE">
              <w:rPr>
                <w:sz w:val="12"/>
                <w:szCs w:val="12"/>
              </w:rPr>
              <w:t>$138,511</w:t>
            </w:r>
          </w:p>
        </w:tc>
        <w:tc>
          <w:tcPr>
            <w:tcW w:w="0" w:type="auto"/>
            <w:tcBorders>
              <w:top w:val="nil"/>
              <w:left w:val="nil"/>
              <w:bottom w:val="single" w:sz="4" w:space="0" w:color="auto"/>
              <w:right w:val="single" w:sz="4" w:space="0" w:color="auto"/>
            </w:tcBorders>
            <w:shd w:val="clear" w:color="auto" w:fill="auto"/>
            <w:vAlign w:val="center"/>
            <w:hideMark/>
          </w:tcPr>
          <w:p w14:paraId="7EB27647" w14:textId="77777777" w:rsidR="00572995" w:rsidRPr="00483EBE" w:rsidRDefault="00572995" w:rsidP="00E8324D">
            <w:pPr>
              <w:pStyle w:val="Tablas"/>
              <w:rPr>
                <w:sz w:val="12"/>
                <w:szCs w:val="12"/>
              </w:rPr>
            </w:pPr>
            <w:r w:rsidRPr="00483EBE">
              <w:rPr>
                <w:sz w:val="12"/>
                <w:szCs w:val="12"/>
              </w:rPr>
              <w:t>$2,388</w:t>
            </w:r>
          </w:p>
        </w:tc>
        <w:tc>
          <w:tcPr>
            <w:tcW w:w="0" w:type="auto"/>
            <w:tcBorders>
              <w:top w:val="nil"/>
              <w:left w:val="nil"/>
              <w:bottom w:val="single" w:sz="4" w:space="0" w:color="auto"/>
              <w:right w:val="single" w:sz="4" w:space="0" w:color="auto"/>
            </w:tcBorders>
            <w:shd w:val="clear" w:color="auto" w:fill="auto"/>
            <w:vAlign w:val="center"/>
            <w:hideMark/>
          </w:tcPr>
          <w:p w14:paraId="1F7082AC" w14:textId="77777777" w:rsidR="00572995" w:rsidRPr="00483EBE" w:rsidRDefault="00572995" w:rsidP="00E8324D">
            <w:pPr>
              <w:pStyle w:val="Tablas"/>
              <w:rPr>
                <w:sz w:val="12"/>
                <w:szCs w:val="12"/>
              </w:rPr>
            </w:pPr>
            <w:r w:rsidRPr="00483EBE">
              <w:rPr>
                <w:sz w:val="12"/>
                <w:szCs w:val="12"/>
              </w:rPr>
              <w:t>$199</w:t>
            </w:r>
          </w:p>
        </w:tc>
        <w:tc>
          <w:tcPr>
            <w:tcW w:w="0" w:type="auto"/>
            <w:tcBorders>
              <w:top w:val="nil"/>
              <w:left w:val="nil"/>
              <w:bottom w:val="single" w:sz="4" w:space="0" w:color="auto"/>
              <w:right w:val="single" w:sz="4" w:space="0" w:color="auto"/>
            </w:tcBorders>
            <w:shd w:val="clear" w:color="auto" w:fill="auto"/>
            <w:vAlign w:val="center"/>
            <w:hideMark/>
          </w:tcPr>
          <w:p w14:paraId="3A51C42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DDE9A1A" w14:textId="77777777" w:rsidR="00572995" w:rsidRPr="00483EBE" w:rsidRDefault="00572995" w:rsidP="00E8324D">
            <w:pPr>
              <w:pStyle w:val="Tablas"/>
              <w:rPr>
                <w:sz w:val="12"/>
                <w:szCs w:val="12"/>
              </w:rPr>
            </w:pPr>
            <w:r w:rsidRPr="00483EBE">
              <w:rPr>
                <w:sz w:val="12"/>
                <w:szCs w:val="12"/>
              </w:rPr>
              <w:t>SEBD</w:t>
            </w:r>
          </w:p>
        </w:tc>
      </w:tr>
      <w:tr w:rsidR="00572995" w:rsidRPr="00483EBE" w14:paraId="71C51A8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839B46"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3DE8CC1C" w14:textId="77777777" w:rsidR="00572995" w:rsidRPr="00483EBE" w:rsidRDefault="00572995" w:rsidP="00E8324D">
            <w:pPr>
              <w:pStyle w:val="Tablas"/>
              <w:rPr>
                <w:sz w:val="12"/>
                <w:szCs w:val="12"/>
              </w:rPr>
            </w:pPr>
            <w:r w:rsidRPr="00483EBE">
              <w:rPr>
                <w:sz w:val="12"/>
                <w:szCs w:val="12"/>
              </w:rPr>
              <w:t xml:space="preserve">248 </w:t>
            </w:r>
          </w:p>
        </w:tc>
        <w:tc>
          <w:tcPr>
            <w:tcW w:w="0" w:type="auto"/>
            <w:tcBorders>
              <w:top w:val="nil"/>
              <w:left w:val="nil"/>
              <w:bottom w:val="single" w:sz="4" w:space="0" w:color="auto"/>
              <w:right w:val="single" w:sz="4" w:space="0" w:color="auto"/>
            </w:tcBorders>
            <w:shd w:val="clear" w:color="auto" w:fill="auto"/>
            <w:vAlign w:val="center"/>
            <w:hideMark/>
          </w:tcPr>
          <w:p w14:paraId="26EB156E" w14:textId="77777777" w:rsidR="00572995" w:rsidRPr="00483EBE" w:rsidRDefault="00572995" w:rsidP="00E8324D">
            <w:pPr>
              <w:pStyle w:val="Tablas"/>
              <w:rPr>
                <w:sz w:val="12"/>
                <w:szCs w:val="12"/>
              </w:rPr>
            </w:pPr>
            <w:r w:rsidRPr="00483EBE">
              <w:rPr>
                <w:sz w:val="12"/>
                <w:szCs w:val="12"/>
              </w:rPr>
              <w:t>$621,679</w:t>
            </w:r>
          </w:p>
        </w:tc>
        <w:tc>
          <w:tcPr>
            <w:tcW w:w="0" w:type="auto"/>
            <w:tcBorders>
              <w:top w:val="nil"/>
              <w:left w:val="nil"/>
              <w:bottom w:val="single" w:sz="4" w:space="0" w:color="auto"/>
              <w:right w:val="single" w:sz="4" w:space="0" w:color="auto"/>
            </w:tcBorders>
            <w:shd w:val="clear" w:color="auto" w:fill="auto"/>
            <w:vAlign w:val="center"/>
            <w:hideMark/>
          </w:tcPr>
          <w:p w14:paraId="23A1ECD6" w14:textId="77777777" w:rsidR="00572995" w:rsidRPr="00483EBE" w:rsidRDefault="00572995" w:rsidP="00E8324D">
            <w:pPr>
              <w:pStyle w:val="Tablas"/>
              <w:rPr>
                <w:sz w:val="12"/>
                <w:szCs w:val="12"/>
              </w:rPr>
            </w:pPr>
            <w:r w:rsidRPr="00483EBE">
              <w:rPr>
                <w:sz w:val="12"/>
                <w:szCs w:val="12"/>
              </w:rPr>
              <w:t>$2,507</w:t>
            </w:r>
          </w:p>
        </w:tc>
        <w:tc>
          <w:tcPr>
            <w:tcW w:w="0" w:type="auto"/>
            <w:tcBorders>
              <w:top w:val="nil"/>
              <w:left w:val="nil"/>
              <w:bottom w:val="single" w:sz="4" w:space="0" w:color="auto"/>
              <w:right w:val="single" w:sz="4" w:space="0" w:color="auto"/>
            </w:tcBorders>
            <w:shd w:val="clear" w:color="auto" w:fill="auto"/>
            <w:vAlign w:val="center"/>
            <w:hideMark/>
          </w:tcPr>
          <w:p w14:paraId="16079959" w14:textId="77777777" w:rsidR="00572995" w:rsidRPr="00483EBE" w:rsidRDefault="00572995" w:rsidP="00E8324D">
            <w:pPr>
              <w:pStyle w:val="Tablas"/>
              <w:rPr>
                <w:sz w:val="12"/>
                <w:szCs w:val="12"/>
              </w:rPr>
            </w:pPr>
            <w:r w:rsidRPr="00483EBE">
              <w:rPr>
                <w:sz w:val="12"/>
                <w:szCs w:val="12"/>
              </w:rPr>
              <w:t>$209</w:t>
            </w:r>
          </w:p>
        </w:tc>
        <w:tc>
          <w:tcPr>
            <w:tcW w:w="0" w:type="auto"/>
            <w:tcBorders>
              <w:top w:val="nil"/>
              <w:left w:val="nil"/>
              <w:bottom w:val="single" w:sz="4" w:space="0" w:color="auto"/>
              <w:right w:val="single" w:sz="4" w:space="0" w:color="auto"/>
            </w:tcBorders>
            <w:shd w:val="clear" w:color="auto" w:fill="auto"/>
            <w:vAlign w:val="center"/>
            <w:hideMark/>
          </w:tcPr>
          <w:p w14:paraId="3C92A96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1788AA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6B62FC"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7AC13A3B" w14:textId="77777777" w:rsidR="00572995" w:rsidRPr="00483EBE" w:rsidRDefault="00572995" w:rsidP="00E8324D">
            <w:pPr>
              <w:pStyle w:val="Tablas"/>
              <w:rPr>
                <w:sz w:val="12"/>
                <w:szCs w:val="12"/>
              </w:rPr>
            </w:pPr>
            <w:r w:rsidRPr="00483EBE">
              <w:rPr>
                <w:sz w:val="12"/>
                <w:szCs w:val="12"/>
              </w:rPr>
              <w:t xml:space="preserve">50 </w:t>
            </w:r>
          </w:p>
        </w:tc>
        <w:tc>
          <w:tcPr>
            <w:tcW w:w="0" w:type="auto"/>
            <w:tcBorders>
              <w:top w:val="nil"/>
              <w:left w:val="nil"/>
              <w:bottom w:val="single" w:sz="4" w:space="0" w:color="auto"/>
              <w:right w:val="single" w:sz="4" w:space="0" w:color="auto"/>
            </w:tcBorders>
            <w:shd w:val="clear" w:color="auto" w:fill="auto"/>
            <w:vAlign w:val="center"/>
            <w:hideMark/>
          </w:tcPr>
          <w:p w14:paraId="61E3DDB8" w14:textId="77777777" w:rsidR="00572995" w:rsidRPr="00483EBE" w:rsidRDefault="00572995" w:rsidP="00E8324D">
            <w:pPr>
              <w:pStyle w:val="Tablas"/>
              <w:rPr>
                <w:sz w:val="12"/>
                <w:szCs w:val="12"/>
              </w:rPr>
            </w:pPr>
            <w:r w:rsidRPr="00483EBE">
              <w:rPr>
                <w:sz w:val="12"/>
                <w:szCs w:val="12"/>
              </w:rPr>
              <w:t>$114,143</w:t>
            </w:r>
          </w:p>
        </w:tc>
        <w:tc>
          <w:tcPr>
            <w:tcW w:w="0" w:type="auto"/>
            <w:tcBorders>
              <w:top w:val="nil"/>
              <w:left w:val="nil"/>
              <w:bottom w:val="single" w:sz="4" w:space="0" w:color="auto"/>
              <w:right w:val="single" w:sz="4" w:space="0" w:color="auto"/>
            </w:tcBorders>
            <w:shd w:val="clear" w:color="auto" w:fill="auto"/>
            <w:vAlign w:val="center"/>
            <w:hideMark/>
          </w:tcPr>
          <w:p w14:paraId="7DBDD872" w14:textId="77777777" w:rsidR="00572995" w:rsidRPr="00483EBE" w:rsidRDefault="00572995" w:rsidP="00E8324D">
            <w:pPr>
              <w:pStyle w:val="Tablas"/>
              <w:rPr>
                <w:sz w:val="12"/>
                <w:szCs w:val="12"/>
              </w:rPr>
            </w:pPr>
            <w:r w:rsidRPr="00483EBE">
              <w:rPr>
                <w:sz w:val="12"/>
                <w:szCs w:val="12"/>
              </w:rPr>
              <w:t>$2,283</w:t>
            </w:r>
          </w:p>
        </w:tc>
        <w:tc>
          <w:tcPr>
            <w:tcW w:w="0" w:type="auto"/>
            <w:tcBorders>
              <w:top w:val="nil"/>
              <w:left w:val="nil"/>
              <w:bottom w:val="single" w:sz="4" w:space="0" w:color="auto"/>
              <w:right w:val="single" w:sz="4" w:space="0" w:color="auto"/>
            </w:tcBorders>
            <w:shd w:val="clear" w:color="auto" w:fill="auto"/>
            <w:vAlign w:val="center"/>
            <w:hideMark/>
          </w:tcPr>
          <w:p w14:paraId="7725903C" w14:textId="77777777" w:rsidR="00572995" w:rsidRPr="00483EBE" w:rsidRDefault="00572995" w:rsidP="00E8324D">
            <w:pPr>
              <w:pStyle w:val="Tablas"/>
              <w:rPr>
                <w:sz w:val="12"/>
                <w:szCs w:val="12"/>
              </w:rPr>
            </w:pPr>
            <w:r w:rsidRPr="00483EBE">
              <w:rPr>
                <w:sz w:val="12"/>
                <w:szCs w:val="12"/>
              </w:rPr>
              <w:t>$190</w:t>
            </w:r>
          </w:p>
        </w:tc>
        <w:tc>
          <w:tcPr>
            <w:tcW w:w="0" w:type="auto"/>
            <w:tcBorders>
              <w:top w:val="nil"/>
              <w:left w:val="nil"/>
              <w:bottom w:val="single" w:sz="4" w:space="0" w:color="auto"/>
              <w:right w:val="single" w:sz="4" w:space="0" w:color="auto"/>
            </w:tcBorders>
            <w:shd w:val="clear" w:color="auto" w:fill="auto"/>
            <w:vAlign w:val="center"/>
            <w:hideMark/>
          </w:tcPr>
          <w:p w14:paraId="771B53B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E669DEA" w14:textId="77777777" w:rsidR="00572995" w:rsidRPr="00483EBE" w:rsidRDefault="00572995" w:rsidP="00E8324D">
            <w:pPr>
              <w:pStyle w:val="Tablas"/>
              <w:rPr>
                <w:sz w:val="12"/>
                <w:szCs w:val="12"/>
              </w:rPr>
            </w:pPr>
            <w:r w:rsidRPr="00483EBE">
              <w:rPr>
                <w:sz w:val="12"/>
                <w:szCs w:val="12"/>
              </w:rPr>
              <w:t>SEBD</w:t>
            </w:r>
          </w:p>
        </w:tc>
      </w:tr>
      <w:tr w:rsidR="00572995" w:rsidRPr="00483EBE" w14:paraId="119DDC5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96DAD9" w14:textId="77777777" w:rsidR="00572995" w:rsidRPr="00483EBE" w:rsidRDefault="00572995" w:rsidP="00E8324D">
            <w:pPr>
              <w:pStyle w:val="Tablas"/>
              <w:rPr>
                <w:sz w:val="12"/>
                <w:szCs w:val="12"/>
              </w:rPr>
            </w:pPr>
            <w:r w:rsidRPr="00483EBE">
              <w:rPr>
                <w:sz w:val="12"/>
                <w:szCs w:val="12"/>
              </w:rPr>
              <w:lastRenderedPageBreak/>
              <w:t>94</w:t>
            </w:r>
          </w:p>
        </w:tc>
        <w:tc>
          <w:tcPr>
            <w:tcW w:w="0" w:type="auto"/>
            <w:tcBorders>
              <w:top w:val="nil"/>
              <w:left w:val="nil"/>
              <w:bottom w:val="single" w:sz="4" w:space="0" w:color="auto"/>
              <w:right w:val="single" w:sz="4" w:space="0" w:color="auto"/>
            </w:tcBorders>
            <w:shd w:val="clear" w:color="auto" w:fill="auto"/>
            <w:vAlign w:val="center"/>
            <w:hideMark/>
          </w:tcPr>
          <w:p w14:paraId="035686C9" w14:textId="77777777" w:rsidR="00572995" w:rsidRPr="00483EBE" w:rsidRDefault="00572995" w:rsidP="00E8324D">
            <w:pPr>
              <w:pStyle w:val="Tablas"/>
              <w:rPr>
                <w:sz w:val="12"/>
                <w:szCs w:val="12"/>
              </w:rPr>
            </w:pPr>
            <w:r w:rsidRPr="00483EBE">
              <w:rPr>
                <w:sz w:val="12"/>
                <w:szCs w:val="12"/>
              </w:rPr>
              <w:t xml:space="preserve">227 </w:t>
            </w:r>
          </w:p>
        </w:tc>
        <w:tc>
          <w:tcPr>
            <w:tcW w:w="0" w:type="auto"/>
            <w:tcBorders>
              <w:top w:val="nil"/>
              <w:left w:val="nil"/>
              <w:bottom w:val="single" w:sz="4" w:space="0" w:color="auto"/>
              <w:right w:val="single" w:sz="4" w:space="0" w:color="auto"/>
            </w:tcBorders>
            <w:shd w:val="clear" w:color="auto" w:fill="auto"/>
            <w:vAlign w:val="center"/>
            <w:hideMark/>
          </w:tcPr>
          <w:p w14:paraId="297D793B" w14:textId="77777777" w:rsidR="00572995" w:rsidRPr="00483EBE" w:rsidRDefault="00572995" w:rsidP="00E8324D">
            <w:pPr>
              <w:pStyle w:val="Tablas"/>
              <w:rPr>
                <w:sz w:val="12"/>
                <w:szCs w:val="12"/>
              </w:rPr>
            </w:pPr>
            <w:r w:rsidRPr="00483EBE">
              <w:rPr>
                <w:sz w:val="12"/>
                <w:szCs w:val="12"/>
              </w:rPr>
              <w:t>$619,549</w:t>
            </w:r>
          </w:p>
        </w:tc>
        <w:tc>
          <w:tcPr>
            <w:tcW w:w="0" w:type="auto"/>
            <w:tcBorders>
              <w:top w:val="nil"/>
              <w:left w:val="nil"/>
              <w:bottom w:val="single" w:sz="4" w:space="0" w:color="auto"/>
              <w:right w:val="single" w:sz="4" w:space="0" w:color="auto"/>
            </w:tcBorders>
            <w:shd w:val="clear" w:color="auto" w:fill="auto"/>
            <w:vAlign w:val="center"/>
            <w:hideMark/>
          </w:tcPr>
          <w:p w14:paraId="4DA0865A" w14:textId="77777777" w:rsidR="00572995" w:rsidRPr="00483EBE" w:rsidRDefault="00572995" w:rsidP="00E8324D">
            <w:pPr>
              <w:pStyle w:val="Tablas"/>
              <w:rPr>
                <w:sz w:val="12"/>
                <w:szCs w:val="12"/>
              </w:rPr>
            </w:pPr>
            <w:r w:rsidRPr="00483EBE">
              <w:rPr>
                <w:sz w:val="12"/>
                <w:szCs w:val="12"/>
              </w:rPr>
              <w:t>$2,729</w:t>
            </w:r>
          </w:p>
        </w:tc>
        <w:tc>
          <w:tcPr>
            <w:tcW w:w="0" w:type="auto"/>
            <w:tcBorders>
              <w:top w:val="nil"/>
              <w:left w:val="nil"/>
              <w:bottom w:val="single" w:sz="4" w:space="0" w:color="auto"/>
              <w:right w:val="single" w:sz="4" w:space="0" w:color="auto"/>
            </w:tcBorders>
            <w:shd w:val="clear" w:color="auto" w:fill="auto"/>
            <w:vAlign w:val="center"/>
            <w:hideMark/>
          </w:tcPr>
          <w:p w14:paraId="224F1432" w14:textId="77777777" w:rsidR="00572995" w:rsidRPr="00483EBE" w:rsidRDefault="00572995" w:rsidP="00E8324D">
            <w:pPr>
              <w:pStyle w:val="Tablas"/>
              <w:rPr>
                <w:sz w:val="12"/>
                <w:szCs w:val="12"/>
              </w:rPr>
            </w:pPr>
            <w:r w:rsidRPr="00483EBE">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4EC69269"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2EBB49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7BD4A8"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0499F5AB" w14:textId="77777777" w:rsidR="00572995" w:rsidRPr="00483EBE" w:rsidRDefault="00572995" w:rsidP="00E8324D">
            <w:pPr>
              <w:pStyle w:val="Tablas"/>
              <w:rPr>
                <w:sz w:val="12"/>
                <w:szCs w:val="12"/>
              </w:rPr>
            </w:pPr>
            <w:r w:rsidRPr="00483EBE">
              <w:rPr>
                <w:sz w:val="12"/>
                <w:szCs w:val="12"/>
              </w:rPr>
              <w:t xml:space="preserve">53 </w:t>
            </w:r>
          </w:p>
        </w:tc>
        <w:tc>
          <w:tcPr>
            <w:tcW w:w="0" w:type="auto"/>
            <w:tcBorders>
              <w:top w:val="nil"/>
              <w:left w:val="nil"/>
              <w:bottom w:val="single" w:sz="4" w:space="0" w:color="auto"/>
              <w:right w:val="single" w:sz="4" w:space="0" w:color="auto"/>
            </w:tcBorders>
            <w:shd w:val="clear" w:color="auto" w:fill="auto"/>
            <w:vAlign w:val="center"/>
            <w:hideMark/>
          </w:tcPr>
          <w:p w14:paraId="21726349" w14:textId="77777777" w:rsidR="00572995" w:rsidRPr="00483EBE" w:rsidRDefault="00572995" w:rsidP="00E8324D">
            <w:pPr>
              <w:pStyle w:val="Tablas"/>
              <w:rPr>
                <w:sz w:val="12"/>
                <w:szCs w:val="12"/>
              </w:rPr>
            </w:pPr>
            <w:r w:rsidRPr="00483EBE">
              <w:rPr>
                <w:sz w:val="12"/>
                <w:szCs w:val="12"/>
              </w:rPr>
              <w:t>$146,137</w:t>
            </w:r>
          </w:p>
        </w:tc>
        <w:tc>
          <w:tcPr>
            <w:tcW w:w="0" w:type="auto"/>
            <w:tcBorders>
              <w:top w:val="nil"/>
              <w:left w:val="nil"/>
              <w:bottom w:val="single" w:sz="4" w:space="0" w:color="auto"/>
              <w:right w:val="single" w:sz="4" w:space="0" w:color="auto"/>
            </w:tcBorders>
            <w:shd w:val="clear" w:color="auto" w:fill="auto"/>
            <w:vAlign w:val="center"/>
            <w:hideMark/>
          </w:tcPr>
          <w:p w14:paraId="3C57A9E8" w14:textId="77777777" w:rsidR="00572995" w:rsidRPr="00483EBE" w:rsidRDefault="00572995" w:rsidP="00E8324D">
            <w:pPr>
              <w:pStyle w:val="Tablas"/>
              <w:rPr>
                <w:sz w:val="12"/>
                <w:szCs w:val="12"/>
              </w:rPr>
            </w:pPr>
            <w:r w:rsidRPr="00483EBE">
              <w:rPr>
                <w:sz w:val="12"/>
                <w:szCs w:val="12"/>
              </w:rPr>
              <w:t>$2,757</w:t>
            </w:r>
          </w:p>
        </w:tc>
        <w:tc>
          <w:tcPr>
            <w:tcW w:w="0" w:type="auto"/>
            <w:tcBorders>
              <w:top w:val="nil"/>
              <w:left w:val="nil"/>
              <w:bottom w:val="single" w:sz="4" w:space="0" w:color="auto"/>
              <w:right w:val="single" w:sz="4" w:space="0" w:color="auto"/>
            </w:tcBorders>
            <w:shd w:val="clear" w:color="auto" w:fill="auto"/>
            <w:vAlign w:val="center"/>
            <w:hideMark/>
          </w:tcPr>
          <w:p w14:paraId="0A1E0094" w14:textId="77777777" w:rsidR="00572995" w:rsidRPr="00483EBE" w:rsidRDefault="00572995" w:rsidP="00E8324D">
            <w:pPr>
              <w:pStyle w:val="Tablas"/>
              <w:rPr>
                <w:sz w:val="12"/>
                <w:szCs w:val="12"/>
              </w:rPr>
            </w:pPr>
            <w:r w:rsidRPr="00483EBE">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3C08D25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979D2EF" w14:textId="77777777" w:rsidR="00572995" w:rsidRPr="00483EBE" w:rsidRDefault="00572995" w:rsidP="00E8324D">
            <w:pPr>
              <w:pStyle w:val="Tablas"/>
              <w:rPr>
                <w:sz w:val="12"/>
                <w:szCs w:val="12"/>
              </w:rPr>
            </w:pPr>
            <w:r w:rsidRPr="00483EBE">
              <w:rPr>
                <w:sz w:val="12"/>
                <w:szCs w:val="12"/>
              </w:rPr>
              <w:t>SEBD</w:t>
            </w:r>
          </w:p>
        </w:tc>
      </w:tr>
      <w:tr w:rsidR="00572995" w:rsidRPr="00483EBE" w14:paraId="2E39461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19B975"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5ECB9E3" w14:textId="77777777" w:rsidR="00572995" w:rsidRPr="00483EBE" w:rsidRDefault="00572995" w:rsidP="00E8324D">
            <w:pPr>
              <w:pStyle w:val="Tablas"/>
              <w:rPr>
                <w:sz w:val="12"/>
                <w:szCs w:val="12"/>
              </w:rPr>
            </w:pPr>
            <w:r w:rsidRPr="00483EBE">
              <w:rPr>
                <w:sz w:val="12"/>
                <w:szCs w:val="12"/>
              </w:rPr>
              <w:t xml:space="preserve">179 </w:t>
            </w:r>
          </w:p>
        </w:tc>
        <w:tc>
          <w:tcPr>
            <w:tcW w:w="0" w:type="auto"/>
            <w:tcBorders>
              <w:top w:val="nil"/>
              <w:left w:val="nil"/>
              <w:bottom w:val="single" w:sz="4" w:space="0" w:color="auto"/>
              <w:right w:val="single" w:sz="4" w:space="0" w:color="auto"/>
            </w:tcBorders>
            <w:shd w:val="clear" w:color="auto" w:fill="auto"/>
            <w:vAlign w:val="center"/>
            <w:hideMark/>
          </w:tcPr>
          <w:p w14:paraId="05A40106" w14:textId="77777777" w:rsidR="00572995" w:rsidRPr="00483EBE" w:rsidRDefault="00572995" w:rsidP="00E8324D">
            <w:pPr>
              <w:pStyle w:val="Tablas"/>
              <w:rPr>
                <w:sz w:val="12"/>
                <w:szCs w:val="12"/>
              </w:rPr>
            </w:pPr>
            <w:r w:rsidRPr="00483EBE">
              <w:rPr>
                <w:sz w:val="12"/>
                <w:szCs w:val="12"/>
              </w:rPr>
              <w:t>$480,727</w:t>
            </w:r>
          </w:p>
        </w:tc>
        <w:tc>
          <w:tcPr>
            <w:tcW w:w="0" w:type="auto"/>
            <w:tcBorders>
              <w:top w:val="nil"/>
              <w:left w:val="nil"/>
              <w:bottom w:val="single" w:sz="4" w:space="0" w:color="auto"/>
              <w:right w:val="single" w:sz="4" w:space="0" w:color="auto"/>
            </w:tcBorders>
            <w:shd w:val="clear" w:color="auto" w:fill="auto"/>
            <w:vAlign w:val="center"/>
            <w:hideMark/>
          </w:tcPr>
          <w:p w14:paraId="7FC8088F" w14:textId="77777777" w:rsidR="00572995" w:rsidRPr="00483EBE" w:rsidRDefault="00572995" w:rsidP="00E8324D">
            <w:pPr>
              <w:pStyle w:val="Tablas"/>
              <w:rPr>
                <w:sz w:val="12"/>
                <w:szCs w:val="12"/>
              </w:rPr>
            </w:pPr>
            <w:r w:rsidRPr="00483EBE">
              <w:rPr>
                <w:sz w:val="12"/>
                <w:szCs w:val="12"/>
              </w:rPr>
              <w:t>$2,686</w:t>
            </w:r>
          </w:p>
        </w:tc>
        <w:tc>
          <w:tcPr>
            <w:tcW w:w="0" w:type="auto"/>
            <w:tcBorders>
              <w:top w:val="nil"/>
              <w:left w:val="nil"/>
              <w:bottom w:val="single" w:sz="4" w:space="0" w:color="auto"/>
              <w:right w:val="single" w:sz="4" w:space="0" w:color="auto"/>
            </w:tcBorders>
            <w:shd w:val="clear" w:color="auto" w:fill="auto"/>
            <w:vAlign w:val="center"/>
            <w:hideMark/>
          </w:tcPr>
          <w:p w14:paraId="37FD5DCC" w14:textId="77777777" w:rsidR="00572995" w:rsidRPr="00483EBE" w:rsidRDefault="00572995" w:rsidP="00E8324D">
            <w:pPr>
              <w:pStyle w:val="Tablas"/>
              <w:rPr>
                <w:sz w:val="12"/>
                <w:szCs w:val="12"/>
              </w:rPr>
            </w:pPr>
            <w:r w:rsidRPr="00483EBE">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0E041AB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E820D3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E41C0EF"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B937560" w14:textId="77777777" w:rsidR="00572995" w:rsidRPr="00483EBE" w:rsidRDefault="00572995" w:rsidP="00E8324D">
            <w:pPr>
              <w:pStyle w:val="Tablas"/>
              <w:rPr>
                <w:sz w:val="12"/>
                <w:szCs w:val="12"/>
              </w:rPr>
            </w:pPr>
            <w:r w:rsidRPr="00483EBE">
              <w:rPr>
                <w:sz w:val="12"/>
                <w:szCs w:val="12"/>
              </w:rPr>
              <w:t xml:space="preserve">65 </w:t>
            </w:r>
          </w:p>
        </w:tc>
        <w:tc>
          <w:tcPr>
            <w:tcW w:w="0" w:type="auto"/>
            <w:tcBorders>
              <w:top w:val="nil"/>
              <w:left w:val="nil"/>
              <w:bottom w:val="single" w:sz="4" w:space="0" w:color="auto"/>
              <w:right w:val="single" w:sz="4" w:space="0" w:color="auto"/>
            </w:tcBorders>
            <w:shd w:val="clear" w:color="auto" w:fill="auto"/>
            <w:vAlign w:val="center"/>
            <w:hideMark/>
          </w:tcPr>
          <w:p w14:paraId="130ADB17" w14:textId="77777777" w:rsidR="00572995" w:rsidRPr="00483EBE" w:rsidRDefault="00572995" w:rsidP="00E8324D">
            <w:pPr>
              <w:pStyle w:val="Tablas"/>
              <w:rPr>
                <w:sz w:val="12"/>
                <w:szCs w:val="12"/>
              </w:rPr>
            </w:pPr>
            <w:r w:rsidRPr="00483EBE">
              <w:rPr>
                <w:sz w:val="12"/>
                <w:szCs w:val="12"/>
              </w:rPr>
              <w:t>$165,936</w:t>
            </w:r>
          </w:p>
        </w:tc>
        <w:tc>
          <w:tcPr>
            <w:tcW w:w="0" w:type="auto"/>
            <w:tcBorders>
              <w:top w:val="nil"/>
              <w:left w:val="nil"/>
              <w:bottom w:val="single" w:sz="4" w:space="0" w:color="auto"/>
              <w:right w:val="single" w:sz="4" w:space="0" w:color="auto"/>
            </w:tcBorders>
            <w:shd w:val="clear" w:color="auto" w:fill="auto"/>
            <w:vAlign w:val="center"/>
            <w:hideMark/>
          </w:tcPr>
          <w:p w14:paraId="2283B489" w14:textId="77777777" w:rsidR="00572995" w:rsidRPr="00483EBE" w:rsidRDefault="00572995" w:rsidP="00E8324D">
            <w:pPr>
              <w:pStyle w:val="Tablas"/>
              <w:rPr>
                <w:sz w:val="12"/>
                <w:szCs w:val="12"/>
              </w:rPr>
            </w:pPr>
            <w:r w:rsidRPr="00483EBE">
              <w:rPr>
                <w:sz w:val="12"/>
                <w:szCs w:val="12"/>
              </w:rPr>
              <w:t>$2,553</w:t>
            </w:r>
          </w:p>
        </w:tc>
        <w:tc>
          <w:tcPr>
            <w:tcW w:w="0" w:type="auto"/>
            <w:tcBorders>
              <w:top w:val="nil"/>
              <w:left w:val="nil"/>
              <w:bottom w:val="single" w:sz="4" w:space="0" w:color="auto"/>
              <w:right w:val="single" w:sz="4" w:space="0" w:color="auto"/>
            </w:tcBorders>
            <w:shd w:val="clear" w:color="auto" w:fill="auto"/>
            <w:vAlign w:val="center"/>
            <w:hideMark/>
          </w:tcPr>
          <w:p w14:paraId="31B1A192" w14:textId="77777777" w:rsidR="00572995" w:rsidRPr="00483EBE" w:rsidRDefault="00572995" w:rsidP="00E8324D">
            <w:pPr>
              <w:pStyle w:val="Tablas"/>
              <w:rPr>
                <w:sz w:val="12"/>
                <w:szCs w:val="12"/>
              </w:rPr>
            </w:pPr>
            <w:r w:rsidRPr="00483EBE">
              <w:rPr>
                <w:sz w:val="12"/>
                <w:szCs w:val="12"/>
              </w:rPr>
              <w:t>$213</w:t>
            </w:r>
          </w:p>
        </w:tc>
        <w:tc>
          <w:tcPr>
            <w:tcW w:w="0" w:type="auto"/>
            <w:tcBorders>
              <w:top w:val="nil"/>
              <w:left w:val="nil"/>
              <w:bottom w:val="single" w:sz="4" w:space="0" w:color="auto"/>
              <w:right w:val="single" w:sz="4" w:space="0" w:color="auto"/>
            </w:tcBorders>
            <w:shd w:val="clear" w:color="auto" w:fill="auto"/>
            <w:vAlign w:val="center"/>
            <w:hideMark/>
          </w:tcPr>
          <w:p w14:paraId="0690218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263EAF3" w14:textId="77777777" w:rsidR="00572995" w:rsidRPr="00483EBE" w:rsidRDefault="00572995" w:rsidP="00E8324D">
            <w:pPr>
              <w:pStyle w:val="Tablas"/>
              <w:rPr>
                <w:sz w:val="12"/>
                <w:szCs w:val="12"/>
              </w:rPr>
            </w:pPr>
            <w:r w:rsidRPr="00483EBE">
              <w:rPr>
                <w:sz w:val="12"/>
                <w:szCs w:val="12"/>
              </w:rPr>
              <w:t>SEBD</w:t>
            </w:r>
          </w:p>
        </w:tc>
      </w:tr>
      <w:tr w:rsidR="00572995" w:rsidRPr="00483EBE" w14:paraId="769D908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43BE91"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4FF2C06E" w14:textId="77777777" w:rsidR="00572995" w:rsidRPr="00483EBE" w:rsidRDefault="00572995" w:rsidP="00E8324D">
            <w:pPr>
              <w:pStyle w:val="Tablas"/>
              <w:rPr>
                <w:sz w:val="12"/>
                <w:szCs w:val="12"/>
              </w:rPr>
            </w:pPr>
            <w:r w:rsidRPr="00483EBE">
              <w:rPr>
                <w:sz w:val="12"/>
                <w:szCs w:val="12"/>
              </w:rPr>
              <w:t xml:space="preserve">147 </w:t>
            </w:r>
          </w:p>
        </w:tc>
        <w:tc>
          <w:tcPr>
            <w:tcW w:w="0" w:type="auto"/>
            <w:tcBorders>
              <w:top w:val="nil"/>
              <w:left w:val="nil"/>
              <w:bottom w:val="single" w:sz="4" w:space="0" w:color="auto"/>
              <w:right w:val="single" w:sz="4" w:space="0" w:color="auto"/>
            </w:tcBorders>
            <w:shd w:val="clear" w:color="auto" w:fill="auto"/>
            <w:vAlign w:val="center"/>
            <w:hideMark/>
          </w:tcPr>
          <w:p w14:paraId="2ECD0A30" w14:textId="77777777" w:rsidR="00572995" w:rsidRPr="00483EBE" w:rsidRDefault="00572995" w:rsidP="00E8324D">
            <w:pPr>
              <w:pStyle w:val="Tablas"/>
              <w:rPr>
                <w:sz w:val="12"/>
                <w:szCs w:val="12"/>
              </w:rPr>
            </w:pPr>
            <w:r w:rsidRPr="00483EBE">
              <w:rPr>
                <w:sz w:val="12"/>
                <w:szCs w:val="12"/>
              </w:rPr>
              <w:t>$361,053</w:t>
            </w:r>
          </w:p>
        </w:tc>
        <w:tc>
          <w:tcPr>
            <w:tcW w:w="0" w:type="auto"/>
            <w:tcBorders>
              <w:top w:val="nil"/>
              <w:left w:val="nil"/>
              <w:bottom w:val="single" w:sz="4" w:space="0" w:color="auto"/>
              <w:right w:val="single" w:sz="4" w:space="0" w:color="auto"/>
            </w:tcBorders>
            <w:shd w:val="clear" w:color="auto" w:fill="auto"/>
            <w:vAlign w:val="center"/>
            <w:hideMark/>
          </w:tcPr>
          <w:p w14:paraId="0B0C9F32" w14:textId="77777777" w:rsidR="00572995" w:rsidRPr="00483EBE" w:rsidRDefault="00572995" w:rsidP="00E8324D">
            <w:pPr>
              <w:pStyle w:val="Tablas"/>
              <w:rPr>
                <w:sz w:val="12"/>
                <w:szCs w:val="12"/>
              </w:rPr>
            </w:pPr>
            <w:r w:rsidRPr="00483EBE">
              <w:rPr>
                <w:sz w:val="12"/>
                <w:szCs w:val="12"/>
              </w:rPr>
              <w:t>$2,456</w:t>
            </w:r>
          </w:p>
        </w:tc>
        <w:tc>
          <w:tcPr>
            <w:tcW w:w="0" w:type="auto"/>
            <w:tcBorders>
              <w:top w:val="nil"/>
              <w:left w:val="nil"/>
              <w:bottom w:val="single" w:sz="4" w:space="0" w:color="auto"/>
              <w:right w:val="single" w:sz="4" w:space="0" w:color="auto"/>
            </w:tcBorders>
            <w:shd w:val="clear" w:color="auto" w:fill="auto"/>
            <w:vAlign w:val="center"/>
            <w:hideMark/>
          </w:tcPr>
          <w:p w14:paraId="7E43E6C6" w14:textId="77777777" w:rsidR="00572995" w:rsidRPr="00483EBE" w:rsidRDefault="00572995" w:rsidP="00E8324D">
            <w:pPr>
              <w:pStyle w:val="Tablas"/>
              <w:rPr>
                <w:sz w:val="12"/>
                <w:szCs w:val="12"/>
              </w:rPr>
            </w:pPr>
            <w:r w:rsidRPr="00483EBE">
              <w:rPr>
                <w:sz w:val="12"/>
                <w:szCs w:val="12"/>
              </w:rPr>
              <w:t>$205</w:t>
            </w:r>
          </w:p>
        </w:tc>
        <w:tc>
          <w:tcPr>
            <w:tcW w:w="0" w:type="auto"/>
            <w:tcBorders>
              <w:top w:val="nil"/>
              <w:left w:val="nil"/>
              <w:bottom w:val="single" w:sz="4" w:space="0" w:color="auto"/>
              <w:right w:val="single" w:sz="4" w:space="0" w:color="auto"/>
            </w:tcBorders>
            <w:shd w:val="clear" w:color="auto" w:fill="auto"/>
            <w:vAlign w:val="center"/>
            <w:hideMark/>
          </w:tcPr>
          <w:p w14:paraId="0DF9412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E462FF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AA0D29"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77C7CB36" w14:textId="77777777" w:rsidR="00572995" w:rsidRPr="00483EBE" w:rsidRDefault="00572995" w:rsidP="00E8324D">
            <w:pPr>
              <w:pStyle w:val="Tablas"/>
              <w:rPr>
                <w:sz w:val="12"/>
                <w:szCs w:val="12"/>
              </w:rPr>
            </w:pPr>
            <w:r w:rsidRPr="00483EBE">
              <w:rPr>
                <w:sz w:val="12"/>
                <w:szCs w:val="12"/>
              </w:rPr>
              <w:t xml:space="preserve">47 </w:t>
            </w:r>
          </w:p>
        </w:tc>
        <w:tc>
          <w:tcPr>
            <w:tcW w:w="0" w:type="auto"/>
            <w:tcBorders>
              <w:top w:val="nil"/>
              <w:left w:val="nil"/>
              <w:bottom w:val="single" w:sz="4" w:space="0" w:color="auto"/>
              <w:right w:val="single" w:sz="4" w:space="0" w:color="auto"/>
            </w:tcBorders>
            <w:shd w:val="clear" w:color="auto" w:fill="auto"/>
            <w:vAlign w:val="center"/>
            <w:hideMark/>
          </w:tcPr>
          <w:p w14:paraId="46CBD758" w14:textId="77777777" w:rsidR="00572995" w:rsidRPr="00483EBE" w:rsidRDefault="00572995" w:rsidP="00E8324D">
            <w:pPr>
              <w:pStyle w:val="Tablas"/>
              <w:rPr>
                <w:sz w:val="12"/>
                <w:szCs w:val="12"/>
              </w:rPr>
            </w:pPr>
            <w:r w:rsidRPr="00483EBE">
              <w:rPr>
                <w:sz w:val="12"/>
                <w:szCs w:val="12"/>
              </w:rPr>
              <w:t>$119,971</w:t>
            </w:r>
          </w:p>
        </w:tc>
        <w:tc>
          <w:tcPr>
            <w:tcW w:w="0" w:type="auto"/>
            <w:tcBorders>
              <w:top w:val="nil"/>
              <w:left w:val="nil"/>
              <w:bottom w:val="single" w:sz="4" w:space="0" w:color="auto"/>
              <w:right w:val="single" w:sz="4" w:space="0" w:color="auto"/>
            </w:tcBorders>
            <w:shd w:val="clear" w:color="auto" w:fill="auto"/>
            <w:vAlign w:val="center"/>
            <w:hideMark/>
          </w:tcPr>
          <w:p w14:paraId="15112735" w14:textId="77777777" w:rsidR="00572995" w:rsidRPr="00483EBE" w:rsidRDefault="00572995" w:rsidP="00E8324D">
            <w:pPr>
              <w:pStyle w:val="Tablas"/>
              <w:rPr>
                <w:sz w:val="12"/>
                <w:szCs w:val="12"/>
              </w:rPr>
            </w:pPr>
            <w:r w:rsidRPr="00483EBE">
              <w:rPr>
                <w:sz w:val="12"/>
                <w:szCs w:val="12"/>
              </w:rPr>
              <w:t>$2,553</w:t>
            </w:r>
          </w:p>
        </w:tc>
        <w:tc>
          <w:tcPr>
            <w:tcW w:w="0" w:type="auto"/>
            <w:tcBorders>
              <w:top w:val="nil"/>
              <w:left w:val="nil"/>
              <w:bottom w:val="single" w:sz="4" w:space="0" w:color="auto"/>
              <w:right w:val="single" w:sz="4" w:space="0" w:color="auto"/>
            </w:tcBorders>
            <w:shd w:val="clear" w:color="auto" w:fill="auto"/>
            <w:vAlign w:val="center"/>
            <w:hideMark/>
          </w:tcPr>
          <w:p w14:paraId="4E19E6BB" w14:textId="77777777" w:rsidR="00572995" w:rsidRPr="00483EBE" w:rsidRDefault="00572995" w:rsidP="00E8324D">
            <w:pPr>
              <w:pStyle w:val="Tablas"/>
              <w:rPr>
                <w:sz w:val="12"/>
                <w:szCs w:val="12"/>
              </w:rPr>
            </w:pPr>
            <w:r w:rsidRPr="00483EBE">
              <w:rPr>
                <w:sz w:val="12"/>
                <w:szCs w:val="12"/>
              </w:rPr>
              <w:t>$213</w:t>
            </w:r>
          </w:p>
        </w:tc>
        <w:tc>
          <w:tcPr>
            <w:tcW w:w="0" w:type="auto"/>
            <w:tcBorders>
              <w:top w:val="nil"/>
              <w:left w:val="nil"/>
              <w:bottom w:val="single" w:sz="4" w:space="0" w:color="auto"/>
              <w:right w:val="single" w:sz="4" w:space="0" w:color="auto"/>
            </w:tcBorders>
            <w:shd w:val="clear" w:color="auto" w:fill="auto"/>
            <w:vAlign w:val="center"/>
            <w:hideMark/>
          </w:tcPr>
          <w:p w14:paraId="52B582E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86BB222" w14:textId="77777777" w:rsidR="00572995" w:rsidRPr="00483EBE" w:rsidRDefault="00572995" w:rsidP="00E8324D">
            <w:pPr>
              <w:pStyle w:val="Tablas"/>
              <w:rPr>
                <w:sz w:val="12"/>
                <w:szCs w:val="12"/>
              </w:rPr>
            </w:pPr>
            <w:r w:rsidRPr="00483EBE">
              <w:rPr>
                <w:sz w:val="12"/>
                <w:szCs w:val="12"/>
              </w:rPr>
              <w:t>SEBD</w:t>
            </w:r>
          </w:p>
        </w:tc>
      </w:tr>
      <w:tr w:rsidR="00572995" w:rsidRPr="00483EBE" w14:paraId="7BE11B7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BD69A6"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1E8AD58E" w14:textId="77777777" w:rsidR="00572995" w:rsidRPr="00483EBE" w:rsidRDefault="00572995" w:rsidP="00E8324D">
            <w:pPr>
              <w:pStyle w:val="Tablas"/>
              <w:rPr>
                <w:sz w:val="12"/>
                <w:szCs w:val="12"/>
              </w:rPr>
            </w:pPr>
            <w:r w:rsidRPr="00483EBE">
              <w:rPr>
                <w:sz w:val="12"/>
                <w:szCs w:val="12"/>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14:paraId="4F2F70AB" w14:textId="77777777" w:rsidR="00572995" w:rsidRPr="00483EBE" w:rsidRDefault="00572995" w:rsidP="00E8324D">
            <w:pPr>
              <w:pStyle w:val="Tablas"/>
              <w:rPr>
                <w:sz w:val="12"/>
                <w:szCs w:val="12"/>
              </w:rPr>
            </w:pPr>
            <w:r w:rsidRPr="00483EBE">
              <w:rPr>
                <w:sz w:val="12"/>
                <w:szCs w:val="12"/>
              </w:rPr>
              <w:t>$279,099</w:t>
            </w:r>
          </w:p>
        </w:tc>
        <w:tc>
          <w:tcPr>
            <w:tcW w:w="0" w:type="auto"/>
            <w:tcBorders>
              <w:top w:val="nil"/>
              <w:left w:val="nil"/>
              <w:bottom w:val="single" w:sz="4" w:space="0" w:color="auto"/>
              <w:right w:val="single" w:sz="4" w:space="0" w:color="auto"/>
            </w:tcBorders>
            <w:shd w:val="clear" w:color="auto" w:fill="auto"/>
            <w:vAlign w:val="center"/>
            <w:hideMark/>
          </w:tcPr>
          <w:p w14:paraId="6A021FEB" w14:textId="77777777" w:rsidR="00572995" w:rsidRPr="00483EBE" w:rsidRDefault="00572995" w:rsidP="00E8324D">
            <w:pPr>
              <w:pStyle w:val="Tablas"/>
              <w:rPr>
                <w:sz w:val="12"/>
                <w:szCs w:val="12"/>
              </w:rPr>
            </w:pPr>
            <w:r w:rsidRPr="00483EBE">
              <w:rPr>
                <w:sz w:val="12"/>
                <w:szCs w:val="12"/>
              </w:rPr>
              <w:t>$2,326</w:t>
            </w:r>
          </w:p>
        </w:tc>
        <w:tc>
          <w:tcPr>
            <w:tcW w:w="0" w:type="auto"/>
            <w:tcBorders>
              <w:top w:val="nil"/>
              <w:left w:val="nil"/>
              <w:bottom w:val="single" w:sz="4" w:space="0" w:color="auto"/>
              <w:right w:val="single" w:sz="4" w:space="0" w:color="auto"/>
            </w:tcBorders>
            <w:shd w:val="clear" w:color="auto" w:fill="auto"/>
            <w:vAlign w:val="center"/>
            <w:hideMark/>
          </w:tcPr>
          <w:p w14:paraId="6E8F655E" w14:textId="77777777" w:rsidR="00572995" w:rsidRPr="00483EBE" w:rsidRDefault="00572995" w:rsidP="00E8324D">
            <w:pPr>
              <w:pStyle w:val="Tablas"/>
              <w:rPr>
                <w:sz w:val="12"/>
                <w:szCs w:val="12"/>
              </w:rPr>
            </w:pPr>
            <w:r w:rsidRPr="00483EBE">
              <w:rPr>
                <w:sz w:val="12"/>
                <w:szCs w:val="12"/>
              </w:rPr>
              <w:t>$194</w:t>
            </w:r>
          </w:p>
        </w:tc>
        <w:tc>
          <w:tcPr>
            <w:tcW w:w="0" w:type="auto"/>
            <w:tcBorders>
              <w:top w:val="nil"/>
              <w:left w:val="nil"/>
              <w:bottom w:val="single" w:sz="4" w:space="0" w:color="auto"/>
              <w:right w:val="single" w:sz="4" w:space="0" w:color="auto"/>
            </w:tcBorders>
            <w:shd w:val="clear" w:color="auto" w:fill="auto"/>
            <w:vAlign w:val="center"/>
            <w:hideMark/>
          </w:tcPr>
          <w:p w14:paraId="0E30AFA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CD0424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8CAEF5"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1C20DA54" w14:textId="77777777" w:rsidR="00572995" w:rsidRPr="00483EBE" w:rsidRDefault="00572995" w:rsidP="00E8324D">
            <w:pPr>
              <w:pStyle w:val="Tablas"/>
              <w:rPr>
                <w:sz w:val="12"/>
                <w:szCs w:val="12"/>
              </w:rPr>
            </w:pPr>
            <w:r w:rsidRPr="00483EBE">
              <w:rPr>
                <w:sz w:val="12"/>
                <w:szCs w:val="12"/>
              </w:rPr>
              <w:t xml:space="preserve">46 </w:t>
            </w:r>
          </w:p>
        </w:tc>
        <w:tc>
          <w:tcPr>
            <w:tcW w:w="0" w:type="auto"/>
            <w:tcBorders>
              <w:top w:val="nil"/>
              <w:left w:val="nil"/>
              <w:bottom w:val="single" w:sz="4" w:space="0" w:color="auto"/>
              <w:right w:val="single" w:sz="4" w:space="0" w:color="auto"/>
            </w:tcBorders>
            <w:shd w:val="clear" w:color="auto" w:fill="auto"/>
            <w:vAlign w:val="center"/>
            <w:hideMark/>
          </w:tcPr>
          <w:p w14:paraId="33647C84" w14:textId="77777777" w:rsidR="00572995" w:rsidRPr="00483EBE" w:rsidRDefault="00572995" w:rsidP="00E8324D">
            <w:pPr>
              <w:pStyle w:val="Tablas"/>
              <w:rPr>
                <w:sz w:val="12"/>
                <w:szCs w:val="12"/>
              </w:rPr>
            </w:pPr>
            <w:r w:rsidRPr="00483EBE">
              <w:rPr>
                <w:sz w:val="12"/>
                <w:szCs w:val="12"/>
              </w:rPr>
              <w:t>$114,445</w:t>
            </w:r>
          </w:p>
        </w:tc>
        <w:tc>
          <w:tcPr>
            <w:tcW w:w="0" w:type="auto"/>
            <w:tcBorders>
              <w:top w:val="nil"/>
              <w:left w:val="nil"/>
              <w:bottom w:val="single" w:sz="4" w:space="0" w:color="auto"/>
              <w:right w:val="single" w:sz="4" w:space="0" w:color="auto"/>
            </w:tcBorders>
            <w:shd w:val="clear" w:color="auto" w:fill="auto"/>
            <w:vAlign w:val="center"/>
            <w:hideMark/>
          </w:tcPr>
          <w:p w14:paraId="3109B00B" w14:textId="77777777" w:rsidR="00572995" w:rsidRPr="00483EBE" w:rsidRDefault="00572995" w:rsidP="00E8324D">
            <w:pPr>
              <w:pStyle w:val="Tablas"/>
              <w:rPr>
                <w:sz w:val="12"/>
                <w:szCs w:val="12"/>
              </w:rPr>
            </w:pPr>
            <w:r w:rsidRPr="00483EBE">
              <w:rPr>
                <w:sz w:val="12"/>
                <w:szCs w:val="12"/>
              </w:rPr>
              <w:t>$2,488</w:t>
            </w:r>
          </w:p>
        </w:tc>
        <w:tc>
          <w:tcPr>
            <w:tcW w:w="0" w:type="auto"/>
            <w:tcBorders>
              <w:top w:val="nil"/>
              <w:left w:val="nil"/>
              <w:bottom w:val="single" w:sz="4" w:space="0" w:color="auto"/>
              <w:right w:val="single" w:sz="4" w:space="0" w:color="auto"/>
            </w:tcBorders>
            <w:shd w:val="clear" w:color="auto" w:fill="auto"/>
            <w:vAlign w:val="center"/>
            <w:hideMark/>
          </w:tcPr>
          <w:p w14:paraId="5BB35289" w14:textId="77777777" w:rsidR="00572995" w:rsidRPr="00483EBE" w:rsidRDefault="00572995" w:rsidP="00E8324D">
            <w:pPr>
              <w:pStyle w:val="Tablas"/>
              <w:rPr>
                <w:sz w:val="12"/>
                <w:szCs w:val="12"/>
              </w:rPr>
            </w:pPr>
            <w:r w:rsidRPr="00483EBE">
              <w:rPr>
                <w:sz w:val="12"/>
                <w:szCs w:val="12"/>
              </w:rPr>
              <w:t>$207</w:t>
            </w:r>
          </w:p>
        </w:tc>
        <w:tc>
          <w:tcPr>
            <w:tcW w:w="0" w:type="auto"/>
            <w:tcBorders>
              <w:top w:val="nil"/>
              <w:left w:val="nil"/>
              <w:bottom w:val="single" w:sz="4" w:space="0" w:color="auto"/>
              <w:right w:val="single" w:sz="4" w:space="0" w:color="auto"/>
            </w:tcBorders>
            <w:shd w:val="clear" w:color="auto" w:fill="auto"/>
            <w:vAlign w:val="center"/>
            <w:hideMark/>
          </w:tcPr>
          <w:p w14:paraId="097248F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0669EA7" w14:textId="77777777" w:rsidR="00572995" w:rsidRPr="00483EBE" w:rsidRDefault="00572995" w:rsidP="00E8324D">
            <w:pPr>
              <w:pStyle w:val="Tablas"/>
              <w:rPr>
                <w:sz w:val="12"/>
                <w:szCs w:val="12"/>
              </w:rPr>
            </w:pPr>
            <w:r w:rsidRPr="00483EBE">
              <w:rPr>
                <w:sz w:val="12"/>
                <w:szCs w:val="12"/>
              </w:rPr>
              <w:t>SEBD</w:t>
            </w:r>
          </w:p>
        </w:tc>
      </w:tr>
      <w:tr w:rsidR="00572995" w:rsidRPr="00483EBE" w14:paraId="1C65F05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5E8C523"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4DDF8417" w14:textId="77777777" w:rsidR="00572995" w:rsidRPr="00483EBE" w:rsidRDefault="00572995" w:rsidP="00E8324D">
            <w:pPr>
              <w:pStyle w:val="Tablas"/>
              <w:rPr>
                <w:sz w:val="12"/>
                <w:szCs w:val="12"/>
              </w:rPr>
            </w:pPr>
            <w:r w:rsidRPr="00483EBE">
              <w:rPr>
                <w:sz w:val="12"/>
                <w:szCs w:val="12"/>
              </w:rPr>
              <w:t xml:space="preserve">78 </w:t>
            </w:r>
          </w:p>
        </w:tc>
        <w:tc>
          <w:tcPr>
            <w:tcW w:w="0" w:type="auto"/>
            <w:tcBorders>
              <w:top w:val="nil"/>
              <w:left w:val="nil"/>
              <w:bottom w:val="single" w:sz="4" w:space="0" w:color="auto"/>
              <w:right w:val="single" w:sz="4" w:space="0" w:color="auto"/>
            </w:tcBorders>
            <w:shd w:val="clear" w:color="auto" w:fill="auto"/>
            <w:vAlign w:val="center"/>
            <w:hideMark/>
          </w:tcPr>
          <w:p w14:paraId="12DB3EEC" w14:textId="77777777" w:rsidR="00572995" w:rsidRPr="00483EBE" w:rsidRDefault="00572995" w:rsidP="00E8324D">
            <w:pPr>
              <w:pStyle w:val="Tablas"/>
              <w:rPr>
                <w:sz w:val="12"/>
                <w:szCs w:val="12"/>
              </w:rPr>
            </w:pPr>
            <w:r w:rsidRPr="00483EBE">
              <w:rPr>
                <w:sz w:val="12"/>
                <w:szCs w:val="12"/>
              </w:rPr>
              <w:t>$196,633</w:t>
            </w:r>
          </w:p>
        </w:tc>
        <w:tc>
          <w:tcPr>
            <w:tcW w:w="0" w:type="auto"/>
            <w:tcBorders>
              <w:top w:val="nil"/>
              <w:left w:val="nil"/>
              <w:bottom w:val="single" w:sz="4" w:space="0" w:color="auto"/>
              <w:right w:val="single" w:sz="4" w:space="0" w:color="auto"/>
            </w:tcBorders>
            <w:shd w:val="clear" w:color="auto" w:fill="auto"/>
            <w:vAlign w:val="center"/>
            <w:hideMark/>
          </w:tcPr>
          <w:p w14:paraId="0009B20A" w14:textId="77777777" w:rsidR="00572995" w:rsidRPr="00483EBE" w:rsidRDefault="00572995" w:rsidP="00E8324D">
            <w:pPr>
              <w:pStyle w:val="Tablas"/>
              <w:rPr>
                <w:sz w:val="12"/>
                <w:szCs w:val="12"/>
              </w:rPr>
            </w:pPr>
            <w:r w:rsidRPr="00483EBE">
              <w:rPr>
                <w:sz w:val="12"/>
                <w:szCs w:val="12"/>
              </w:rPr>
              <w:t>$2,521</w:t>
            </w:r>
          </w:p>
        </w:tc>
        <w:tc>
          <w:tcPr>
            <w:tcW w:w="0" w:type="auto"/>
            <w:tcBorders>
              <w:top w:val="nil"/>
              <w:left w:val="nil"/>
              <w:bottom w:val="single" w:sz="4" w:space="0" w:color="auto"/>
              <w:right w:val="single" w:sz="4" w:space="0" w:color="auto"/>
            </w:tcBorders>
            <w:shd w:val="clear" w:color="auto" w:fill="auto"/>
            <w:vAlign w:val="center"/>
            <w:hideMark/>
          </w:tcPr>
          <w:p w14:paraId="0EFFD5FE" w14:textId="77777777" w:rsidR="00572995" w:rsidRPr="00483EBE" w:rsidRDefault="00572995" w:rsidP="00E8324D">
            <w:pPr>
              <w:pStyle w:val="Tablas"/>
              <w:rPr>
                <w:sz w:val="12"/>
                <w:szCs w:val="12"/>
              </w:rPr>
            </w:pPr>
            <w:r w:rsidRPr="00483EBE">
              <w:rPr>
                <w:sz w:val="12"/>
                <w:szCs w:val="12"/>
              </w:rPr>
              <w:t>$210</w:t>
            </w:r>
          </w:p>
        </w:tc>
        <w:tc>
          <w:tcPr>
            <w:tcW w:w="0" w:type="auto"/>
            <w:tcBorders>
              <w:top w:val="nil"/>
              <w:left w:val="nil"/>
              <w:bottom w:val="single" w:sz="4" w:space="0" w:color="auto"/>
              <w:right w:val="single" w:sz="4" w:space="0" w:color="auto"/>
            </w:tcBorders>
            <w:shd w:val="clear" w:color="auto" w:fill="auto"/>
            <w:vAlign w:val="center"/>
            <w:hideMark/>
          </w:tcPr>
          <w:p w14:paraId="07C1392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AB995E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B88A50"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2E9F0D0F"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26C4C4CE" w14:textId="77777777" w:rsidR="00572995" w:rsidRPr="00483EBE" w:rsidRDefault="00572995" w:rsidP="00E8324D">
            <w:pPr>
              <w:pStyle w:val="Tablas"/>
              <w:rPr>
                <w:sz w:val="12"/>
                <w:szCs w:val="12"/>
              </w:rPr>
            </w:pPr>
            <w:r w:rsidRPr="00483EBE">
              <w:rPr>
                <w:sz w:val="12"/>
                <w:szCs w:val="12"/>
              </w:rPr>
              <w:t>$92,242</w:t>
            </w:r>
          </w:p>
        </w:tc>
        <w:tc>
          <w:tcPr>
            <w:tcW w:w="0" w:type="auto"/>
            <w:tcBorders>
              <w:top w:val="nil"/>
              <w:left w:val="nil"/>
              <w:bottom w:val="single" w:sz="4" w:space="0" w:color="auto"/>
              <w:right w:val="single" w:sz="4" w:space="0" w:color="auto"/>
            </w:tcBorders>
            <w:shd w:val="clear" w:color="auto" w:fill="auto"/>
            <w:vAlign w:val="center"/>
            <w:hideMark/>
          </w:tcPr>
          <w:p w14:paraId="65BEC9D5" w14:textId="77777777" w:rsidR="00572995" w:rsidRPr="00483EBE" w:rsidRDefault="00572995" w:rsidP="00E8324D">
            <w:pPr>
              <w:pStyle w:val="Tablas"/>
              <w:rPr>
                <w:sz w:val="12"/>
                <w:szCs w:val="12"/>
              </w:rPr>
            </w:pPr>
            <w:r w:rsidRPr="00483EBE">
              <w:rPr>
                <w:sz w:val="12"/>
                <w:szCs w:val="12"/>
              </w:rPr>
              <w:t>$2,250</w:t>
            </w:r>
          </w:p>
        </w:tc>
        <w:tc>
          <w:tcPr>
            <w:tcW w:w="0" w:type="auto"/>
            <w:tcBorders>
              <w:top w:val="nil"/>
              <w:left w:val="nil"/>
              <w:bottom w:val="single" w:sz="4" w:space="0" w:color="auto"/>
              <w:right w:val="single" w:sz="4" w:space="0" w:color="auto"/>
            </w:tcBorders>
            <w:shd w:val="clear" w:color="auto" w:fill="auto"/>
            <w:vAlign w:val="center"/>
            <w:hideMark/>
          </w:tcPr>
          <w:p w14:paraId="6351D6A7" w14:textId="77777777" w:rsidR="00572995" w:rsidRPr="00483EBE" w:rsidRDefault="00572995" w:rsidP="00E8324D">
            <w:pPr>
              <w:pStyle w:val="Tablas"/>
              <w:rPr>
                <w:sz w:val="12"/>
                <w:szCs w:val="12"/>
              </w:rPr>
            </w:pPr>
            <w:r w:rsidRPr="00483EBE">
              <w:rPr>
                <w:sz w:val="12"/>
                <w:szCs w:val="12"/>
              </w:rPr>
              <w:t>$187</w:t>
            </w:r>
          </w:p>
        </w:tc>
        <w:tc>
          <w:tcPr>
            <w:tcW w:w="0" w:type="auto"/>
            <w:tcBorders>
              <w:top w:val="nil"/>
              <w:left w:val="nil"/>
              <w:bottom w:val="single" w:sz="4" w:space="0" w:color="auto"/>
              <w:right w:val="single" w:sz="4" w:space="0" w:color="auto"/>
            </w:tcBorders>
            <w:shd w:val="clear" w:color="auto" w:fill="auto"/>
            <w:vAlign w:val="center"/>
            <w:hideMark/>
          </w:tcPr>
          <w:p w14:paraId="55A4C28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CC854B2" w14:textId="77777777" w:rsidR="00572995" w:rsidRPr="00483EBE" w:rsidRDefault="00572995" w:rsidP="00E8324D">
            <w:pPr>
              <w:pStyle w:val="Tablas"/>
              <w:rPr>
                <w:sz w:val="12"/>
                <w:szCs w:val="12"/>
              </w:rPr>
            </w:pPr>
            <w:r w:rsidRPr="00483EBE">
              <w:rPr>
                <w:sz w:val="12"/>
                <w:szCs w:val="12"/>
              </w:rPr>
              <w:t>SEBD</w:t>
            </w:r>
          </w:p>
        </w:tc>
      </w:tr>
      <w:tr w:rsidR="00572995" w:rsidRPr="00483EBE" w14:paraId="7A601F3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DC295AC"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7CF4AD50" w14:textId="77777777" w:rsidR="00572995" w:rsidRPr="00483EBE" w:rsidRDefault="00572995" w:rsidP="00E8324D">
            <w:pPr>
              <w:pStyle w:val="Tablas"/>
              <w:rPr>
                <w:sz w:val="12"/>
                <w:szCs w:val="12"/>
              </w:rPr>
            </w:pPr>
            <w:r w:rsidRPr="00483EBE">
              <w:rPr>
                <w:sz w:val="12"/>
                <w:szCs w:val="12"/>
              </w:rPr>
              <w:t xml:space="preserve">76 </w:t>
            </w:r>
          </w:p>
        </w:tc>
        <w:tc>
          <w:tcPr>
            <w:tcW w:w="0" w:type="auto"/>
            <w:tcBorders>
              <w:top w:val="nil"/>
              <w:left w:val="nil"/>
              <w:bottom w:val="single" w:sz="4" w:space="0" w:color="auto"/>
              <w:right w:val="single" w:sz="4" w:space="0" w:color="auto"/>
            </w:tcBorders>
            <w:shd w:val="clear" w:color="auto" w:fill="auto"/>
            <w:vAlign w:val="center"/>
            <w:hideMark/>
          </w:tcPr>
          <w:p w14:paraId="51A9E15A" w14:textId="77777777" w:rsidR="00572995" w:rsidRPr="00483EBE" w:rsidRDefault="00572995" w:rsidP="00E8324D">
            <w:pPr>
              <w:pStyle w:val="Tablas"/>
              <w:rPr>
                <w:sz w:val="12"/>
                <w:szCs w:val="12"/>
              </w:rPr>
            </w:pPr>
            <w:r w:rsidRPr="00483EBE">
              <w:rPr>
                <w:sz w:val="12"/>
                <w:szCs w:val="12"/>
              </w:rPr>
              <w:t>$179,297</w:t>
            </w:r>
          </w:p>
        </w:tc>
        <w:tc>
          <w:tcPr>
            <w:tcW w:w="0" w:type="auto"/>
            <w:tcBorders>
              <w:top w:val="nil"/>
              <w:left w:val="nil"/>
              <w:bottom w:val="single" w:sz="4" w:space="0" w:color="auto"/>
              <w:right w:val="single" w:sz="4" w:space="0" w:color="auto"/>
            </w:tcBorders>
            <w:shd w:val="clear" w:color="auto" w:fill="auto"/>
            <w:vAlign w:val="center"/>
            <w:hideMark/>
          </w:tcPr>
          <w:p w14:paraId="7D372D4E" w14:textId="77777777" w:rsidR="00572995" w:rsidRPr="00483EBE" w:rsidRDefault="00572995" w:rsidP="00E8324D">
            <w:pPr>
              <w:pStyle w:val="Tablas"/>
              <w:rPr>
                <w:sz w:val="12"/>
                <w:szCs w:val="12"/>
              </w:rPr>
            </w:pPr>
            <w:r w:rsidRPr="00483EBE">
              <w:rPr>
                <w:sz w:val="12"/>
                <w:szCs w:val="12"/>
              </w:rPr>
              <w:t>$2,359</w:t>
            </w:r>
          </w:p>
        </w:tc>
        <w:tc>
          <w:tcPr>
            <w:tcW w:w="0" w:type="auto"/>
            <w:tcBorders>
              <w:top w:val="nil"/>
              <w:left w:val="nil"/>
              <w:bottom w:val="single" w:sz="4" w:space="0" w:color="auto"/>
              <w:right w:val="single" w:sz="4" w:space="0" w:color="auto"/>
            </w:tcBorders>
            <w:shd w:val="clear" w:color="auto" w:fill="auto"/>
            <w:vAlign w:val="center"/>
            <w:hideMark/>
          </w:tcPr>
          <w:p w14:paraId="48D213F4" w14:textId="77777777" w:rsidR="00572995" w:rsidRPr="00483EBE" w:rsidRDefault="00572995" w:rsidP="00E8324D">
            <w:pPr>
              <w:pStyle w:val="Tablas"/>
              <w:rPr>
                <w:sz w:val="12"/>
                <w:szCs w:val="12"/>
              </w:rPr>
            </w:pPr>
            <w:r w:rsidRPr="00483EBE">
              <w:rPr>
                <w:sz w:val="12"/>
                <w:szCs w:val="12"/>
              </w:rPr>
              <w:t>$197</w:t>
            </w:r>
          </w:p>
        </w:tc>
        <w:tc>
          <w:tcPr>
            <w:tcW w:w="0" w:type="auto"/>
            <w:tcBorders>
              <w:top w:val="nil"/>
              <w:left w:val="nil"/>
              <w:bottom w:val="single" w:sz="4" w:space="0" w:color="auto"/>
              <w:right w:val="single" w:sz="4" w:space="0" w:color="auto"/>
            </w:tcBorders>
            <w:shd w:val="clear" w:color="auto" w:fill="auto"/>
            <w:vAlign w:val="center"/>
            <w:hideMark/>
          </w:tcPr>
          <w:p w14:paraId="3E5452F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4002AC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759B43"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1BD22F0F"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6964247E" w14:textId="77777777" w:rsidR="00572995" w:rsidRPr="00483EBE" w:rsidRDefault="00572995" w:rsidP="00E8324D">
            <w:pPr>
              <w:pStyle w:val="Tablas"/>
              <w:rPr>
                <w:sz w:val="12"/>
                <w:szCs w:val="12"/>
              </w:rPr>
            </w:pPr>
            <w:r w:rsidRPr="00483EBE">
              <w:rPr>
                <w:sz w:val="12"/>
                <w:szCs w:val="12"/>
              </w:rPr>
              <w:t>$94,536</w:t>
            </w:r>
          </w:p>
        </w:tc>
        <w:tc>
          <w:tcPr>
            <w:tcW w:w="0" w:type="auto"/>
            <w:tcBorders>
              <w:top w:val="nil"/>
              <w:left w:val="nil"/>
              <w:bottom w:val="single" w:sz="4" w:space="0" w:color="auto"/>
              <w:right w:val="single" w:sz="4" w:space="0" w:color="auto"/>
            </w:tcBorders>
            <w:shd w:val="clear" w:color="auto" w:fill="auto"/>
            <w:vAlign w:val="center"/>
            <w:hideMark/>
          </w:tcPr>
          <w:p w14:paraId="41D8F201" w14:textId="77777777" w:rsidR="00572995" w:rsidRPr="00483EBE" w:rsidRDefault="00572995" w:rsidP="00E8324D">
            <w:pPr>
              <w:pStyle w:val="Tablas"/>
              <w:rPr>
                <w:sz w:val="12"/>
                <w:szCs w:val="12"/>
              </w:rPr>
            </w:pPr>
            <w:r w:rsidRPr="00483EBE">
              <w:rPr>
                <w:sz w:val="12"/>
                <w:szCs w:val="12"/>
              </w:rPr>
              <w:t>$2,865</w:t>
            </w:r>
          </w:p>
        </w:tc>
        <w:tc>
          <w:tcPr>
            <w:tcW w:w="0" w:type="auto"/>
            <w:tcBorders>
              <w:top w:val="nil"/>
              <w:left w:val="nil"/>
              <w:bottom w:val="single" w:sz="4" w:space="0" w:color="auto"/>
              <w:right w:val="single" w:sz="4" w:space="0" w:color="auto"/>
            </w:tcBorders>
            <w:shd w:val="clear" w:color="auto" w:fill="auto"/>
            <w:vAlign w:val="center"/>
            <w:hideMark/>
          </w:tcPr>
          <w:p w14:paraId="3AC8F059" w14:textId="77777777" w:rsidR="00572995" w:rsidRPr="00483EBE" w:rsidRDefault="00572995" w:rsidP="00E8324D">
            <w:pPr>
              <w:pStyle w:val="Tablas"/>
              <w:rPr>
                <w:sz w:val="12"/>
                <w:szCs w:val="12"/>
              </w:rPr>
            </w:pPr>
            <w:r w:rsidRPr="00483EBE">
              <w:rPr>
                <w:sz w:val="12"/>
                <w:szCs w:val="12"/>
              </w:rPr>
              <w:t>$239</w:t>
            </w:r>
          </w:p>
        </w:tc>
        <w:tc>
          <w:tcPr>
            <w:tcW w:w="0" w:type="auto"/>
            <w:tcBorders>
              <w:top w:val="nil"/>
              <w:left w:val="nil"/>
              <w:bottom w:val="single" w:sz="4" w:space="0" w:color="auto"/>
              <w:right w:val="single" w:sz="4" w:space="0" w:color="auto"/>
            </w:tcBorders>
            <w:shd w:val="clear" w:color="auto" w:fill="auto"/>
            <w:vAlign w:val="center"/>
            <w:hideMark/>
          </w:tcPr>
          <w:p w14:paraId="49B953F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5D6BEBC" w14:textId="77777777" w:rsidR="00572995" w:rsidRPr="00483EBE" w:rsidRDefault="00572995" w:rsidP="00E8324D">
            <w:pPr>
              <w:pStyle w:val="Tablas"/>
              <w:rPr>
                <w:sz w:val="12"/>
                <w:szCs w:val="12"/>
              </w:rPr>
            </w:pPr>
            <w:r w:rsidRPr="00483EBE">
              <w:rPr>
                <w:sz w:val="12"/>
                <w:szCs w:val="12"/>
              </w:rPr>
              <w:t>SEBD</w:t>
            </w:r>
          </w:p>
        </w:tc>
      </w:tr>
      <w:tr w:rsidR="00572995" w:rsidRPr="00483EBE" w14:paraId="2BAEF24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9B6B68"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6974658C" w14:textId="77777777" w:rsidR="00572995" w:rsidRPr="00483EBE" w:rsidRDefault="00572995" w:rsidP="00E8324D">
            <w:pPr>
              <w:pStyle w:val="Tablas"/>
              <w:rPr>
                <w:sz w:val="12"/>
                <w:szCs w:val="12"/>
              </w:rPr>
            </w:pPr>
            <w:r w:rsidRPr="00483EBE">
              <w:rPr>
                <w:sz w:val="12"/>
                <w:szCs w:val="12"/>
              </w:rPr>
              <w:t xml:space="preserve">47 </w:t>
            </w:r>
          </w:p>
        </w:tc>
        <w:tc>
          <w:tcPr>
            <w:tcW w:w="0" w:type="auto"/>
            <w:tcBorders>
              <w:top w:val="nil"/>
              <w:left w:val="nil"/>
              <w:bottom w:val="single" w:sz="4" w:space="0" w:color="auto"/>
              <w:right w:val="single" w:sz="4" w:space="0" w:color="auto"/>
            </w:tcBorders>
            <w:shd w:val="clear" w:color="auto" w:fill="auto"/>
            <w:vAlign w:val="center"/>
            <w:hideMark/>
          </w:tcPr>
          <w:p w14:paraId="316893DC" w14:textId="77777777" w:rsidR="00572995" w:rsidRPr="00483EBE" w:rsidRDefault="00572995" w:rsidP="00E8324D">
            <w:pPr>
              <w:pStyle w:val="Tablas"/>
              <w:rPr>
                <w:sz w:val="12"/>
                <w:szCs w:val="12"/>
              </w:rPr>
            </w:pPr>
            <w:r w:rsidRPr="00483EBE">
              <w:rPr>
                <w:sz w:val="12"/>
                <w:szCs w:val="12"/>
              </w:rPr>
              <w:t>$107,815</w:t>
            </w:r>
          </w:p>
        </w:tc>
        <w:tc>
          <w:tcPr>
            <w:tcW w:w="0" w:type="auto"/>
            <w:tcBorders>
              <w:top w:val="nil"/>
              <w:left w:val="nil"/>
              <w:bottom w:val="single" w:sz="4" w:space="0" w:color="auto"/>
              <w:right w:val="single" w:sz="4" w:space="0" w:color="auto"/>
            </w:tcBorders>
            <w:shd w:val="clear" w:color="auto" w:fill="auto"/>
            <w:vAlign w:val="center"/>
            <w:hideMark/>
          </w:tcPr>
          <w:p w14:paraId="13FD3D42" w14:textId="77777777" w:rsidR="00572995" w:rsidRPr="00483EBE" w:rsidRDefault="00572995" w:rsidP="00E8324D">
            <w:pPr>
              <w:pStyle w:val="Tablas"/>
              <w:rPr>
                <w:sz w:val="12"/>
                <w:szCs w:val="12"/>
              </w:rPr>
            </w:pPr>
            <w:r w:rsidRPr="00483EBE">
              <w:rPr>
                <w:sz w:val="12"/>
                <w:szCs w:val="12"/>
              </w:rPr>
              <w:t>$2,294</w:t>
            </w:r>
          </w:p>
        </w:tc>
        <w:tc>
          <w:tcPr>
            <w:tcW w:w="0" w:type="auto"/>
            <w:tcBorders>
              <w:top w:val="nil"/>
              <w:left w:val="nil"/>
              <w:bottom w:val="single" w:sz="4" w:space="0" w:color="auto"/>
              <w:right w:val="single" w:sz="4" w:space="0" w:color="auto"/>
            </w:tcBorders>
            <w:shd w:val="clear" w:color="auto" w:fill="auto"/>
            <w:vAlign w:val="center"/>
            <w:hideMark/>
          </w:tcPr>
          <w:p w14:paraId="7523DAC0" w14:textId="77777777" w:rsidR="00572995" w:rsidRPr="00483EBE" w:rsidRDefault="00572995" w:rsidP="00E8324D">
            <w:pPr>
              <w:pStyle w:val="Tablas"/>
              <w:rPr>
                <w:sz w:val="12"/>
                <w:szCs w:val="12"/>
              </w:rPr>
            </w:pPr>
            <w:r w:rsidRPr="00483EBE">
              <w:rPr>
                <w:sz w:val="12"/>
                <w:szCs w:val="12"/>
              </w:rPr>
              <w:t>$191</w:t>
            </w:r>
          </w:p>
        </w:tc>
        <w:tc>
          <w:tcPr>
            <w:tcW w:w="0" w:type="auto"/>
            <w:tcBorders>
              <w:top w:val="nil"/>
              <w:left w:val="nil"/>
              <w:bottom w:val="single" w:sz="4" w:space="0" w:color="auto"/>
              <w:right w:val="single" w:sz="4" w:space="0" w:color="auto"/>
            </w:tcBorders>
            <w:shd w:val="clear" w:color="auto" w:fill="auto"/>
            <w:vAlign w:val="center"/>
            <w:hideMark/>
          </w:tcPr>
          <w:p w14:paraId="7B8BE66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1137BA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7B74FC"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243ADAE"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096AC6A7" w14:textId="77777777" w:rsidR="00572995" w:rsidRPr="00483EBE" w:rsidRDefault="00572995" w:rsidP="00E8324D">
            <w:pPr>
              <w:pStyle w:val="Tablas"/>
              <w:rPr>
                <w:sz w:val="12"/>
                <w:szCs w:val="12"/>
              </w:rPr>
            </w:pPr>
            <w:r w:rsidRPr="00483EBE">
              <w:rPr>
                <w:sz w:val="12"/>
                <w:szCs w:val="12"/>
              </w:rPr>
              <w:t>$76,399</w:t>
            </w:r>
          </w:p>
        </w:tc>
        <w:tc>
          <w:tcPr>
            <w:tcW w:w="0" w:type="auto"/>
            <w:tcBorders>
              <w:top w:val="nil"/>
              <w:left w:val="nil"/>
              <w:bottom w:val="single" w:sz="4" w:space="0" w:color="auto"/>
              <w:right w:val="single" w:sz="4" w:space="0" w:color="auto"/>
            </w:tcBorders>
            <w:shd w:val="clear" w:color="auto" w:fill="auto"/>
            <w:vAlign w:val="center"/>
            <w:hideMark/>
          </w:tcPr>
          <w:p w14:paraId="6053B15C" w14:textId="77777777" w:rsidR="00572995" w:rsidRPr="00483EBE" w:rsidRDefault="00572995" w:rsidP="00E8324D">
            <w:pPr>
              <w:pStyle w:val="Tablas"/>
              <w:rPr>
                <w:sz w:val="12"/>
                <w:szCs w:val="12"/>
              </w:rPr>
            </w:pPr>
            <w:r w:rsidRPr="00483EBE">
              <w:rPr>
                <w:sz w:val="12"/>
                <w:szCs w:val="12"/>
              </w:rPr>
              <w:t>$2,315</w:t>
            </w:r>
          </w:p>
        </w:tc>
        <w:tc>
          <w:tcPr>
            <w:tcW w:w="0" w:type="auto"/>
            <w:tcBorders>
              <w:top w:val="nil"/>
              <w:left w:val="nil"/>
              <w:bottom w:val="single" w:sz="4" w:space="0" w:color="auto"/>
              <w:right w:val="single" w:sz="4" w:space="0" w:color="auto"/>
            </w:tcBorders>
            <w:shd w:val="clear" w:color="auto" w:fill="auto"/>
            <w:vAlign w:val="center"/>
            <w:hideMark/>
          </w:tcPr>
          <w:p w14:paraId="05C7F536" w14:textId="77777777" w:rsidR="00572995" w:rsidRPr="00483EBE" w:rsidRDefault="00572995" w:rsidP="00E8324D">
            <w:pPr>
              <w:pStyle w:val="Tablas"/>
              <w:rPr>
                <w:sz w:val="12"/>
                <w:szCs w:val="12"/>
              </w:rPr>
            </w:pPr>
            <w:r w:rsidRPr="00483EBE">
              <w:rPr>
                <w:sz w:val="12"/>
                <w:szCs w:val="12"/>
              </w:rPr>
              <w:t>$193</w:t>
            </w:r>
          </w:p>
        </w:tc>
        <w:tc>
          <w:tcPr>
            <w:tcW w:w="0" w:type="auto"/>
            <w:tcBorders>
              <w:top w:val="nil"/>
              <w:left w:val="nil"/>
              <w:bottom w:val="single" w:sz="4" w:space="0" w:color="auto"/>
              <w:right w:val="single" w:sz="4" w:space="0" w:color="auto"/>
            </w:tcBorders>
            <w:shd w:val="clear" w:color="auto" w:fill="auto"/>
            <w:vAlign w:val="center"/>
            <w:hideMark/>
          </w:tcPr>
          <w:p w14:paraId="6316C37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B55F543" w14:textId="77777777" w:rsidR="00572995" w:rsidRPr="00483EBE" w:rsidRDefault="00572995" w:rsidP="00E8324D">
            <w:pPr>
              <w:pStyle w:val="Tablas"/>
              <w:rPr>
                <w:sz w:val="12"/>
                <w:szCs w:val="12"/>
              </w:rPr>
            </w:pPr>
            <w:r w:rsidRPr="00483EBE">
              <w:rPr>
                <w:sz w:val="12"/>
                <w:szCs w:val="12"/>
              </w:rPr>
              <w:t>SEBD</w:t>
            </w:r>
          </w:p>
        </w:tc>
      </w:tr>
      <w:tr w:rsidR="00572995" w:rsidRPr="00483EBE" w14:paraId="62D2739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191F0E6"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06D3969A"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7E454CE9" w14:textId="77777777" w:rsidR="00572995" w:rsidRPr="00483EBE" w:rsidRDefault="00572995" w:rsidP="00E8324D">
            <w:pPr>
              <w:pStyle w:val="Tablas"/>
              <w:rPr>
                <w:sz w:val="12"/>
                <w:szCs w:val="12"/>
              </w:rPr>
            </w:pPr>
            <w:r w:rsidRPr="00483EBE">
              <w:rPr>
                <w:sz w:val="12"/>
                <w:szCs w:val="12"/>
              </w:rPr>
              <w:t>$57,800</w:t>
            </w:r>
          </w:p>
        </w:tc>
        <w:tc>
          <w:tcPr>
            <w:tcW w:w="0" w:type="auto"/>
            <w:tcBorders>
              <w:top w:val="nil"/>
              <w:left w:val="nil"/>
              <w:bottom w:val="single" w:sz="4" w:space="0" w:color="auto"/>
              <w:right w:val="single" w:sz="4" w:space="0" w:color="auto"/>
            </w:tcBorders>
            <w:shd w:val="clear" w:color="auto" w:fill="auto"/>
            <w:vAlign w:val="center"/>
            <w:hideMark/>
          </w:tcPr>
          <w:p w14:paraId="43A484F9" w14:textId="77777777" w:rsidR="00572995" w:rsidRPr="00483EBE" w:rsidRDefault="00572995" w:rsidP="00E8324D">
            <w:pPr>
              <w:pStyle w:val="Tablas"/>
              <w:rPr>
                <w:sz w:val="12"/>
                <w:szCs w:val="12"/>
              </w:rPr>
            </w:pPr>
            <w:r w:rsidRPr="00483EBE">
              <w:rPr>
                <w:sz w:val="12"/>
                <w:szCs w:val="12"/>
              </w:rPr>
              <w:t>$2,408</w:t>
            </w:r>
          </w:p>
        </w:tc>
        <w:tc>
          <w:tcPr>
            <w:tcW w:w="0" w:type="auto"/>
            <w:tcBorders>
              <w:top w:val="nil"/>
              <w:left w:val="nil"/>
              <w:bottom w:val="single" w:sz="4" w:space="0" w:color="auto"/>
              <w:right w:val="single" w:sz="4" w:space="0" w:color="auto"/>
            </w:tcBorders>
            <w:shd w:val="clear" w:color="auto" w:fill="auto"/>
            <w:vAlign w:val="center"/>
            <w:hideMark/>
          </w:tcPr>
          <w:p w14:paraId="198E27E4" w14:textId="77777777" w:rsidR="00572995" w:rsidRPr="00483EBE" w:rsidRDefault="00572995" w:rsidP="00E8324D">
            <w:pPr>
              <w:pStyle w:val="Tablas"/>
              <w:rPr>
                <w:sz w:val="12"/>
                <w:szCs w:val="12"/>
              </w:rPr>
            </w:pPr>
            <w:r w:rsidRPr="00483EBE">
              <w:rPr>
                <w:sz w:val="12"/>
                <w:szCs w:val="12"/>
              </w:rPr>
              <w:t>$201</w:t>
            </w:r>
          </w:p>
        </w:tc>
        <w:tc>
          <w:tcPr>
            <w:tcW w:w="0" w:type="auto"/>
            <w:tcBorders>
              <w:top w:val="nil"/>
              <w:left w:val="nil"/>
              <w:bottom w:val="single" w:sz="4" w:space="0" w:color="auto"/>
              <w:right w:val="single" w:sz="4" w:space="0" w:color="auto"/>
            </w:tcBorders>
            <w:shd w:val="clear" w:color="auto" w:fill="auto"/>
            <w:vAlign w:val="center"/>
            <w:hideMark/>
          </w:tcPr>
          <w:p w14:paraId="7D9D0AB9"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CB1648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C6B4D1E"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0B7A2DDA"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693DAF47" w14:textId="77777777" w:rsidR="00572995" w:rsidRPr="00483EBE" w:rsidRDefault="00572995" w:rsidP="00E8324D">
            <w:pPr>
              <w:pStyle w:val="Tablas"/>
              <w:rPr>
                <w:sz w:val="12"/>
                <w:szCs w:val="12"/>
              </w:rPr>
            </w:pPr>
            <w:r w:rsidRPr="00483EBE">
              <w:rPr>
                <w:sz w:val="12"/>
                <w:szCs w:val="12"/>
              </w:rPr>
              <w:t>$88,468</w:t>
            </w:r>
          </w:p>
        </w:tc>
        <w:tc>
          <w:tcPr>
            <w:tcW w:w="0" w:type="auto"/>
            <w:tcBorders>
              <w:top w:val="nil"/>
              <w:left w:val="nil"/>
              <w:bottom w:val="single" w:sz="4" w:space="0" w:color="auto"/>
              <w:right w:val="single" w:sz="4" w:space="0" w:color="auto"/>
            </w:tcBorders>
            <w:shd w:val="clear" w:color="auto" w:fill="auto"/>
            <w:vAlign w:val="center"/>
            <w:hideMark/>
          </w:tcPr>
          <w:p w14:paraId="7E7A21A3" w14:textId="77777777" w:rsidR="00572995" w:rsidRPr="00483EBE" w:rsidRDefault="00572995" w:rsidP="00E8324D">
            <w:pPr>
              <w:pStyle w:val="Tablas"/>
              <w:rPr>
                <w:sz w:val="12"/>
                <w:szCs w:val="12"/>
              </w:rPr>
            </w:pPr>
            <w:r w:rsidRPr="00483EBE">
              <w:rPr>
                <w:sz w:val="12"/>
                <w:szCs w:val="12"/>
              </w:rPr>
              <w:t>$2,854</w:t>
            </w:r>
          </w:p>
        </w:tc>
        <w:tc>
          <w:tcPr>
            <w:tcW w:w="0" w:type="auto"/>
            <w:tcBorders>
              <w:top w:val="nil"/>
              <w:left w:val="nil"/>
              <w:bottom w:val="single" w:sz="4" w:space="0" w:color="auto"/>
              <w:right w:val="single" w:sz="4" w:space="0" w:color="auto"/>
            </w:tcBorders>
            <w:shd w:val="clear" w:color="auto" w:fill="auto"/>
            <w:vAlign w:val="center"/>
            <w:hideMark/>
          </w:tcPr>
          <w:p w14:paraId="2E696B2B"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1D411B5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5C21CA9" w14:textId="77777777" w:rsidR="00572995" w:rsidRPr="00483EBE" w:rsidRDefault="00572995" w:rsidP="00E8324D">
            <w:pPr>
              <w:pStyle w:val="Tablas"/>
              <w:rPr>
                <w:sz w:val="12"/>
                <w:szCs w:val="12"/>
              </w:rPr>
            </w:pPr>
            <w:r w:rsidRPr="00483EBE">
              <w:rPr>
                <w:sz w:val="12"/>
                <w:szCs w:val="12"/>
              </w:rPr>
              <w:t>SEBD</w:t>
            </w:r>
          </w:p>
        </w:tc>
      </w:tr>
      <w:tr w:rsidR="00572995" w:rsidRPr="00483EBE" w14:paraId="3A961D4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EA9F6F2"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19738280"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7F622124" w14:textId="77777777" w:rsidR="00572995" w:rsidRPr="00483EBE" w:rsidRDefault="00572995" w:rsidP="00E8324D">
            <w:pPr>
              <w:pStyle w:val="Tablas"/>
              <w:rPr>
                <w:sz w:val="12"/>
                <w:szCs w:val="12"/>
              </w:rPr>
            </w:pPr>
            <w:r w:rsidRPr="00483EBE">
              <w:rPr>
                <w:sz w:val="12"/>
                <w:szCs w:val="12"/>
              </w:rPr>
              <w:t>$63,360</w:t>
            </w:r>
          </w:p>
        </w:tc>
        <w:tc>
          <w:tcPr>
            <w:tcW w:w="0" w:type="auto"/>
            <w:tcBorders>
              <w:top w:val="nil"/>
              <w:left w:val="nil"/>
              <w:bottom w:val="single" w:sz="4" w:space="0" w:color="auto"/>
              <w:right w:val="single" w:sz="4" w:space="0" w:color="auto"/>
            </w:tcBorders>
            <w:shd w:val="clear" w:color="auto" w:fill="auto"/>
            <w:vAlign w:val="center"/>
            <w:hideMark/>
          </w:tcPr>
          <w:p w14:paraId="729E6E91" w14:textId="77777777" w:rsidR="00572995" w:rsidRPr="00483EBE" w:rsidRDefault="00572995" w:rsidP="00E8324D">
            <w:pPr>
              <w:pStyle w:val="Tablas"/>
              <w:rPr>
                <w:sz w:val="12"/>
                <w:szCs w:val="12"/>
              </w:rPr>
            </w:pPr>
            <w:r w:rsidRPr="00483EBE">
              <w:rPr>
                <w:sz w:val="12"/>
                <w:szCs w:val="12"/>
              </w:rPr>
              <w:t>$2,044</w:t>
            </w:r>
          </w:p>
        </w:tc>
        <w:tc>
          <w:tcPr>
            <w:tcW w:w="0" w:type="auto"/>
            <w:tcBorders>
              <w:top w:val="nil"/>
              <w:left w:val="nil"/>
              <w:bottom w:val="single" w:sz="4" w:space="0" w:color="auto"/>
              <w:right w:val="single" w:sz="4" w:space="0" w:color="auto"/>
            </w:tcBorders>
            <w:shd w:val="clear" w:color="auto" w:fill="auto"/>
            <w:vAlign w:val="center"/>
            <w:hideMark/>
          </w:tcPr>
          <w:p w14:paraId="4304A0B2" w14:textId="77777777" w:rsidR="00572995" w:rsidRPr="00483EBE" w:rsidRDefault="00572995" w:rsidP="00E8324D">
            <w:pPr>
              <w:pStyle w:val="Tablas"/>
              <w:rPr>
                <w:sz w:val="12"/>
                <w:szCs w:val="12"/>
              </w:rPr>
            </w:pPr>
            <w:r w:rsidRPr="00483EBE">
              <w:rPr>
                <w:sz w:val="12"/>
                <w:szCs w:val="12"/>
              </w:rPr>
              <w:t>$170</w:t>
            </w:r>
          </w:p>
        </w:tc>
        <w:tc>
          <w:tcPr>
            <w:tcW w:w="0" w:type="auto"/>
            <w:tcBorders>
              <w:top w:val="nil"/>
              <w:left w:val="nil"/>
              <w:bottom w:val="single" w:sz="4" w:space="0" w:color="auto"/>
              <w:right w:val="single" w:sz="4" w:space="0" w:color="auto"/>
            </w:tcBorders>
            <w:shd w:val="clear" w:color="auto" w:fill="auto"/>
            <w:vAlign w:val="center"/>
            <w:hideMark/>
          </w:tcPr>
          <w:p w14:paraId="2395956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C9212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ACA3616"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4A89D5E3"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24DF54E3" w14:textId="77777777" w:rsidR="00572995" w:rsidRPr="00483EBE" w:rsidRDefault="00572995" w:rsidP="00E8324D">
            <w:pPr>
              <w:pStyle w:val="Tablas"/>
              <w:rPr>
                <w:sz w:val="12"/>
                <w:szCs w:val="12"/>
              </w:rPr>
            </w:pPr>
            <w:r w:rsidRPr="00483EBE">
              <w:rPr>
                <w:sz w:val="12"/>
                <w:szCs w:val="12"/>
              </w:rPr>
              <w:t>$68,238</w:t>
            </w:r>
          </w:p>
        </w:tc>
        <w:tc>
          <w:tcPr>
            <w:tcW w:w="0" w:type="auto"/>
            <w:tcBorders>
              <w:top w:val="nil"/>
              <w:left w:val="nil"/>
              <w:bottom w:val="single" w:sz="4" w:space="0" w:color="auto"/>
              <w:right w:val="single" w:sz="4" w:space="0" w:color="auto"/>
            </w:tcBorders>
            <w:shd w:val="clear" w:color="auto" w:fill="auto"/>
            <w:vAlign w:val="center"/>
            <w:hideMark/>
          </w:tcPr>
          <w:p w14:paraId="26C83FC4" w14:textId="77777777" w:rsidR="00572995" w:rsidRPr="00483EBE" w:rsidRDefault="00572995" w:rsidP="00E8324D">
            <w:pPr>
              <w:pStyle w:val="Tablas"/>
              <w:rPr>
                <w:sz w:val="12"/>
                <w:szCs w:val="12"/>
              </w:rPr>
            </w:pPr>
            <w:r w:rsidRPr="00483EBE">
              <w:rPr>
                <w:sz w:val="12"/>
                <w:szCs w:val="12"/>
              </w:rPr>
              <w:t>$3,412</w:t>
            </w:r>
          </w:p>
        </w:tc>
        <w:tc>
          <w:tcPr>
            <w:tcW w:w="0" w:type="auto"/>
            <w:tcBorders>
              <w:top w:val="nil"/>
              <w:left w:val="nil"/>
              <w:bottom w:val="single" w:sz="4" w:space="0" w:color="auto"/>
              <w:right w:val="single" w:sz="4" w:space="0" w:color="auto"/>
            </w:tcBorders>
            <w:shd w:val="clear" w:color="auto" w:fill="auto"/>
            <w:vAlign w:val="center"/>
            <w:hideMark/>
          </w:tcPr>
          <w:p w14:paraId="6B42F7A0"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0322A28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2C1A9A5" w14:textId="77777777" w:rsidR="00572995" w:rsidRPr="00483EBE" w:rsidRDefault="00572995" w:rsidP="00E8324D">
            <w:pPr>
              <w:pStyle w:val="Tablas"/>
              <w:rPr>
                <w:sz w:val="12"/>
                <w:szCs w:val="12"/>
              </w:rPr>
            </w:pPr>
            <w:r w:rsidRPr="00483EBE">
              <w:rPr>
                <w:sz w:val="12"/>
                <w:szCs w:val="12"/>
              </w:rPr>
              <w:t>SEBD</w:t>
            </w:r>
          </w:p>
        </w:tc>
      </w:tr>
      <w:tr w:rsidR="00572995" w:rsidRPr="00483EBE" w14:paraId="42A2845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EDDA5A"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5EDE72F4"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16ECE6B1" w14:textId="77777777" w:rsidR="00572995" w:rsidRPr="00483EBE" w:rsidRDefault="00572995" w:rsidP="00E8324D">
            <w:pPr>
              <w:pStyle w:val="Tablas"/>
              <w:rPr>
                <w:sz w:val="12"/>
                <w:szCs w:val="12"/>
              </w:rPr>
            </w:pPr>
            <w:r w:rsidRPr="00483EBE">
              <w:rPr>
                <w:sz w:val="12"/>
                <w:szCs w:val="12"/>
              </w:rPr>
              <w:t>$35,395</w:t>
            </w:r>
          </w:p>
        </w:tc>
        <w:tc>
          <w:tcPr>
            <w:tcW w:w="0" w:type="auto"/>
            <w:tcBorders>
              <w:top w:val="nil"/>
              <w:left w:val="nil"/>
              <w:bottom w:val="single" w:sz="4" w:space="0" w:color="auto"/>
              <w:right w:val="single" w:sz="4" w:space="0" w:color="auto"/>
            </w:tcBorders>
            <w:shd w:val="clear" w:color="auto" w:fill="auto"/>
            <w:vAlign w:val="center"/>
            <w:hideMark/>
          </w:tcPr>
          <w:p w14:paraId="195AC4EF" w14:textId="77777777" w:rsidR="00572995" w:rsidRPr="00483EBE" w:rsidRDefault="00572995" w:rsidP="00E8324D">
            <w:pPr>
              <w:pStyle w:val="Tablas"/>
              <w:rPr>
                <w:sz w:val="12"/>
                <w:szCs w:val="12"/>
              </w:rPr>
            </w:pPr>
            <w:r w:rsidRPr="00483EBE">
              <w:rPr>
                <w:sz w:val="12"/>
                <w:szCs w:val="12"/>
              </w:rPr>
              <w:t>$2,082</w:t>
            </w:r>
          </w:p>
        </w:tc>
        <w:tc>
          <w:tcPr>
            <w:tcW w:w="0" w:type="auto"/>
            <w:tcBorders>
              <w:top w:val="nil"/>
              <w:left w:val="nil"/>
              <w:bottom w:val="single" w:sz="4" w:space="0" w:color="auto"/>
              <w:right w:val="single" w:sz="4" w:space="0" w:color="auto"/>
            </w:tcBorders>
            <w:shd w:val="clear" w:color="auto" w:fill="auto"/>
            <w:vAlign w:val="center"/>
            <w:hideMark/>
          </w:tcPr>
          <w:p w14:paraId="4A41B3E1" w14:textId="77777777" w:rsidR="00572995" w:rsidRPr="00483EBE" w:rsidRDefault="00572995" w:rsidP="00E8324D">
            <w:pPr>
              <w:pStyle w:val="Tablas"/>
              <w:rPr>
                <w:sz w:val="12"/>
                <w:szCs w:val="12"/>
              </w:rPr>
            </w:pPr>
            <w:r w:rsidRPr="00483EBE">
              <w:rPr>
                <w:sz w:val="12"/>
                <w:szCs w:val="12"/>
              </w:rPr>
              <w:t>$174</w:t>
            </w:r>
          </w:p>
        </w:tc>
        <w:tc>
          <w:tcPr>
            <w:tcW w:w="0" w:type="auto"/>
            <w:tcBorders>
              <w:top w:val="nil"/>
              <w:left w:val="nil"/>
              <w:bottom w:val="single" w:sz="4" w:space="0" w:color="auto"/>
              <w:right w:val="single" w:sz="4" w:space="0" w:color="auto"/>
            </w:tcBorders>
            <w:shd w:val="clear" w:color="auto" w:fill="auto"/>
            <w:vAlign w:val="center"/>
            <w:hideMark/>
          </w:tcPr>
          <w:p w14:paraId="559E9B4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0B7B2C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2528124"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12311DCB"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0150B4D0" w14:textId="77777777" w:rsidR="00572995" w:rsidRPr="00483EBE" w:rsidRDefault="00572995" w:rsidP="00E8324D">
            <w:pPr>
              <w:pStyle w:val="Tablas"/>
              <w:rPr>
                <w:sz w:val="12"/>
                <w:szCs w:val="12"/>
              </w:rPr>
            </w:pPr>
            <w:r w:rsidRPr="00483EBE">
              <w:rPr>
                <w:sz w:val="12"/>
                <w:szCs w:val="12"/>
              </w:rPr>
              <w:t>$57,399</w:t>
            </w:r>
          </w:p>
        </w:tc>
        <w:tc>
          <w:tcPr>
            <w:tcW w:w="0" w:type="auto"/>
            <w:tcBorders>
              <w:top w:val="nil"/>
              <w:left w:val="nil"/>
              <w:bottom w:val="single" w:sz="4" w:space="0" w:color="auto"/>
              <w:right w:val="single" w:sz="4" w:space="0" w:color="auto"/>
            </w:tcBorders>
            <w:shd w:val="clear" w:color="auto" w:fill="auto"/>
            <w:vAlign w:val="center"/>
            <w:hideMark/>
          </w:tcPr>
          <w:p w14:paraId="10354EA8" w14:textId="77777777" w:rsidR="00572995" w:rsidRPr="00483EBE" w:rsidRDefault="00572995" w:rsidP="00E8324D">
            <w:pPr>
              <w:pStyle w:val="Tablas"/>
              <w:rPr>
                <w:sz w:val="12"/>
                <w:szCs w:val="12"/>
              </w:rPr>
            </w:pPr>
            <w:r w:rsidRPr="00483EBE">
              <w:rPr>
                <w:sz w:val="12"/>
                <w:szCs w:val="12"/>
              </w:rPr>
              <w:t>$2,050</w:t>
            </w:r>
          </w:p>
        </w:tc>
        <w:tc>
          <w:tcPr>
            <w:tcW w:w="0" w:type="auto"/>
            <w:tcBorders>
              <w:top w:val="nil"/>
              <w:left w:val="nil"/>
              <w:bottom w:val="single" w:sz="4" w:space="0" w:color="auto"/>
              <w:right w:val="single" w:sz="4" w:space="0" w:color="auto"/>
            </w:tcBorders>
            <w:shd w:val="clear" w:color="auto" w:fill="auto"/>
            <w:vAlign w:val="center"/>
            <w:hideMark/>
          </w:tcPr>
          <w:p w14:paraId="68173442" w14:textId="77777777" w:rsidR="00572995" w:rsidRPr="00483EBE" w:rsidRDefault="00572995" w:rsidP="00E8324D">
            <w:pPr>
              <w:pStyle w:val="Tablas"/>
              <w:rPr>
                <w:sz w:val="12"/>
                <w:szCs w:val="12"/>
              </w:rPr>
            </w:pPr>
            <w:r w:rsidRPr="00483EBE">
              <w:rPr>
                <w:sz w:val="12"/>
                <w:szCs w:val="12"/>
              </w:rPr>
              <w:t>$171</w:t>
            </w:r>
          </w:p>
        </w:tc>
        <w:tc>
          <w:tcPr>
            <w:tcW w:w="0" w:type="auto"/>
            <w:tcBorders>
              <w:top w:val="nil"/>
              <w:left w:val="nil"/>
              <w:bottom w:val="single" w:sz="4" w:space="0" w:color="auto"/>
              <w:right w:val="single" w:sz="4" w:space="0" w:color="auto"/>
            </w:tcBorders>
            <w:shd w:val="clear" w:color="auto" w:fill="auto"/>
            <w:vAlign w:val="center"/>
            <w:hideMark/>
          </w:tcPr>
          <w:p w14:paraId="5D3CBA4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DC32655" w14:textId="77777777" w:rsidR="00572995" w:rsidRPr="00483EBE" w:rsidRDefault="00572995" w:rsidP="00E8324D">
            <w:pPr>
              <w:pStyle w:val="Tablas"/>
              <w:rPr>
                <w:sz w:val="12"/>
                <w:szCs w:val="12"/>
              </w:rPr>
            </w:pPr>
            <w:r w:rsidRPr="00483EBE">
              <w:rPr>
                <w:sz w:val="12"/>
                <w:szCs w:val="12"/>
              </w:rPr>
              <w:t>SEBD</w:t>
            </w:r>
          </w:p>
        </w:tc>
      </w:tr>
      <w:tr w:rsidR="00572995" w:rsidRPr="00483EBE" w14:paraId="599BC1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BBC203"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110EE714"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03C392A8" w14:textId="77777777" w:rsidR="00572995" w:rsidRPr="00483EBE" w:rsidRDefault="00572995" w:rsidP="00E8324D">
            <w:pPr>
              <w:pStyle w:val="Tablas"/>
              <w:rPr>
                <w:sz w:val="12"/>
                <w:szCs w:val="12"/>
              </w:rPr>
            </w:pPr>
            <w:r w:rsidRPr="00483EBE">
              <w:rPr>
                <w:sz w:val="12"/>
                <w:szCs w:val="12"/>
              </w:rPr>
              <w:t>$14,075</w:t>
            </w:r>
          </w:p>
        </w:tc>
        <w:tc>
          <w:tcPr>
            <w:tcW w:w="0" w:type="auto"/>
            <w:tcBorders>
              <w:top w:val="nil"/>
              <w:left w:val="nil"/>
              <w:bottom w:val="single" w:sz="4" w:space="0" w:color="auto"/>
              <w:right w:val="single" w:sz="4" w:space="0" w:color="auto"/>
            </w:tcBorders>
            <w:shd w:val="clear" w:color="auto" w:fill="auto"/>
            <w:vAlign w:val="center"/>
            <w:hideMark/>
          </w:tcPr>
          <w:p w14:paraId="00DDE6D7" w14:textId="77777777" w:rsidR="00572995" w:rsidRPr="00483EBE" w:rsidRDefault="00572995" w:rsidP="00E8324D">
            <w:pPr>
              <w:pStyle w:val="Tablas"/>
              <w:rPr>
                <w:sz w:val="12"/>
                <w:szCs w:val="12"/>
              </w:rPr>
            </w:pPr>
            <w:r w:rsidRPr="00483EBE">
              <w:rPr>
                <w:sz w:val="12"/>
                <w:szCs w:val="12"/>
              </w:rPr>
              <w:t>$2,011</w:t>
            </w:r>
          </w:p>
        </w:tc>
        <w:tc>
          <w:tcPr>
            <w:tcW w:w="0" w:type="auto"/>
            <w:tcBorders>
              <w:top w:val="nil"/>
              <w:left w:val="nil"/>
              <w:bottom w:val="single" w:sz="4" w:space="0" w:color="auto"/>
              <w:right w:val="single" w:sz="4" w:space="0" w:color="auto"/>
            </w:tcBorders>
            <w:shd w:val="clear" w:color="auto" w:fill="auto"/>
            <w:vAlign w:val="center"/>
            <w:hideMark/>
          </w:tcPr>
          <w:p w14:paraId="5BED753C" w14:textId="77777777" w:rsidR="00572995" w:rsidRPr="00483EBE" w:rsidRDefault="00572995" w:rsidP="00E8324D">
            <w:pPr>
              <w:pStyle w:val="Tablas"/>
              <w:rPr>
                <w:sz w:val="12"/>
                <w:szCs w:val="12"/>
              </w:rPr>
            </w:pPr>
            <w:r w:rsidRPr="00483EBE">
              <w:rPr>
                <w:sz w:val="12"/>
                <w:szCs w:val="12"/>
              </w:rPr>
              <w:t>$168</w:t>
            </w:r>
          </w:p>
        </w:tc>
        <w:tc>
          <w:tcPr>
            <w:tcW w:w="0" w:type="auto"/>
            <w:tcBorders>
              <w:top w:val="nil"/>
              <w:left w:val="nil"/>
              <w:bottom w:val="single" w:sz="4" w:space="0" w:color="auto"/>
              <w:right w:val="single" w:sz="4" w:space="0" w:color="auto"/>
            </w:tcBorders>
            <w:shd w:val="clear" w:color="auto" w:fill="auto"/>
            <w:vAlign w:val="center"/>
            <w:hideMark/>
          </w:tcPr>
          <w:p w14:paraId="3FB7624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94311A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D09A3F7"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15E4024A"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67389644" w14:textId="77777777" w:rsidR="00572995" w:rsidRPr="00483EBE" w:rsidRDefault="00572995" w:rsidP="00E8324D">
            <w:pPr>
              <w:pStyle w:val="Tablas"/>
              <w:rPr>
                <w:sz w:val="12"/>
                <w:szCs w:val="12"/>
              </w:rPr>
            </w:pPr>
            <w:r w:rsidRPr="00483EBE">
              <w:rPr>
                <w:sz w:val="12"/>
                <w:szCs w:val="12"/>
              </w:rPr>
              <w:t>$45,407</w:t>
            </w:r>
          </w:p>
        </w:tc>
        <w:tc>
          <w:tcPr>
            <w:tcW w:w="0" w:type="auto"/>
            <w:tcBorders>
              <w:top w:val="nil"/>
              <w:left w:val="nil"/>
              <w:bottom w:val="single" w:sz="4" w:space="0" w:color="auto"/>
              <w:right w:val="single" w:sz="4" w:space="0" w:color="auto"/>
            </w:tcBorders>
            <w:shd w:val="clear" w:color="auto" w:fill="auto"/>
            <w:vAlign w:val="center"/>
            <w:hideMark/>
          </w:tcPr>
          <w:p w14:paraId="00E99030" w14:textId="77777777" w:rsidR="00572995" w:rsidRPr="00483EBE" w:rsidRDefault="00572995" w:rsidP="00E8324D">
            <w:pPr>
              <w:pStyle w:val="Tablas"/>
              <w:rPr>
                <w:sz w:val="12"/>
                <w:szCs w:val="12"/>
              </w:rPr>
            </w:pPr>
            <w:r w:rsidRPr="00483EBE">
              <w:rPr>
                <w:sz w:val="12"/>
                <w:szCs w:val="12"/>
              </w:rPr>
              <w:t>$2,671</w:t>
            </w:r>
          </w:p>
        </w:tc>
        <w:tc>
          <w:tcPr>
            <w:tcW w:w="0" w:type="auto"/>
            <w:tcBorders>
              <w:top w:val="nil"/>
              <w:left w:val="nil"/>
              <w:bottom w:val="single" w:sz="4" w:space="0" w:color="auto"/>
              <w:right w:val="single" w:sz="4" w:space="0" w:color="auto"/>
            </w:tcBorders>
            <w:shd w:val="clear" w:color="auto" w:fill="auto"/>
            <w:vAlign w:val="center"/>
            <w:hideMark/>
          </w:tcPr>
          <w:p w14:paraId="1B4D40FB" w14:textId="77777777" w:rsidR="00572995" w:rsidRPr="00483EBE" w:rsidRDefault="00572995" w:rsidP="00E8324D">
            <w:pPr>
              <w:pStyle w:val="Tablas"/>
              <w:rPr>
                <w:sz w:val="12"/>
                <w:szCs w:val="12"/>
              </w:rPr>
            </w:pPr>
            <w:r w:rsidRPr="00483EBE">
              <w:rPr>
                <w:sz w:val="12"/>
                <w:szCs w:val="12"/>
              </w:rPr>
              <w:t>$223</w:t>
            </w:r>
          </w:p>
        </w:tc>
        <w:tc>
          <w:tcPr>
            <w:tcW w:w="0" w:type="auto"/>
            <w:tcBorders>
              <w:top w:val="nil"/>
              <w:left w:val="nil"/>
              <w:bottom w:val="single" w:sz="4" w:space="0" w:color="auto"/>
              <w:right w:val="single" w:sz="4" w:space="0" w:color="auto"/>
            </w:tcBorders>
            <w:shd w:val="clear" w:color="auto" w:fill="auto"/>
            <w:vAlign w:val="center"/>
            <w:hideMark/>
          </w:tcPr>
          <w:p w14:paraId="7DC291D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C627E80" w14:textId="77777777" w:rsidR="00572995" w:rsidRPr="00483EBE" w:rsidRDefault="00572995" w:rsidP="00E8324D">
            <w:pPr>
              <w:pStyle w:val="Tablas"/>
              <w:rPr>
                <w:sz w:val="12"/>
                <w:szCs w:val="12"/>
              </w:rPr>
            </w:pPr>
            <w:r w:rsidRPr="00483EBE">
              <w:rPr>
                <w:sz w:val="12"/>
                <w:szCs w:val="12"/>
              </w:rPr>
              <w:t>SEBD</w:t>
            </w:r>
          </w:p>
        </w:tc>
      </w:tr>
      <w:tr w:rsidR="00572995" w:rsidRPr="00483EBE" w14:paraId="562E6A4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748084C"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317329A5"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A117735" w14:textId="77777777" w:rsidR="00572995" w:rsidRPr="00483EBE" w:rsidRDefault="00572995" w:rsidP="00E8324D">
            <w:pPr>
              <w:pStyle w:val="Tablas"/>
              <w:rPr>
                <w:sz w:val="12"/>
                <w:szCs w:val="12"/>
              </w:rPr>
            </w:pPr>
            <w:r w:rsidRPr="00483EBE">
              <w:rPr>
                <w:sz w:val="12"/>
                <w:szCs w:val="12"/>
              </w:rPr>
              <w:t>$10,979</w:t>
            </w:r>
          </w:p>
        </w:tc>
        <w:tc>
          <w:tcPr>
            <w:tcW w:w="0" w:type="auto"/>
            <w:tcBorders>
              <w:top w:val="nil"/>
              <w:left w:val="nil"/>
              <w:bottom w:val="single" w:sz="4" w:space="0" w:color="auto"/>
              <w:right w:val="single" w:sz="4" w:space="0" w:color="auto"/>
            </w:tcBorders>
            <w:shd w:val="clear" w:color="auto" w:fill="auto"/>
            <w:vAlign w:val="center"/>
            <w:hideMark/>
          </w:tcPr>
          <w:p w14:paraId="7B17050A" w14:textId="77777777" w:rsidR="00572995" w:rsidRPr="00483EBE" w:rsidRDefault="00572995" w:rsidP="00E8324D">
            <w:pPr>
              <w:pStyle w:val="Tablas"/>
              <w:rPr>
                <w:sz w:val="12"/>
                <w:szCs w:val="12"/>
              </w:rPr>
            </w:pPr>
            <w:r w:rsidRPr="00483EBE">
              <w:rPr>
                <w:sz w:val="12"/>
                <w:szCs w:val="12"/>
              </w:rPr>
              <w:t>$2,196</w:t>
            </w:r>
          </w:p>
        </w:tc>
        <w:tc>
          <w:tcPr>
            <w:tcW w:w="0" w:type="auto"/>
            <w:tcBorders>
              <w:top w:val="nil"/>
              <w:left w:val="nil"/>
              <w:bottom w:val="single" w:sz="4" w:space="0" w:color="auto"/>
              <w:right w:val="single" w:sz="4" w:space="0" w:color="auto"/>
            </w:tcBorders>
            <w:shd w:val="clear" w:color="auto" w:fill="auto"/>
            <w:vAlign w:val="center"/>
            <w:hideMark/>
          </w:tcPr>
          <w:p w14:paraId="3D295A34" w14:textId="77777777" w:rsidR="00572995" w:rsidRPr="00483EBE" w:rsidRDefault="00572995" w:rsidP="00E8324D">
            <w:pPr>
              <w:pStyle w:val="Tablas"/>
              <w:rPr>
                <w:sz w:val="12"/>
                <w:szCs w:val="12"/>
              </w:rPr>
            </w:pPr>
            <w:r w:rsidRPr="00483EBE">
              <w:rPr>
                <w:sz w:val="12"/>
                <w:szCs w:val="12"/>
              </w:rPr>
              <w:t>$183</w:t>
            </w:r>
          </w:p>
        </w:tc>
        <w:tc>
          <w:tcPr>
            <w:tcW w:w="0" w:type="auto"/>
            <w:tcBorders>
              <w:top w:val="nil"/>
              <w:left w:val="nil"/>
              <w:bottom w:val="single" w:sz="4" w:space="0" w:color="auto"/>
              <w:right w:val="single" w:sz="4" w:space="0" w:color="auto"/>
            </w:tcBorders>
            <w:shd w:val="clear" w:color="auto" w:fill="auto"/>
            <w:vAlign w:val="center"/>
            <w:hideMark/>
          </w:tcPr>
          <w:p w14:paraId="7676433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1FEB73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3C82947"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00E45047"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51E87235" w14:textId="77777777" w:rsidR="00572995" w:rsidRPr="00483EBE" w:rsidRDefault="00572995" w:rsidP="00E8324D">
            <w:pPr>
              <w:pStyle w:val="Tablas"/>
              <w:rPr>
                <w:sz w:val="12"/>
                <w:szCs w:val="12"/>
              </w:rPr>
            </w:pPr>
            <w:r w:rsidRPr="00483EBE">
              <w:rPr>
                <w:sz w:val="12"/>
                <w:szCs w:val="12"/>
              </w:rPr>
              <w:t>$28,849</w:t>
            </w:r>
          </w:p>
        </w:tc>
        <w:tc>
          <w:tcPr>
            <w:tcW w:w="0" w:type="auto"/>
            <w:tcBorders>
              <w:top w:val="nil"/>
              <w:left w:val="nil"/>
              <w:bottom w:val="single" w:sz="4" w:space="0" w:color="auto"/>
              <w:right w:val="single" w:sz="4" w:space="0" w:color="auto"/>
            </w:tcBorders>
            <w:shd w:val="clear" w:color="auto" w:fill="auto"/>
            <w:vAlign w:val="center"/>
            <w:hideMark/>
          </w:tcPr>
          <w:p w14:paraId="5D7240DB" w14:textId="77777777" w:rsidR="00572995" w:rsidRPr="00483EBE" w:rsidRDefault="00572995" w:rsidP="00E8324D">
            <w:pPr>
              <w:pStyle w:val="Tablas"/>
              <w:rPr>
                <w:sz w:val="12"/>
                <w:szCs w:val="12"/>
              </w:rPr>
            </w:pPr>
            <w:r w:rsidRPr="00483EBE">
              <w:rPr>
                <w:sz w:val="12"/>
                <w:szCs w:val="12"/>
              </w:rPr>
              <w:t>$1,697</w:t>
            </w:r>
          </w:p>
        </w:tc>
        <w:tc>
          <w:tcPr>
            <w:tcW w:w="0" w:type="auto"/>
            <w:tcBorders>
              <w:top w:val="nil"/>
              <w:left w:val="nil"/>
              <w:bottom w:val="single" w:sz="4" w:space="0" w:color="auto"/>
              <w:right w:val="single" w:sz="4" w:space="0" w:color="auto"/>
            </w:tcBorders>
            <w:shd w:val="clear" w:color="auto" w:fill="auto"/>
            <w:vAlign w:val="center"/>
            <w:hideMark/>
          </w:tcPr>
          <w:p w14:paraId="032F028E" w14:textId="77777777" w:rsidR="00572995" w:rsidRPr="00483EBE" w:rsidRDefault="00572995" w:rsidP="00E8324D">
            <w:pPr>
              <w:pStyle w:val="Tablas"/>
              <w:rPr>
                <w:sz w:val="12"/>
                <w:szCs w:val="12"/>
              </w:rPr>
            </w:pPr>
            <w:r w:rsidRPr="00483EBE">
              <w:rPr>
                <w:sz w:val="12"/>
                <w:szCs w:val="12"/>
              </w:rPr>
              <w:t>$141</w:t>
            </w:r>
          </w:p>
        </w:tc>
        <w:tc>
          <w:tcPr>
            <w:tcW w:w="0" w:type="auto"/>
            <w:tcBorders>
              <w:top w:val="nil"/>
              <w:left w:val="nil"/>
              <w:bottom w:val="single" w:sz="4" w:space="0" w:color="auto"/>
              <w:right w:val="single" w:sz="4" w:space="0" w:color="auto"/>
            </w:tcBorders>
            <w:shd w:val="clear" w:color="auto" w:fill="auto"/>
            <w:vAlign w:val="center"/>
            <w:hideMark/>
          </w:tcPr>
          <w:p w14:paraId="3D81B1C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38D7E2E" w14:textId="77777777" w:rsidR="00572995" w:rsidRPr="00483EBE" w:rsidRDefault="00572995" w:rsidP="00E8324D">
            <w:pPr>
              <w:pStyle w:val="Tablas"/>
              <w:rPr>
                <w:sz w:val="12"/>
                <w:szCs w:val="12"/>
              </w:rPr>
            </w:pPr>
            <w:r w:rsidRPr="00483EBE">
              <w:rPr>
                <w:sz w:val="12"/>
                <w:szCs w:val="12"/>
              </w:rPr>
              <w:t>SEBD</w:t>
            </w:r>
          </w:p>
        </w:tc>
      </w:tr>
      <w:tr w:rsidR="00572995" w:rsidRPr="00483EBE" w14:paraId="1D9E32F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AEF44A"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4BDE88F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339032F" w14:textId="77777777" w:rsidR="00572995" w:rsidRPr="00483EBE" w:rsidRDefault="00572995" w:rsidP="00E8324D">
            <w:pPr>
              <w:pStyle w:val="Tablas"/>
              <w:rPr>
                <w:sz w:val="12"/>
                <w:szCs w:val="12"/>
              </w:rPr>
            </w:pPr>
            <w:r w:rsidRPr="00483EBE">
              <w:rPr>
                <w:sz w:val="12"/>
                <w:szCs w:val="12"/>
              </w:rPr>
              <w:t>$2,984</w:t>
            </w:r>
          </w:p>
        </w:tc>
        <w:tc>
          <w:tcPr>
            <w:tcW w:w="0" w:type="auto"/>
            <w:tcBorders>
              <w:top w:val="nil"/>
              <w:left w:val="nil"/>
              <w:bottom w:val="single" w:sz="4" w:space="0" w:color="auto"/>
              <w:right w:val="single" w:sz="4" w:space="0" w:color="auto"/>
            </w:tcBorders>
            <w:shd w:val="clear" w:color="auto" w:fill="auto"/>
            <w:vAlign w:val="center"/>
            <w:hideMark/>
          </w:tcPr>
          <w:p w14:paraId="2D3BF64C" w14:textId="77777777" w:rsidR="00572995" w:rsidRPr="00483EBE" w:rsidRDefault="00572995" w:rsidP="00E8324D">
            <w:pPr>
              <w:pStyle w:val="Tablas"/>
              <w:rPr>
                <w:sz w:val="12"/>
                <w:szCs w:val="12"/>
              </w:rPr>
            </w:pPr>
            <w:r w:rsidRPr="00483EBE">
              <w:rPr>
                <w:sz w:val="12"/>
                <w:szCs w:val="12"/>
              </w:rPr>
              <w:t>$1,492</w:t>
            </w:r>
          </w:p>
        </w:tc>
        <w:tc>
          <w:tcPr>
            <w:tcW w:w="0" w:type="auto"/>
            <w:tcBorders>
              <w:top w:val="nil"/>
              <w:left w:val="nil"/>
              <w:bottom w:val="single" w:sz="4" w:space="0" w:color="auto"/>
              <w:right w:val="single" w:sz="4" w:space="0" w:color="auto"/>
            </w:tcBorders>
            <w:shd w:val="clear" w:color="auto" w:fill="auto"/>
            <w:vAlign w:val="center"/>
            <w:hideMark/>
          </w:tcPr>
          <w:p w14:paraId="70647B60" w14:textId="77777777" w:rsidR="00572995" w:rsidRPr="00483EBE" w:rsidRDefault="00572995" w:rsidP="00E8324D">
            <w:pPr>
              <w:pStyle w:val="Tablas"/>
              <w:rPr>
                <w:sz w:val="12"/>
                <w:szCs w:val="12"/>
              </w:rPr>
            </w:pPr>
            <w:r w:rsidRPr="00483EBE">
              <w:rPr>
                <w:sz w:val="12"/>
                <w:szCs w:val="12"/>
              </w:rPr>
              <w:t>$124</w:t>
            </w:r>
          </w:p>
        </w:tc>
        <w:tc>
          <w:tcPr>
            <w:tcW w:w="0" w:type="auto"/>
            <w:tcBorders>
              <w:top w:val="nil"/>
              <w:left w:val="nil"/>
              <w:bottom w:val="single" w:sz="4" w:space="0" w:color="auto"/>
              <w:right w:val="single" w:sz="4" w:space="0" w:color="auto"/>
            </w:tcBorders>
            <w:shd w:val="clear" w:color="auto" w:fill="auto"/>
            <w:vAlign w:val="center"/>
            <w:hideMark/>
          </w:tcPr>
          <w:p w14:paraId="59DE13C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7AA781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CEC5CE"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14873E70"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237316EC" w14:textId="77777777" w:rsidR="00572995" w:rsidRPr="00483EBE" w:rsidRDefault="00572995" w:rsidP="00E8324D">
            <w:pPr>
              <w:pStyle w:val="Tablas"/>
              <w:rPr>
                <w:sz w:val="12"/>
                <w:szCs w:val="12"/>
              </w:rPr>
            </w:pPr>
            <w:r w:rsidRPr="00483EBE">
              <w:rPr>
                <w:sz w:val="12"/>
                <w:szCs w:val="12"/>
              </w:rPr>
              <w:t>$19,033</w:t>
            </w:r>
          </w:p>
        </w:tc>
        <w:tc>
          <w:tcPr>
            <w:tcW w:w="0" w:type="auto"/>
            <w:tcBorders>
              <w:top w:val="nil"/>
              <w:left w:val="nil"/>
              <w:bottom w:val="single" w:sz="4" w:space="0" w:color="auto"/>
              <w:right w:val="single" w:sz="4" w:space="0" w:color="auto"/>
            </w:tcBorders>
            <w:shd w:val="clear" w:color="auto" w:fill="auto"/>
            <w:vAlign w:val="center"/>
            <w:hideMark/>
          </w:tcPr>
          <w:p w14:paraId="1143131C" w14:textId="77777777" w:rsidR="00572995" w:rsidRPr="00483EBE" w:rsidRDefault="00572995" w:rsidP="00E8324D">
            <w:pPr>
              <w:pStyle w:val="Tablas"/>
              <w:rPr>
                <w:sz w:val="12"/>
                <w:szCs w:val="12"/>
              </w:rPr>
            </w:pPr>
            <w:r w:rsidRPr="00483EBE">
              <w:rPr>
                <w:sz w:val="12"/>
                <w:szCs w:val="12"/>
              </w:rPr>
              <w:t>$1,903</w:t>
            </w:r>
          </w:p>
        </w:tc>
        <w:tc>
          <w:tcPr>
            <w:tcW w:w="0" w:type="auto"/>
            <w:tcBorders>
              <w:top w:val="nil"/>
              <w:left w:val="nil"/>
              <w:bottom w:val="single" w:sz="4" w:space="0" w:color="auto"/>
              <w:right w:val="single" w:sz="4" w:space="0" w:color="auto"/>
            </w:tcBorders>
            <w:shd w:val="clear" w:color="auto" w:fill="auto"/>
            <w:vAlign w:val="center"/>
            <w:hideMark/>
          </w:tcPr>
          <w:p w14:paraId="5540D590" w14:textId="77777777" w:rsidR="00572995" w:rsidRPr="00483EBE" w:rsidRDefault="00572995" w:rsidP="00E8324D">
            <w:pPr>
              <w:pStyle w:val="Tablas"/>
              <w:rPr>
                <w:sz w:val="12"/>
                <w:szCs w:val="12"/>
              </w:rPr>
            </w:pPr>
            <w:r w:rsidRPr="00483EBE">
              <w:rPr>
                <w:sz w:val="12"/>
                <w:szCs w:val="12"/>
              </w:rPr>
              <w:t>$159</w:t>
            </w:r>
          </w:p>
        </w:tc>
        <w:tc>
          <w:tcPr>
            <w:tcW w:w="0" w:type="auto"/>
            <w:tcBorders>
              <w:top w:val="nil"/>
              <w:left w:val="nil"/>
              <w:bottom w:val="single" w:sz="4" w:space="0" w:color="auto"/>
              <w:right w:val="single" w:sz="4" w:space="0" w:color="auto"/>
            </w:tcBorders>
            <w:shd w:val="clear" w:color="auto" w:fill="auto"/>
            <w:vAlign w:val="center"/>
            <w:hideMark/>
          </w:tcPr>
          <w:p w14:paraId="334DDE9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D610233" w14:textId="77777777" w:rsidR="00572995" w:rsidRPr="00483EBE" w:rsidRDefault="00572995" w:rsidP="00E8324D">
            <w:pPr>
              <w:pStyle w:val="Tablas"/>
              <w:rPr>
                <w:sz w:val="12"/>
                <w:szCs w:val="12"/>
              </w:rPr>
            </w:pPr>
            <w:r w:rsidRPr="00483EBE">
              <w:rPr>
                <w:sz w:val="12"/>
                <w:szCs w:val="12"/>
              </w:rPr>
              <w:t>SEBD</w:t>
            </w:r>
          </w:p>
        </w:tc>
      </w:tr>
      <w:tr w:rsidR="00572995" w:rsidRPr="00483EBE" w14:paraId="0BE0313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164921"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47006C8D"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65136D5" w14:textId="77777777" w:rsidR="00572995" w:rsidRPr="00483EBE" w:rsidRDefault="00572995" w:rsidP="00E8324D">
            <w:pPr>
              <w:pStyle w:val="Tablas"/>
              <w:rPr>
                <w:sz w:val="12"/>
                <w:szCs w:val="12"/>
              </w:rPr>
            </w:pPr>
            <w:r w:rsidRPr="00483EBE">
              <w:rPr>
                <w:sz w:val="12"/>
                <w:szCs w:val="12"/>
              </w:rPr>
              <w:t>$4,954</w:t>
            </w:r>
          </w:p>
        </w:tc>
        <w:tc>
          <w:tcPr>
            <w:tcW w:w="0" w:type="auto"/>
            <w:tcBorders>
              <w:top w:val="nil"/>
              <w:left w:val="nil"/>
              <w:bottom w:val="single" w:sz="4" w:space="0" w:color="auto"/>
              <w:right w:val="single" w:sz="4" w:space="0" w:color="auto"/>
            </w:tcBorders>
            <w:shd w:val="clear" w:color="auto" w:fill="auto"/>
            <w:vAlign w:val="center"/>
            <w:hideMark/>
          </w:tcPr>
          <w:p w14:paraId="24B192E0" w14:textId="77777777" w:rsidR="00572995" w:rsidRPr="00483EBE" w:rsidRDefault="00572995" w:rsidP="00E8324D">
            <w:pPr>
              <w:pStyle w:val="Tablas"/>
              <w:rPr>
                <w:sz w:val="12"/>
                <w:szCs w:val="12"/>
              </w:rPr>
            </w:pPr>
            <w:r w:rsidRPr="00483EBE">
              <w:rPr>
                <w:sz w:val="12"/>
                <w:szCs w:val="12"/>
              </w:rPr>
              <w:t>$2,477</w:t>
            </w:r>
          </w:p>
        </w:tc>
        <w:tc>
          <w:tcPr>
            <w:tcW w:w="0" w:type="auto"/>
            <w:tcBorders>
              <w:top w:val="nil"/>
              <w:left w:val="nil"/>
              <w:bottom w:val="single" w:sz="4" w:space="0" w:color="auto"/>
              <w:right w:val="single" w:sz="4" w:space="0" w:color="auto"/>
            </w:tcBorders>
            <w:shd w:val="clear" w:color="auto" w:fill="auto"/>
            <w:vAlign w:val="center"/>
            <w:hideMark/>
          </w:tcPr>
          <w:p w14:paraId="4B5C5AD7" w14:textId="77777777" w:rsidR="00572995" w:rsidRPr="00483EBE" w:rsidRDefault="00572995" w:rsidP="00E8324D">
            <w:pPr>
              <w:pStyle w:val="Tablas"/>
              <w:rPr>
                <w:sz w:val="12"/>
                <w:szCs w:val="12"/>
              </w:rPr>
            </w:pPr>
            <w:r w:rsidRPr="00483EBE">
              <w:rPr>
                <w:sz w:val="12"/>
                <w:szCs w:val="12"/>
              </w:rPr>
              <w:t>$206</w:t>
            </w:r>
          </w:p>
        </w:tc>
        <w:tc>
          <w:tcPr>
            <w:tcW w:w="0" w:type="auto"/>
            <w:tcBorders>
              <w:top w:val="nil"/>
              <w:left w:val="nil"/>
              <w:bottom w:val="single" w:sz="4" w:space="0" w:color="auto"/>
              <w:right w:val="single" w:sz="4" w:space="0" w:color="auto"/>
            </w:tcBorders>
            <w:shd w:val="clear" w:color="auto" w:fill="auto"/>
            <w:vAlign w:val="center"/>
            <w:hideMark/>
          </w:tcPr>
          <w:p w14:paraId="3115BE2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A2D968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F5364D"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730FFB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DCEDDDC" w14:textId="77777777" w:rsidR="00572995" w:rsidRPr="00483EBE" w:rsidRDefault="00572995" w:rsidP="00E8324D">
            <w:pPr>
              <w:pStyle w:val="Tablas"/>
              <w:rPr>
                <w:sz w:val="12"/>
                <w:szCs w:val="12"/>
              </w:rPr>
            </w:pPr>
            <w:r w:rsidRPr="00483EBE">
              <w:rPr>
                <w:sz w:val="12"/>
                <w:szCs w:val="12"/>
              </w:rPr>
              <w:t>$16,999</w:t>
            </w:r>
          </w:p>
        </w:tc>
        <w:tc>
          <w:tcPr>
            <w:tcW w:w="0" w:type="auto"/>
            <w:tcBorders>
              <w:top w:val="nil"/>
              <w:left w:val="nil"/>
              <w:bottom w:val="single" w:sz="4" w:space="0" w:color="auto"/>
              <w:right w:val="single" w:sz="4" w:space="0" w:color="auto"/>
            </w:tcBorders>
            <w:shd w:val="clear" w:color="auto" w:fill="auto"/>
            <w:vAlign w:val="center"/>
            <w:hideMark/>
          </w:tcPr>
          <w:p w14:paraId="2421F440" w14:textId="77777777" w:rsidR="00572995" w:rsidRPr="00483EBE" w:rsidRDefault="00572995" w:rsidP="00E8324D">
            <w:pPr>
              <w:pStyle w:val="Tablas"/>
              <w:rPr>
                <w:sz w:val="12"/>
                <w:szCs w:val="12"/>
              </w:rPr>
            </w:pPr>
            <w:r w:rsidRPr="00483EBE">
              <w:rPr>
                <w:sz w:val="12"/>
                <w:szCs w:val="12"/>
              </w:rPr>
              <w:t>$1,889</w:t>
            </w:r>
          </w:p>
        </w:tc>
        <w:tc>
          <w:tcPr>
            <w:tcW w:w="0" w:type="auto"/>
            <w:tcBorders>
              <w:top w:val="nil"/>
              <w:left w:val="nil"/>
              <w:bottom w:val="single" w:sz="4" w:space="0" w:color="auto"/>
              <w:right w:val="single" w:sz="4" w:space="0" w:color="auto"/>
            </w:tcBorders>
            <w:shd w:val="clear" w:color="auto" w:fill="auto"/>
            <w:vAlign w:val="center"/>
            <w:hideMark/>
          </w:tcPr>
          <w:p w14:paraId="45A3FEFC" w14:textId="77777777" w:rsidR="00572995" w:rsidRPr="00483EBE" w:rsidRDefault="00572995" w:rsidP="00E8324D">
            <w:pPr>
              <w:pStyle w:val="Tablas"/>
              <w:rPr>
                <w:sz w:val="12"/>
                <w:szCs w:val="12"/>
              </w:rPr>
            </w:pPr>
            <w:r w:rsidRPr="00483EBE">
              <w:rPr>
                <w:sz w:val="12"/>
                <w:szCs w:val="12"/>
              </w:rPr>
              <w:t>$157</w:t>
            </w:r>
          </w:p>
        </w:tc>
        <w:tc>
          <w:tcPr>
            <w:tcW w:w="0" w:type="auto"/>
            <w:tcBorders>
              <w:top w:val="nil"/>
              <w:left w:val="nil"/>
              <w:bottom w:val="single" w:sz="4" w:space="0" w:color="auto"/>
              <w:right w:val="single" w:sz="4" w:space="0" w:color="auto"/>
            </w:tcBorders>
            <w:shd w:val="clear" w:color="auto" w:fill="auto"/>
            <w:vAlign w:val="center"/>
            <w:hideMark/>
          </w:tcPr>
          <w:p w14:paraId="3F79EB2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3401130" w14:textId="77777777" w:rsidR="00572995" w:rsidRPr="00483EBE" w:rsidRDefault="00572995" w:rsidP="00E8324D">
            <w:pPr>
              <w:pStyle w:val="Tablas"/>
              <w:rPr>
                <w:sz w:val="12"/>
                <w:szCs w:val="12"/>
              </w:rPr>
            </w:pPr>
            <w:r w:rsidRPr="00483EBE">
              <w:rPr>
                <w:sz w:val="12"/>
                <w:szCs w:val="12"/>
              </w:rPr>
              <w:t>SEBD</w:t>
            </w:r>
          </w:p>
        </w:tc>
      </w:tr>
      <w:tr w:rsidR="00572995" w:rsidRPr="00483EBE" w14:paraId="1B2F50B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2CD999F"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148B45E7"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E0559ED" w14:textId="77777777" w:rsidR="00572995" w:rsidRPr="00483EBE" w:rsidRDefault="00572995" w:rsidP="00E8324D">
            <w:pPr>
              <w:pStyle w:val="Tablas"/>
              <w:rPr>
                <w:sz w:val="12"/>
                <w:szCs w:val="12"/>
              </w:rPr>
            </w:pPr>
            <w:r w:rsidRPr="00483EBE">
              <w:rPr>
                <w:sz w:val="12"/>
                <w:szCs w:val="12"/>
              </w:rPr>
              <w:t>$2,820</w:t>
            </w:r>
          </w:p>
        </w:tc>
        <w:tc>
          <w:tcPr>
            <w:tcW w:w="0" w:type="auto"/>
            <w:tcBorders>
              <w:top w:val="nil"/>
              <w:left w:val="nil"/>
              <w:bottom w:val="single" w:sz="4" w:space="0" w:color="auto"/>
              <w:right w:val="single" w:sz="4" w:space="0" w:color="auto"/>
            </w:tcBorders>
            <w:shd w:val="clear" w:color="auto" w:fill="auto"/>
            <w:vAlign w:val="center"/>
            <w:hideMark/>
          </w:tcPr>
          <w:p w14:paraId="6E57BCF9"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36F9A188"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21B6A8A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771357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D1CB015"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09BE2BA"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5755F640" w14:textId="77777777" w:rsidR="00572995" w:rsidRPr="00483EBE" w:rsidRDefault="00572995" w:rsidP="00E8324D">
            <w:pPr>
              <w:pStyle w:val="Tablas"/>
              <w:rPr>
                <w:sz w:val="12"/>
                <w:szCs w:val="12"/>
              </w:rPr>
            </w:pPr>
            <w:r w:rsidRPr="00483EBE">
              <w:rPr>
                <w:sz w:val="12"/>
                <w:szCs w:val="12"/>
              </w:rPr>
              <w:t>$12,966</w:t>
            </w:r>
          </w:p>
        </w:tc>
        <w:tc>
          <w:tcPr>
            <w:tcW w:w="0" w:type="auto"/>
            <w:tcBorders>
              <w:top w:val="nil"/>
              <w:left w:val="nil"/>
              <w:bottom w:val="single" w:sz="4" w:space="0" w:color="auto"/>
              <w:right w:val="single" w:sz="4" w:space="0" w:color="auto"/>
            </w:tcBorders>
            <w:shd w:val="clear" w:color="auto" w:fill="auto"/>
            <w:vAlign w:val="center"/>
            <w:hideMark/>
          </w:tcPr>
          <w:p w14:paraId="17D4D8AF" w14:textId="77777777" w:rsidR="00572995" w:rsidRPr="00483EBE" w:rsidRDefault="00572995" w:rsidP="00E8324D">
            <w:pPr>
              <w:pStyle w:val="Tablas"/>
              <w:rPr>
                <w:sz w:val="12"/>
                <w:szCs w:val="12"/>
              </w:rPr>
            </w:pPr>
            <w:r w:rsidRPr="00483EBE">
              <w:rPr>
                <w:sz w:val="12"/>
                <w:szCs w:val="12"/>
              </w:rPr>
              <w:t>$2,593</w:t>
            </w:r>
          </w:p>
        </w:tc>
        <w:tc>
          <w:tcPr>
            <w:tcW w:w="0" w:type="auto"/>
            <w:tcBorders>
              <w:top w:val="nil"/>
              <w:left w:val="nil"/>
              <w:bottom w:val="single" w:sz="4" w:space="0" w:color="auto"/>
              <w:right w:val="single" w:sz="4" w:space="0" w:color="auto"/>
            </w:tcBorders>
            <w:shd w:val="clear" w:color="auto" w:fill="auto"/>
            <w:vAlign w:val="center"/>
            <w:hideMark/>
          </w:tcPr>
          <w:p w14:paraId="5B896679" w14:textId="77777777" w:rsidR="00572995" w:rsidRPr="00483EBE" w:rsidRDefault="00572995" w:rsidP="00E8324D">
            <w:pPr>
              <w:pStyle w:val="Tablas"/>
              <w:rPr>
                <w:sz w:val="12"/>
                <w:szCs w:val="12"/>
              </w:rPr>
            </w:pPr>
            <w:r w:rsidRPr="00483EBE">
              <w:rPr>
                <w:sz w:val="12"/>
                <w:szCs w:val="12"/>
              </w:rPr>
              <w:t>$216</w:t>
            </w:r>
          </w:p>
        </w:tc>
        <w:tc>
          <w:tcPr>
            <w:tcW w:w="0" w:type="auto"/>
            <w:tcBorders>
              <w:top w:val="nil"/>
              <w:left w:val="nil"/>
              <w:bottom w:val="single" w:sz="4" w:space="0" w:color="auto"/>
              <w:right w:val="single" w:sz="4" w:space="0" w:color="auto"/>
            </w:tcBorders>
            <w:shd w:val="clear" w:color="auto" w:fill="auto"/>
            <w:vAlign w:val="center"/>
            <w:hideMark/>
          </w:tcPr>
          <w:p w14:paraId="412D12F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93C5900" w14:textId="77777777" w:rsidR="00572995" w:rsidRPr="00483EBE" w:rsidRDefault="00572995" w:rsidP="00E8324D">
            <w:pPr>
              <w:pStyle w:val="Tablas"/>
              <w:rPr>
                <w:sz w:val="12"/>
                <w:szCs w:val="12"/>
              </w:rPr>
            </w:pPr>
            <w:r w:rsidRPr="00483EBE">
              <w:rPr>
                <w:sz w:val="12"/>
                <w:szCs w:val="12"/>
              </w:rPr>
              <w:t>SEBD</w:t>
            </w:r>
          </w:p>
        </w:tc>
      </w:tr>
      <w:tr w:rsidR="00572995" w:rsidRPr="00483EBE" w14:paraId="50A3B3D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1380567" w14:textId="77777777" w:rsidR="00572995" w:rsidRPr="00483EBE" w:rsidRDefault="00572995" w:rsidP="00E8324D">
            <w:pPr>
              <w:pStyle w:val="Tablas"/>
              <w:rPr>
                <w:sz w:val="12"/>
                <w:szCs w:val="12"/>
              </w:rPr>
            </w:pPr>
            <w:r w:rsidRPr="00483EBE">
              <w:rPr>
                <w:sz w:val="12"/>
                <w:szCs w:val="12"/>
              </w:rPr>
              <w:t>109</w:t>
            </w:r>
          </w:p>
        </w:tc>
        <w:tc>
          <w:tcPr>
            <w:tcW w:w="0" w:type="auto"/>
            <w:tcBorders>
              <w:top w:val="nil"/>
              <w:left w:val="nil"/>
              <w:bottom w:val="single" w:sz="4" w:space="0" w:color="auto"/>
              <w:right w:val="single" w:sz="4" w:space="0" w:color="auto"/>
            </w:tcBorders>
            <w:shd w:val="clear" w:color="auto" w:fill="auto"/>
            <w:vAlign w:val="center"/>
            <w:hideMark/>
          </w:tcPr>
          <w:p w14:paraId="5D33E52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AEA2358" w14:textId="77777777" w:rsidR="00572995" w:rsidRPr="00483EBE" w:rsidRDefault="00572995" w:rsidP="00E8324D">
            <w:pPr>
              <w:pStyle w:val="Tablas"/>
              <w:rPr>
                <w:sz w:val="12"/>
                <w:szCs w:val="12"/>
              </w:rPr>
            </w:pPr>
            <w:r w:rsidRPr="00483EBE">
              <w:rPr>
                <w:sz w:val="12"/>
                <w:szCs w:val="12"/>
              </w:rPr>
              <w:t>$3,246</w:t>
            </w:r>
          </w:p>
        </w:tc>
        <w:tc>
          <w:tcPr>
            <w:tcW w:w="0" w:type="auto"/>
            <w:tcBorders>
              <w:top w:val="nil"/>
              <w:left w:val="nil"/>
              <w:bottom w:val="single" w:sz="4" w:space="0" w:color="auto"/>
              <w:right w:val="single" w:sz="4" w:space="0" w:color="auto"/>
            </w:tcBorders>
            <w:shd w:val="clear" w:color="auto" w:fill="auto"/>
            <w:vAlign w:val="center"/>
            <w:hideMark/>
          </w:tcPr>
          <w:p w14:paraId="735AABAD" w14:textId="77777777" w:rsidR="00572995" w:rsidRPr="00483EBE" w:rsidRDefault="00572995" w:rsidP="00E8324D">
            <w:pPr>
              <w:pStyle w:val="Tablas"/>
              <w:rPr>
                <w:sz w:val="12"/>
                <w:szCs w:val="12"/>
              </w:rPr>
            </w:pPr>
            <w:r w:rsidRPr="00483EBE">
              <w:rPr>
                <w:sz w:val="12"/>
                <w:szCs w:val="12"/>
              </w:rPr>
              <w:t>$3,246</w:t>
            </w:r>
          </w:p>
        </w:tc>
        <w:tc>
          <w:tcPr>
            <w:tcW w:w="0" w:type="auto"/>
            <w:tcBorders>
              <w:top w:val="nil"/>
              <w:left w:val="nil"/>
              <w:bottom w:val="single" w:sz="4" w:space="0" w:color="auto"/>
              <w:right w:val="single" w:sz="4" w:space="0" w:color="auto"/>
            </w:tcBorders>
            <w:shd w:val="clear" w:color="auto" w:fill="auto"/>
            <w:vAlign w:val="center"/>
            <w:hideMark/>
          </w:tcPr>
          <w:p w14:paraId="7878FB56"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544F1D3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A215E8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D34A281"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174B2F1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A5970EC" w14:textId="77777777" w:rsidR="00572995" w:rsidRPr="00483EBE" w:rsidRDefault="00572995" w:rsidP="00E8324D">
            <w:pPr>
              <w:pStyle w:val="Tablas"/>
              <w:rPr>
                <w:sz w:val="12"/>
                <w:szCs w:val="12"/>
              </w:rPr>
            </w:pPr>
            <w:r w:rsidRPr="00483EBE">
              <w:rPr>
                <w:sz w:val="12"/>
                <w:szCs w:val="12"/>
              </w:rPr>
              <w:t>$18,027</w:t>
            </w:r>
          </w:p>
        </w:tc>
        <w:tc>
          <w:tcPr>
            <w:tcW w:w="0" w:type="auto"/>
            <w:tcBorders>
              <w:top w:val="nil"/>
              <w:left w:val="nil"/>
              <w:bottom w:val="single" w:sz="4" w:space="0" w:color="auto"/>
              <w:right w:val="single" w:sz="4" w:space="0" w:color="auto"/>
            </w:tcBorders>
            <w:shd w:val="clear" w:color="auto" w:fill="auto"/>
            <w:vAlign w:val="center"/>
            <w:hideMark/>
          </w:tcPr>
          <w:p w14:paraId="144DEE18" w14:textId="77777777" w:rsidR="00572995" w:rsidRPr="00483EBE" w:rsidRDefault="00572995" w:rsidP="00E8324D">
            <w:pPr>
              <w:pStyle w:val="Tablas"/>
              <w:rPr>
                <w:sz w:val="12"/>
                <w:szCs w:val="12"/>
              </w:rPr>
            </w:pPr>
            <w:r w:rsidRPr="00483EBE">
              <w:rPr>
                <w:sz w:val="12"/>
                <w:szCs w:val="12"/>
              </w:rPr>
              <w:t>$2,575</w:t>
            </w:r>
          </w:p>
        </w:tc>
        <w:tc>
          <w:tcPr>
            <w:tcW w:w="0" w:type="auto"/>
            <w:tcBorders>
              <w:top w:val="nil"/>
              <w:left w:val="nil"/>
              <w:bottom w:val="single" w:sz="4" w:space="0" w:color="auto"/>
              <w:right w:val="single" w:sz="4" w:space="0" w:color="auto"/>
            </w:tcBorders>
            <w:shd w:val="clear" w:color="auto" w:fill="auto"/>
            <w:vAlign w:val="center"/>
            <w:hideMark/>
          </w:tcPr>
          <w:p w14:paraId="0CB3D8D4" w14:textId="77777777" w:rsidR="00572995" w:rsidRPr="00483EBE" w:rsidRDefault="00572995" w:rsidP="00E8324D">
            <w:pPr>
              <w:pStyle w:val="Tablas"/>
              <w:rPr>
                <w:sz w:val="12"/>
                <w:szCs w:val="12"/>
              </w:rPr>
            </w:pPr>
            <w:r w:rsidRPr="00483EBE">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6A91E2C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9B5DB1C" w14:textId="77777777" w:rsidR="00572995" w:rsidRPr="00483EBE" w:rsidRDefault="00572995" w:rsidP="00E8324D">
            <w:pPr>
              <w:pStyle w:val="Tablas"/>
              <w:rPr>
                <w:sz w:val="12"/>
                <w:szCs w:val="12"/>
              </w:rPr>
            </w:pPr>
            <w:r w:rsidRPr="00483EBE">
              <w:rPr>
                <w:sz w:val="12"/>
                <w:szCs w:val="12"/>
              </w:rPr>
              <w:t>SEBD</w:t>
            </w:r>
          </w:p>
        </w:tc>
      </w:tr>
      <w:tr w:rsidR="00572995" w:rsidRPr="00483EBE" w14:paraId="38F9907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36091B"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3B0822C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22B218E"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0BB328B2"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732CDB8D"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1AEF947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41FE7A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0701FC"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32E3CE08"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6863C632" w14:textId="77777777" w:rsidR="00572995" w:rsidRPr="00483EBE" w:rsidRDefault="00572995" w:rsidP="00E8324D">
            <w:pPr>
              <w:pStyle w:val="Tablas"/>
              <w:rPr>
                <w:sz w:val="12"/>
                <w:szCs w:val="12"/>
              </w:rPr>
            </w:pPr>
            <w:r w:rsidRPr="00483EBE">
              <w:rPr>
                <w:sz w:val="12"/>
                <w:szCs w:val="12"/>
              </w:rPr>
              <w:t>$10,171</w:t>
            </w:r>
          </w:p>
        </w:tc>
        <w:tc>
          <w:tcPr>
            <w:tcW w:w="0" w:type="auto"/>
            <w:tcBorders>
              <w:top w:val="nil"/>
              <w:left w:val="nil"/>
              <w:bottom w:val="single" w:sz="4" w:space="0" w:color="auto"/>
              <w:right w:val="single" w:sz="4" w:space="0" w:color="auto"/>
            </w:tcBorders>
            <w:shd w:val="clear" w:color="auto" w:fill="auto"/>
            <w:vAlign w:val="center"/>
            <w:hideMark/>
          </w:tcPr>
          <w:p w14:paraId="56B75C55" w14:textId="77777777" w:rsidR="00572995" w:rsidRPr="00483EBE" w:rsidRDefault="00572995" w:rsidP="00E8324D">
            <w:pPr>
              <w:pStyle w:val="Tablas"/>
              <w:rPr>
                <w:sz w:val="12"/>
                <w:szCs w:val="12"/>
              </w:rPr>
            </w:pPr>
            <w:r w:rsidRPr="00483EBE">
              <w:rPr>
                <w:sz w:val="12"/>
                <w:szCs w:val="12"/>
              </w:rPr>
              <w:t>$1,453</w:t>
            </w:r>
          </w:p>
        </w:tc>
        <w:tc>
          <w:tcPr>
            <w:tcW w:w="0" w:type="auto"/>
            <w:tcBorders>
              <w:top w:val="nil"/>
              <w:left w:val="nil"/>
              <w:bottom w:val="single" w:sz="4" w:space="0" w:color="auto"/>
              <w:right w:val="single" w:sz="4" w:space="0" w:color="auto"/>
            </w:tcBorders>
            <w:shd w:val="clear" w:color="auto" w:fill="auto"/>
            <w:vAlign w:val="center"/>
            <w:hideMark/>
          </w:tcPr>
          <w:p w14:paraId="535DFF7F" w14:textId="77777777" w:rsidR="00572995" w:rsidRPr="00483EBE" w:rsidRDefault="00572995" w:rsidP="00E8324D">
            <w:pPr>
              <w:pStyle w:val="Tablas"/>
              <w:rPr>
                <w:sz w:val="12"/>
                <w:szCs w:val="12"/>
              </w:rPr>
            </w:pPr>
            <w:r w:rsidRPr="00483EBE">
              <w:rPr>
                <w:sz w:val="12"/>
                <w:szCs w:val="12"/>
              </w:rPr>
              <w:t>$121</w:t>
            </w:r>
          </w:p>
        </w:tc>
        <w:tc>
          <w:tcPr>
            <w:tcW w:w="0" w:type="auto"/>
            <w:tcBorders>
              <w:top w:val="nil"/>
              <w:left w:val="nil"/>
              <w:bottom w:val="single" w:sz="4" w:space="0" w:color="auto"/>
              <w:right w:val="single" w:sz="4" w:space="0" w:color="auto"/>
            </w:tcBorders>
            <w:shd w:val="clear" w:color="auto" w:fill="auto"/>
            <w:vAlign w:val="center"/>
            <w:hideMark/>
          </w:tcPr>
          <w:p w14:paraId="581F8413"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C1ABE0B" w14:textId="77777777" w:rsidR="00572995" w:rsidRPr="00483EBE" w:rsidRDefault="00572995" w:rsidP="00E8324D">
            <w:pPr>
              <w:pStyle w:val="Tablas"/>
              <w:rPr>
                <w:sz w:val="12"/>
                <w:szCs w:val="12"/>
              </w:rPr>
            </w:pPr>
            <w:r w:rsidRPr="00483EBE">
              <w:rPr>
                <w:sz w:val="12"/>
                <w:szCs w:val="12"/>
              </w:rPr>
              <w:t>SEBD</w:t>
            </w:r>
          </w:p>
        </w:tc>
      </w:tr>
      <w:tr w:rsidR="00572995" w:rsidRPr="00483EBE" w14:paraId="12039C8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28620C"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7D465C5E"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F528593" w14:textId="77777777" w:rsidR="00572995" w:rsidRPr="00483EBE" w:rsidRDefault="00572995" w:rsidP="00E8324D">
            <w:pPr>
              <w:pStyle w:val="Tablas"/>
              <w:rPr>
                <w:sz w:val="12"/>
                <w:szCs w:val="12"/>
              </w:rPr>
            </w:pPr>
            <w:r w:rsidRPr="00483EBE">
              <w:rPr>
                <w:sz w:val="12"/>
                <w:szCs w:val="12"/>
              </w:rPr>
              <w:t>$2,655</w:t>
            </w:r>
          </w:p>
        </w:tc>
        <w:tc>
          <w:tcPr>
            <w:tcW w:w="0" w:type="auto"/>
            <w:tcBorders>
              <w:top w:val="nil"/>
              <w:left w:val="nil"/>
              <w:bottom w:val="single" w:sz="4" w:space="0" w:color="auto"/>
              <w:right w:val="single" w:sz="4" w:space="0" w:color="auto"/>
            </w:tcBorders>
            <w:shd w:val="clear" w:color="auto" w:fill="auto"/>
            <w:vAlign w:val="center"/>
            <w:hideMark/>
          </w:tcPr>
          <w:p w14:paraId="6BDB22F4" w14:textId="77777777" w:rsidR="00572995" w:rsidRPr="00483EBE" w:rsidRDefault="00572995" w:rsidP="00E8324D">
            <w:pPr>
              <w:pStyle w:val="Tablas"/>
              <w:rPr>
                <w:sz w:val="12"/>
                <w:szCs w:val="12"/>
              </w:rPr>
            </w:pPr>
            <w:r w:rsidRPr="00483EBE">
              <w:rPr>
                <w:sz w:val="12"/>
                <w:szCs w:val="12"/>
              </w:rPr>
              <w:t>$1,328</w:t>
            </w:r>
          </w:p>
        </w:tc>
        <w:tc>
          <w:tcPr>
            <w:tcW w:w="0" w:type="auto"/>
            <w:tcBorders>
              <w:top w:val="nil"/>
              <w:left w:val="nil"/>
              <w:bottom w:val="single" w:sz="4" w:space="0" w:color="auto"/>
              <w:right w:val="single" w:sz="4" w:space="0" w:color="auto"/>
            </w:tcBorders>
            <w:shd w:val="clear" w:color="auto" w:fill="auto"/>
            <w:vAlign w:val="center"/>
            <w:hideMark/>
          </w:tcPr>
          <w:p w14:paraId="50D8E094" w14:textId="77777777" w:rsidR="00572995" w:rsidRPr="00483EBE" w:rsidRDefault="00572995" w:rsidP="00E8324D">
            <w:pPr>
              <w:pStyle w:val="Tablas"/>
              <w:rPr>
                <w:sz w:val="12"/>
                <w:szCs w:val="12"/>
              </w:rPr>
            </w:pPr>
            <w:r w:rsidRPr="00483EBE">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2B2C6402"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61057D3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A079D3"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696E4FE4"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7FBDF87" w14:textId="77777777" w:rsidR="00572995" w:rsidRPr="00483EBE" w:rsidRDefault="00572995" w:rsidP="00E8324D">
            <w:pPr>
              <w:pStyle w:val="Tablas"/>
              <w:rPr>
                <w:sz w:val="12"/>
                <w:szCs w:val="12"/>
              </w:rPr>
            </w:pPr>
            <w:r w:rsidRPr="00483EBE">
              <w:rPr>
                <w:sz w:val="12"/>
                <w:szCs w:val="12"/>
              </w:rPr>
              <w:t>$5,513</w:t>
            </w:r>
          </w:p>
        </w:tc>
        <w:tc>
          <w:tcPr>
            <w:tcW w:w="0" w:type="auto"/>
            <w:tcBorders>
              <w:top w:val="nil"/>
              <w:left w:val="nil"/>
              <w:bottom w:val="single" w:sz="4" w:space="0" w:color="auto"/>
              <w:right w:val="single" w:sz="4" w:space="0" w:color="auto"/>
            </w:tcBorders>
            <w:shd w:val="clear" w:color="auto" w:fill="auto"/>
            <w:vAlign w:val="center"/>
            <w:hideMark/>
          </w:tcPr>
          <w:p w14:paraId="24BB27FE" w14:textId="77777777" w:rsidR="00572995" w:rsidRPr="00483EBE" w:rsidRDefault="00572995" w:rsidP="00E8324D">
            <w:pPr>
              <w:pStyle w:val="Tablas"/>
              <w:rPr>
                <w:sz w:val="12"/>
                <w:szCs w:val="12"/>
              </w:rPr>
            </w:pPr>
            <w:r w:rsidRPr="00483EBE">
              <w:rPr>
                <w:sz w:val="12"/>
                <w:szCs w:val="12"/>
              </w:rPr>
              <w:t>$1,378</w:t>
            </w:r>
          </w:p>
        </w:tc>
        <w:tc>
          <w:tcPr>
            <w:tcW w:w="0" w:type="auto"/>
            <w:tcBorders>
              <w:top w:val="nil"/>
              <w:left w:val="nil"/>
              <w:bottom w:val="single" w:sz="4" w:space="0" w:color="auto"/>
              <w:right w:val="single" w:sz="4" w:space="0" w:color="auto"/>
            </w:tcBorders>
            <w:shd w:val="clear" w:color="auto" w:fill="auto"/>
            <w:vAlign w:val="center"/>
            <w:hideMark/>
          </w:tcPr>
          <w:p w14:paraId="3AFA0EF8" w14:textId="77777777" w:rsidR="00572995" w:rsidRPr="00483EBE" w:rsidRDefault="00572995" w:rsidP="00E8324D">
            <w:pPr>
              <w:pStyle w:val="Tablas"/>
              <w:rPr>
                <w:sz w:val="12"/>
                <w:szCs w:val="12"/>
              </w:rPr>
            </w:pPr>
            <w:r w:rsidRPr="00483EBE">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261D15D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4DA9E9C" w14:textId="77777777" w:rsidR="00572995" w:rsidRPr="00483EBE" w:rsidRDefault="00572995" w:rsidP="00E8324D">
            <w:pPr>
              <w:pStyle w:val="Tablas"/>
              <w:rPr>
                <w:sz w:val="12"/>
                <w:szCs w:val="12"/>
              </w:rPr>
            </w:pPr>
            <w:r w:rsidRPr="00483EBE">
              <w:rPr>
                <w:sz w:val="12"/>
                <w:szCs w:val="12"/>
              </w:rPr>
              <w:t>SEBD</w:t>
            </w:r>
          </w:p>
        </w:tc>
      </w:tr>
      <w:tr w:rsidR="00572995" w:rsidRPr="00483EBE" w14:paraId="0884629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993A1E"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24575E8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6D21B69" w14:textId="77777777" w:rsidR="00572995" w:rsidRPr="00483EBE" w:rsidRDefault="00572995" w:rsidP="00E8324D">
            <w:pPr>
              <w:pStyle w:val="Tablas"/>
              <w:rPr>
                <w:sz w:val="12"/>
                <w:szCs w:val="12"/>
              </w:rPr>
            </w:pPr>
            <w:r w:rsidRPr="00483EBE">
              <w:rPr>
                <w:sz w:val="12"/>
                <w:szCs w:val="12"/>
              </w:rPr>
              <w:t>$6,244</w:t>
            </w:r>
          </w:p>
        </w:tc>
        <w:tc>
          <w:tcPr>
            <w:tcW w:w="0" w:type="auto"/>
            <w:tcBorders>
              <w:top w:val="nil"/>
              <w:left w:val="nil"/>
              <w:bottom w:val="single" w:sz="4" w:space="0" w:color="auto"/>
              <w:right w:val="single" w:sz="4" w:space="0" w:color="auto"/>
            </w:tcBorders>
            <w:shd w:val="clear" w:color="auto" w:fill="auto"/>
            <w:vAlign w:val="center"/>
            <w:hideMark/>
          </w:tcPr>
          <w:p w14:paraId="05727818" w14:textId="77777777" w:rsidR="00572995" w:rsidRPr="00483EBE" w:rsidRDefault="00572995" w:rsidP="00E8324D">
            <w:pPr>
              <w:pStyle w:val="Tablas"/>
              <w:rPr>
                <w:sz w:val="12"/>
                <w:szCs w:val="12"/>
              </w:rPr>
            </w:pPr>
            <w:r w:rsidRPr="00483EBE">
              <w:rPr>
                <w:sz w:val="12"/>
                <w:szCs w:val="12"/>
              </w:rPr>
              <w:t>$6,244</w:t>
            </w:r>
          </w:p>
        </w:tc>
        <w:tc>
          <w:tcPr>
            <w:tcW w:w="0" w:type="auto"/>
            <w:tcBorders>
              <w:top w:val="nil"/>
              <w:left w:val="nil"/>
              <w:bottom w:val="single" w:sz="4" w:space="0" w:color="auto"/>
              <w:right w:val="single" w:sz="4" w:space="0" w:color="auto"/>
            </w:tcBorders>
            <w:shd w:val="clear" w:color="auto" w:fill="auto"/>
            <w:vAlign w:val="center"/>
            <w:hideMark/>
          </w:tcPr>
          <w:p w14:paraId="1375E83E" w14:textId="77777777" w:rsidR="00572995" w:rsidRPr="00483EBE" w:rsidRDefault="00572995" w:rsidP="00E8324D">
            <w:pPr>
              <w:pStyle w:val="Tablas"/>
              <w:rPr>
                <w:sz w:val="12"/>
                <w:szCs w:val="12"/>
              </w:rPr>
            </w:pPr>
            <w:r w:rsidRPr="00483EBE">
              <w:rPr>
                <w:sz w:val="12"/>
                <w:szCs w:val="12"/>
              </w:rPr>
              <w:t>$520</w:t>
            </w:r>
          </w:p>
        </w:tc>
        <w:tc>
          <w:tcPr>
            <w:tcW w:w="0" w:type="auto"/>
            <w:tcBorders>
              <w:top w:val="nil"/>
              <w:left w:val="nil"/>
              <w:bottom w:val="single" w:sz="4" w:space="0" w:color="auto"/>
              <w:right w:val="single" w:sz="4" w:space="0" w:color="auto"/>
            </w:tcBorders>
            <w:shd w:val="clear" w:color="auto" w:fill="auto"/>
            <w:vAlign w:val="center"/>
            <w:hideMark/>
          </w:tcPr>
          <w:p w14:paraId="2D5B5CD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505F83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110AB86"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2791277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6A30C52" w14:textId="77777777" w:rsidR="00572995" w:rsidRPr="00483EBE" w:rsidRDefault="00572995" w:rsidP="00E8324D">
            <w:pPr>
              <w:pStyle w:val="Tablas"/>
              <w:rPr>
                <w:sz w:val="12"/>
                <w:szCs w:val="12"/>
              </w:rPr>
            </w:pPr>
            <w:r w:rsidRPr="00483EBE">
              <w:rPr>
                <w:sz w:val="12"/>
                <w:szCs w:val="12"/>
              </w:rPr>
              <w:t>$2,301</w:t>
            </w:r>
          </w:p>
        </w:tc>
        <w:tc>
          <w:tcPr>
            <w:tcW w:w="0" w:type="auto"/>
            <w:tcBorders>
              <w:top w:val="nil"/>
              <w:left w:val="nil"/>
              <w:bottom w:val="single" w:sz="4" w:space="0" w:color="auto"/>
              <w:right w:val="single" w:sz="4" w:space="0" w:color="auto"/>
            </w:tcBorders>
            <w:shd w:val="clear" w:color="auto" w:fill="auto"/>
            <w:vAlign w:val="center"/>
            <w:hideMark/>
          </w:tcPr>
          <w:p w14:paraId="381C5957" w14:textId="77777777" w:rsidR="00572995" w:rsidRPr="00483EBE" w:rsidRDefault="00572995" w:rsidP="00E8324D">
            <w:pPr>
              <w:pStyle w:val="Tablas"/>
              <w:rPr>
                <w:sz w:val="12"/>
                <w:szCs w:val="12"/>
              </w:rPr>
            </w:pPr>
            <w:r w:rsidRPr="00483EBE">
              <w:rPr>
                <w:sz w:val="12"/>
                <w:szCs w:val="12"/>
              </w:rPr>
              <w:t>$2,301</w:t>
            </w:r>
          </w:p>
        </w:tc>
        <w:tc>
          <w:tcPr>
            <w:tcW w:w="0" w:type="auto"/>
            <w:tcBorders>
              <w:top w:val="nil"/>
              <w:left w:val="nil"/>
              <w:bottom w:val="single" w:sz="4" w:space="0" w:color="auto"/>
              <w:right w:val="single" w:sz="4" w:space="0" w:color="auto"/>
            </w:tcBorders>
            <w:shd w:val="clear" w:color="auto" w:fill="auto"/>
            <w:vAlign w:val="center"/>
            <w:hideMark/>
          </w:tcPr>
          <w:p w14:paraId="329C373F" w14:textId="77777777" w:rsidR="00572995" w:rsidRPr="00483EBE" w:rsidRDefault="00572995" w:rsidP="00E8324D">
            <w:pPr>
              <w:pStyle w:val="Tablas"/>
              <w:rPr>
                <w:sz w:val="12"/>
                <w:szCs w:val="12"/>
              </w:rPr>
            </w:pPr>
            <w:r w:rsidRPr="00483EBE">
              <w:rPr>
                <w:sz w:val="12"/>
                <w:szCs w:val="12"/>
              </w:rPr>
              <w:t>$192</w:t>
            </w:r>
          </w:p>
        </w:tc>
        <w:tc>
          <w:tcPr>
            <w:tcW w:w="0" w:type="auto"/>
            <w:tcBorders>
              <w:top w:val="nil"/>
              <w:left w:val="nil"/>
              <w:bottom w:val="single" w:sz="4" w:space="0" w:color="auto"/>
              <w:right w:val="single" w:sz="4" w:space="0" w:color="auto"/>
            </w:tcBorders>
            <w:shd w:val="clear" w:color="auto" w:fill="auto"/>
            <w:vAlign w:val="center"/>
            <w:hideMark/>
          </w:tcPr>
          <w:p w14:paraId="2E00412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AD06A21" w14:textId="77777777" w:rsidR="00572995" w:rsidRPr="00483EBE" w:rsidRDefault="00572995" w:rsidP="00E8324D">
            <w:pPr>
              <w:pStyle w:val="Tablas"/>
              <w:rPr>
                <w:sz w:val="12"/>
                <w:szCs w:val="12"/>
              </w:rPr>
            </w:pPr>
            <w:r w:rsidRPr="00483EBE">
              <w:rPr>
                <w:sz w:val="12"/>
                <w:szCs w:val="12"/>
              </w:rPr>
              <w:t>SEBD</w:t>
            </w:r>
          </w:p>
        </w:tc>
      </w:tr>
      <w:tr w:rsidR="00572995" w:rsidRPr="00483EBE" w14:paraId="5222A65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C6CBDD"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3A87C00B"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4DF28E9" w14:textId="77777777" w:rsidR="00572995" w:rsidRPr="00483EBE" w:rsidRDefault="00572995" w:rsidP="00E8324D">
            <w:pPr>
              <w:pStyle w:val="Tablas"/>
              <w:rPr>
                <w:sz w:val="12"/>
                <w:szCs w:val="12"/>
              </w:rPr>
            </w:pPr>
            <w:r w:rsidRPr="00483EBE">
              <w:rPr>
                <w:sz w:val="12"/>
                <w:szCs w:val="12"/>
              </w:rPr>
              <w:t>$3,213</w:t>
            </w:r>
          </w:p>
        </w:tc>
        <w:tc>
          <w:tcPr>
            <w:tcW w:w="0" w:type="auto"/>
            <w:tcBorders>
              <w:top w:val="nil"/>
              <w:left w:val="nil"/>
              <w:bottom w:val="single" w:sz="4" w:space="0" w:color="auto"/>
              <w:right w:val="single" w:sz="4" w:space="0" w:color="auto"/>
            </w:tcBorders>
            <w:shd w:val="clear" w:color="auto" w:fill="auto"/>
            <w:vAlign w:val="center"/>
            <w:hideMark/>
          </w:tcPr>
          <w:p w14:paraId="00312DFE" w14:textId="77777777" w:rsidR="00572995" w:rsidRPr="00483EBE" w:rsidRDefault="00572995" w:rsidP="00E8324D">
            <w:pPr>
              <w:pStyle w:val="Tablas"/>
              <w:rPr>
                <w:sz w:val="12"/>
                <w:szCs w:val="12"/>
              </w:rPr>
            </w:pPr>
            <w:r w:rsidRPr="00483EBE">
              <w:rPr>
                <w:sz w:val="12"/>
                <w:szCs w:val="12"/>
              </w:rPr>
              <w:t>$3,213</w:t>
            </w:r>
          </w:p>
        </w:tc>
        <w:tc>
          <w:tcPr>
            <w:tcW w:w="0" w:type="auto"/>
            <w:tcBorders>
              <w:top w:val="nil"/>
              <w:left w:val="nil"/>
              <w:bottom w:val="single" w:sz="4" w:space="0" w:color="auto"/>
              <w:right w:val="single" w:sz="4" w:space="0" w:color="auto"/>
            </w:tcBorders>
            <w:shd w:val="clear" w:color="auto" w:fill="auto"/>
            <w:vAlign w:val="center"/>
            <w:hideMark/>
          </w:tcPr>
          <w:p w14:paraId="79BE175A"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0C92CCB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6C525E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44B23ED"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51ADDFE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672E86D"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514B52B9"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51B154BA"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1B0C556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3348D6F" w14:textId="77777777" w:rsidR="00572995" w:rsidRPr="00483EBE" w:rsidRDefault="00572995" w:rsidP="00E8324D">
            <w:pPr>
              <w:pStyle w:val="Tablas"/>
              <w:rPr>
                <w:sz w:val="12"/>
                <w:szCs w:val="12"/>
              </w:rPr>
            </w:pPr>
            <w:r w:rsidRPr="00483EBE">
              <w:rPr>
                <w:sz w:val="12"/>
                <w:szCs w:val="12"/>
              </w:rPr>
              <w:t>SEBD</w:t>
            </w:r>
          </w:p>
        </w:tc>
      </w:tr>
      <w:tr w:rsidR="00572995" w:rsidRPr="00483EBE" w14:paraId="514BDB3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653B78A"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24B4E68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AFB8D46" w14:textId="77777777" w:rsidR="00572995" w:rsidRPr="00483EBE" w:rsidRDefault="00572995" w:rsidP="00E8324D">
            <w:pPr>
              <w:pStyle w:val="Tablas"/>
              <w:rPr>
                <w:sz w:val="12"/>
                <w:szCs w:val="12"/>
              </w:rPr>
            </w:pPr>
            <w:r w:rsidRPr="00483EBE">
              <w:rPr>
                <w:sz w:val="12"/>
                <w:szCs w:val="12"/>
              </w:rPr>
              <w:t>$6,424</w:t>
            </w:r>
          </w:p>
        </w:tc>
        <w:tc>
          <w:tcPr>
            <w:tcW w:w="0" w:type="auto"/>
            <w:tcBorders>
              <w:top w:val="nil"/>
              <w:left w:val="nil"/>
              <w:bottom w:val="single" w:sz="4" w:space="0" w:color="auto"/>
              <w:right w:val="single" w:sz="4" w:space="0" w:color="auto"/>
            </w:tcBorders>
            <w:shd w:val="clear" w:color="auto" w:fill="auto"/>
            <w:vAlign w:val="center"/>
            <w:hideMark/>
          </w:tcPr>
          <w:p w14:paraId="2F6788ED" w14:textId="77777777" w:rsidR="00572995" w:rsidRPr="00483EBE" w:rsidRDefault="00572995" w:rsidP="00E8324D">
            <w:pPr>
              <w:pStyle w:val="Tablas"/>
              <w:rPr>
                <w:sz w:val="12"/>
                <w:szCs w:val="12"/>
              </w:rPr>
            </w:pPr>
            <w:r w:rsidRPr="00483EBE">
              <w:rPr>
                <w:sz w:val="12"/>
                <w:szCs w:val="12"/>
              </w:rPr>
              <w:t>$3,212</w:t>
            </w:r>
          </w:p>
        </w:tc>
        <w:tc>
          <w:tcPr>
            <w:tcW w:w="0" w:type="auto"/>
            <w:tcBorders>
              <w:top w:val="nil"/>
              <w:left w:val="nil"/>
              <w:bottom w:val="single" w:sz="4" w:space="0" w:color="auto"/>
              <w:right w:val="single" w:sz="4" w:space="0" w:color="auto"/>
            </w:tcBorders>
            <w:shd w:val="clear" w:color="auto" w:fill="auto"/>
            <w:vAlign w:val="center"/>
            <w:hideMark/>
          </w:tcPr>
          <w:p w14:paraId="31FCC56A"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492E3AC4"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D91411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7A67DF"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2AEF940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40F9FD9" w14:textId="77777777" w:rsidR="00572995" w:rsidRPr="00483EBE" w:rsidRDefault="00572995" w:rsidP="00E8324D">
            <w:pPr>
              <w:pStyle w:val="Tablas"/>
              <w:rPr>
                <w:sz w:val="12"/>
                <w:szCs w:val="12"/>
              </w:rPr>
            </w:pPr>
            <w:r w:rsidRPr="00483EBE">
              <w:rPr>
                <w:sz w:val="12"/>
                <w:szCs w:val="12"/>
              </w:rPr>
              <w:t>$3,499</w:t>
            </w:r>
          </w:p>
        </w:tc>
        <w:tc>
          <w:tcPr>
            <w:tcW w:w="0" w:type="auto"/>
            <w:tcBorders>
              <w:top w:val="nil"/>
              <w:left w:val="nil"/>
              <w:bottom w:val="single" w:sz="4" w:space="0" w:color="auto"/>
              <w:right w:val="single" w:sz="4" w:space="0" w:color="auto"/>
            </w:tcBorders>
            <w:shd w:val="clear" w:color="auto" w:fill="auto"/>
            <w:vAlign w:val="center"/>
            <w:hideMark/>
          </w:tcPr>
          <w:p w14:paraId="26741B9B" w14:textId="77777777" w:rsidR="00572995" w:rsidRPr="00483EBE" w:rsidRDefault="00572995" w:rsidP="00E8324D">
            <w:pPr>
              <w:pStyle w:val="Tablas"/>
              <w:rPr>
                <w:sz w:val="12"/>
                <w:szCs w:val="12"/>
              </w:rPr>
            </w:pPr>
            <w:r w:rsidRPr="00483EBE">
              <w:rPr>
                <w:sz w:val="12"/>
                <w:szCs w:val="12"/>
              </w:rPr>
              <w:t>$3,499</w:t>
            </w:r>
          </w:p>
        </w:tc>
        <w:tc>
          <w:tcPr>
            <w:tcW w:w="0" w:type="auto"/>
            <w:tcBorders>
              <w:top w:val="nil"/>
              <w:left w:val="nil"/>
              <w:bottom w:val="single" w:sz="4" w:space="0" w:color="auto"/>
              <w:right w:val="single" w:sz="4" w:space="0" w:color="auto"/>
            </w:tcBorders>
            <w:shd w:val="clear" w:color="auto" w:fill="auto"/>
            <w:vAlign w:val="center"/>
            <w:hideMark/>
          </w:tcPr>
          <w:p w14:paraId="4F53BFA2" w14:textId="77777777" w:rsidR="00572995" w:rsidRPr="00483EBE" w:rsidRDefault="00572995" w:rsidP="00E8324D">
            <w:pPr>
              <w:pStyle w:val="Tablas"/>
              <w:rPr>
                <w:sz w:val="12"/>
                <w:szCs w:val="12"/>
              </w:rPr>
            </w:pPr>
            <w:r w:rsidRPr="00483EBE">
              <w:rPr>
                <w:sz w:val="12"/>
                <w:szCs w:val="12"/>
              </w:rPr>
              <w:t>$292</w:t>
            </w:r>
          </w:p>
        </w:tc>
        <w:tc>
          <w:tcPr>
            <w:tcW w:w="0" w:type="auto"/>
            <w:tcBorders>
              <w:top w:val="nil"/>
              <w:left w:val="nil"/>
              <w:bottom w:val="single" w:sz="4" w:space="0" w:color="auto"/>
              <w:right w:val="single" w:sz="4" w:space="0" w:color="auto"/>
            </w:tcBorders>
            <w:shd w:val="clear" w:color="auto" w:fill="auto"/>
            <w:vAlign w:val="center"/>
            <w:hideMark/>
          </w:tcPr>
          <w:p w14:paraId="5AEB77C7"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165EE38A" w14:textId="77777777" w:rsidR="00572995" w:rsidRPr="00483EBE" w:rsidRDefault="00572995" w:rsidP="00E8324D">
            <w:pPr>
              <w:pStyle w:val="Tablas"/>
              <w:rPr>
                <w:sz w:val="12"/>
                <w:szCs w:val="12"/>
              </w:rPr>
            </w:pPr>
            <w:r w:rsidRPr="00483EBE">
              <w:rPr>
                <w:sz w:val="12"/>
                <w:szCs w:val="12"/>
              </w:rPr>
              <w:t>SEBD</w:t>
            </w:r>
          </w:p>
        </w:tc>
      </w:tr>
      <w:tr w:rsidR="00572995" w:rsidRPr="00483EBE" w14:paraId="275EEAF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2645D1"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6551458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9E54DBE" w14:textId="77777777" w:rsidR="00572995" w:rsidRPr="00483EBE" w:rsidRDefault="00572995" w:rsidP="00E8324D">
            <w:pPr>
              <w:pStyle w:val="Tablas"/>
              <w:rPr>
                <w:sz w:val="12"/>
                <w:szCs w:val="12"/>
              </w:rPr>
            </w:pPr>
            <w:r w:rsidRPr="00483EBE">
              <w:rPr>
                <w:sz w:val="12"/>
                <w:szCs w:val="12"/>
              </w:rPr>
              <w:t>$1,512</w:t>
            </w:r>
          </w:p>
        </w:tc>
        <w:tc>
          <w:tcPr>
            <w:tcW w:w="0" w:type="auto"/>
            <w:tcBorders>
              <w:top w:val="nil"/>
              <w:left w:val="nil"/>
              <w:bottom w:val="single" w:sz="4" w:space="0" w:color="auto"/>
              <w:right w:val="single" w:sz="4" w:space="0" w:color="auto"/>
            </w:tcBorders>
            <w:shd w:val="clear" w:color="auto" w:fill="auto"/>
            <w:vAlign w:val="center"/>
            <w:hideMark/>
          </w:tcPr>
          <w:p w14:paraId="6CE45BF8" w14:textId="77777777" w:rsidR="00572995" w:rsidRPr="00483EBE" w:rsidRDefault="00572995" w:rsidP="00E8324D">
            <w:pPr>
              <w:pStyle w:val="Tablas"/>
              <w:rPr>
                <w:sz w:val="12"/>
                <w:szCs w:val="12"/>
              </w:rPr>
            </w:pPr>
            <w:r w:rsidRPr="00483EBE">
              <w:rPr>
                <w:sz w:val="12"/>
                <w:szCs w:val="12"/>
              </w:rPr>
              <w:t>$1,512</w:t>
            </w:r>
          </w:p>
        </w:tc>
        <w:tc>
          <w:tcPr>
            <w:tcW w:w="0" w:type="auto"/>
            <w:tcBorders>
              <w:top w:val="nil"/>
              <w:left w:val="nil"/>
              <w:bottom w:val="single" w:sz="4" w:space="0" w:color="auto"/>
              <w:right w:val="single" w:sz="4" w:space="0" w:color="auto"/>
            </w:tcBorders>
            <w:shd w:val="clear" w:color="auto" w:fill="auto"/>
            <w:vAlign w:val="center"/>
            <w:hideMark/>
          </w:tcPr>
          <w:p w14:paraId="0FA9334E" w14:textId="77777777" w:rsidR="00572995" w:rsidRPr="00483EBE" w:rsidRDefault="00572995" w:rsidP="00E8324D">
            <w:pPr>
              <w:pStyle w:val="Tablas"/>
              <w:rPr>
                <w:sz w:val="12"/>
                <w:szCs w:val="12"/>
              </w:rPr>
            </w:pPr>
            <w:r w:rsidRPr="00483EBE">
              <w:rPr>
                <w:sz w:val="12"/>
                <w:szCs w:val="12"/>
              </w:rPr>
              <w:t>$126</w:t>
            </w:r>
          </w:p>
        </w:tc>
        <w:tc>
          <w:tcPr>
            <w:tcW w:w="0" w:type="auto"/>
            <w:tcBorders>
              <w:top w:val="nil"/>
              <w:left w:val="nil"/>
              <w:bottom w:val="single" w:sz="4" w:space="0" w:color="auto"/>
              <w:right w:val="single" w:sz="4" w:space="0" w:color="auto"/>
            </w:tcBorders>
            <w:shd w:val="clear" w:color="auto" w:fill="auto"/>
            <w:vAlign w:val="center"/>
            <w:hideMark/>
          </w:tcPr>
          <w:p w14:paraId="6921F4B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6B56E2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95013C2"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6012AC6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76DBF38" w14:textId="77777777" w:rsidR="00572995" w:rsidRPr="00483EBE" w:rsidRDefault="00572995" w:rsidP="00E8324D">
            <w:pPr>
              <w:pStyle w:val="Tablas"/>
              <w:rPr>
                <w:sz w:val="12"/>
                <w:szCs w:val="12"/>
              </w:rPr>
            </w:pPr>
            <w:r w:rsidRPr="00483EBE">
              <w:rPr>
                <w:sz w:val="12"/>
                <w:szCs w:val="12"/>
              </w:rPr>
              <w:t>$1,853</w:t>
            </w:r>
          </w:p>
        </w:tc>
        <w:tc>
          <w:tcPr>
            <w:tcW w:w="0" w:type="auto"/>
            <w:tcBorders>
              <w:top w:val="nil"/>
              <w:left w:val="nil"/>
              <w:bottom w:val="single" w:sz="4" w:space="0" w:color="auto"/>
              <w:right w:val="single" w:sz="4" w:space="0" w:color="auto"/>
            </w:tcBorders>
            <w:shd w:val="clear" w:color="auto" w:fill="auto"/>
            <w:vAlign w:val="center"/>
            <w:hideMark/>
          </w:tcPr>
          <w:p w14:paraId="584D9737" w14:textId="77777777" w:rsidR="00572995" w:rsidRPr="00483EBE" w:rsidRDefault="00572995" w:rsidP="00E8324D">
            <w:pPr>
              <w:pStyle w:val="Tablas"/>
              <w:rPr>
                <w:sz w:val="12"/>
                <w:szCs w:val="12"/>
              </w:rPr>
            </w:pPr>
            <w:r w:rsidRPr="00483EBE">
              <w:rPr>
                <w:sz w:val="12"/>
                <w:szCs w:val="12"/>
              </w:rPr>
              <w:t>$1,853</w:t>
            </w:r>
          </w:p>
        </w:tc>
        <w:tc>
          <w:tcPr>
            <w:tcW w:w="0" w:type="auto"/>
            <w:tcBorders>
              <w:top w:val="nil"/>
              <w:left w:val="nil"/>
              <w:bottom w:val="single" w:sz="4" w:space="0" w:color="auto"/>
              <w:right w:val="single" w:sz="4" w:space="0" w:color="auto"/>
            </w:tcBorders>
            <w:shd w:val="clear" w:color="auto" w:fill="auto"/>
            <w:vAlign w:val="center"/>
            <w:hideMark/>
          </w:tcPr>
          <w:p w14:paraId="33AF0AF3" w14:textId="77777777" w:rsidR="00572995" w:rsidRPr="00483EBE" w:rsidRDefault="00572995" w:rsidP="00E8324D">
            <w:pPr>
              <w:pStyle w:val="Tablas"/>
              <w:rPr>
                <w:sz w:val="12"/>
                <w:szCs w:val="12"/>
              </w:rPr>
            </w:pPr>
            <w:r w:rsidRPr="00483EBE">
              <w:rPr>
                <w:sz w:val="12"/>
                <w:szCs w:val="12"/>
              </w:rPr>
              <w:t>$154</w:t>
            </w:r>
          </w:p>
        </w:tc>
        <w:tc>
          <w:tcPr>
            <w:tcW w:w="0" w:type="auto"/>
            <w:tcBorders>
              <w:top w:val="nil"/>
              <w:left w:val="nil"/>
              <w:bottom w:val="single" w:sz="4" w:space="0" w:color="auto"/>
              <w:right w:val="single" w:sz="4" w:space="0" w:color="auto"/>
            </w:tcBorders>
            <w:shd w:val="clear" w:color="auto" w:fill="auto"/>
            <w:vAlign w:val="center"/>
            <w:hideMark/>
          </w:tcPr>
          <w:p w14:paraId="5D43CA51"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0CB56E8E" w14:textId="77777777" w:rsidR="00572995" w:rsidRPr="00483EBE" w:rsidRDefault="00572995" w:rsidP="00E8324D">
            <w:pPr>
              <w:pStyle w:val="Tablas"/>
              <w:rPr>
                <w:sz w:val="12"/>
                <w:szCs w:val="12"/>
              </w:rPr>
            </w:pPr>
            <w:r w:rsidRPr="00483EBE">
              <w:rPr>
                <w:sz w:val="12"/>
                <w:szCs w:val="12"/>
              </w:rPr>
              <w:t>SEBD</w:t>
            </w:r>
          </w:p>
        </w:tc>
      </w:tr>
      <w:tr w:rsidR="00572995" w:rsidRPr="00483EBE" w14:paraId="343413B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69EEF5"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1E01214C"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C67107D" w14:textId="77777777" w:rsidR="00572995" w:rsidRPr="00483EBE" w:rsidRDefault="00572995" w:rsidP="00E8324D">
            <w:pPr>
              <w:pStyle w:val="Tablas"/>
              <w:rPr>
                <w:sz w:val="12"/>
                <w:szCs w:val="12"/>
              </w:rPr>
            </w:pPr>
            <w:r w:rsidRPr="00483EBE">
              <w:rPr>
                <w:sz w:val="12"/>
                <w:szCs w:val="12"/>
              </w:rPr>
              <w:t>$1,440</w:t>
            </w:r>
          </w:p>
        </w:tc>
        <w:tc>
          <w:tcPr>
            <w:tcW w:w="0" w:type="auto"/>
            <w:tcBorders>
              <w:top w:val="nil"/>
              <w:left w:val="nil"/>
              <w:bottom w:val="single" w:sz="4" w:space="0" w:color="auto"/>
              <w:right w:val="single" w:sz="4" w:space="0" w:color="auto"/>
            </w:tcBorders>
            <w:shd w:val="clear" w:color="auto" w:fill="auto"/>
            <w:vAlign w:val="center"/>
            <w:hideMark/>
          </w:tcPr>
          <w:p w14:paraId="08F067E0" w14:textId="77777777" w:rsidR="00572995" w:rsidRPr="00483EBE" w:rsidRDefault="00572995" w:rsidP="00E8324D">
            <w:pPr>
              <w:pStyle w:val="Tablas"/>
              <w:rPr>
                <w:sz w:val="12"/>
                <w:szCs w:val="12"/>
              </w:rPr>
            </w:pPr>
            <w:r w:rsidRPr="00483EBE">
              <w:rPr>
                <w:sz w:val="12"/>
                <w:szCs w:val="12"/>
              </w:rPr>
              <w:t>$1,440</w:t>
            </w:r>
          </w:p>
        </w:tc>
        <w:tc>
          <w:tcPr>
            <w:tcW w:w="0" w:type="auto"/>
            <w:tcBorders>
              <w:top w:val="nil"/>
              <w:left w:val="nil"/>
              <w:bottom w:val="single" w:sz="4" w:space="0" w:color="auto"/>
              <w:right w:val="single" w:sz="4" w:space="0" w:color="auto"/>
            </w:tcBorders>
            <w:shd w:val="clear" w:color="auto" w:fill="auto"/>
            <w:vAlign w:val="center"/>
            <w:hideMark/>
          </w:tcPr>
          <w:p w14:paraId="09CDB566"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33B4C64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9282CF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5129DD"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25BFD6FB"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BA730E7" w14:textId="77777777" w:rsidR="00572995" w:rsidRPr="00483EBE" w:rsidRDefault="00572995" w:rsidP="00E8324D">
            <w:pPr>
              <w:pStyle w:val="Tablas"/>
              <w:rPr>
                <w:sz w:val="12"/>
                <w:szCs w:val="12"/>
              </w:rPr>
            </w:pPr>
            <w:r w:rsidRPr="00483EBE">
              <w:rPr>
                <w:sz w:val="12"/>
                <w:szCs w:val="12"/>
              </w:rPr>
              <w:t>$1,859</w:t>
            </w:r>
          </w:p>
        </w:tc>
        <w:tc>
          <w:tcPr>
            <w:tcW w:w="0" w:type="auto"/>
            <w:tcBorders>
              <w:top w:val="nil"/>
              <w:left w:val="nil"/>
              <w:bottom w:val="single" w:sz="4" w:space="0" w:color="auto"/>
              <w:right w:val="single" w:sz="4" w:space="0" w:color="auto"/>
            </w:tcBorders>
            <w:shd w:val="clear" w:color="auto" w:fill="auto"/>
            <w:vAlign w:val="center"/>
            <w:hideMark/>
          </w:tcPr>
          <w:p w14:paraId="680BDFF6" w14:textId="77777777" w:rsidR="00572995" w:rsidRPr="00483EBE" w:rsidRDefault="00572995" w:rsidP="00E8324D">
            <w:pPr>
              <w:pStyle w:val="Tablas"/>
              <w:rPr>
                <w:sz w:val="12"/>
                <w:szCs w:val="12"/>
              </w:rPr>
            </w:pPr>
            <w:r w:rsidRPr="00483EBE">
              <w:rPr>
                <w:sz w:val="12"/>
                <w:szCs w:val="12"/>
              </w:rPr>
              <w:t>$1,859</w:t>
            </w:r>
          </w:p>
        </w:tc>
        <w:tc>
          <w:tcPr>
            <w:tcW w:w="0" w:type="auto"/>
            <w:tcBorders>
              <w:top w:val="nil"/>
              <w:left w:val="nil"/>
              <w:bottom w:val="single" w:sz="4" w:space="0" w:color="auto"/>
              <w:right w:val="single" w:sz="4" w:space="0" w:color="auto"/>
            </w:tcBorders>
            <w:shd w:val="clear" w:color="auto" w:fill="auto"/>
            <w:vAlign w:val="center"/>
            <w:hideMark/>
          </w:tcPr>
          <w:p w14:paraId="2A9BDC9A" w14:textId="77777777" w:rsidR="00572995" w:rsidRPr="00483EBE" w:rsidRDefault="00572995" w:rsidP="00E8324D">
            <w:pPr>
              <w:pStyle w:val="Tablas"/>
              <w:rPr>
                <w:sz w:val="12"/>
                <w:szCs w:val="12"/>
              </w:rPr>
            </w:pPr>
            <w:r w:rsidRPr="00483EBE">
              <w:rPr>
                <w:sz w:val="12"/>
                <w:szCs w:val="12"/>
              </w:rPr>
              <w:t>$155</w:t>
            </w:r>
          </w:p>
        </w:tc>
        <w:tc>
          <w:tcPr>
            <w:tcW w:w="0" w:type="auto"/>
            <w:tcBorders>
              <w:top w:val="nil"/>
              <w:left w:val="nil"/>
              <w:bottom w:val="single" w:sz="4" w:space="0" w:color="auto"/>
              <w:right w:val="single" w:sz="4" w:space="0" w:color="auto"/>
            </w:tcBorders>
            <w:shd w:val="clear" w:color="auto" w:fill="auto"/>
            <w:vAlign w:val="center"/>
            <w:hideMark/>
          </w:tcPr>
          <w:p w14:paraId="386AB991"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715DBD4C" w14:textId="77777777" w:rsidR="00572995" w:rsidRPr="00483EBE" w:rsidRDefault="00572995" w:rsidP="00E8324D">
            <w:pPr>
              <w:pStyle w:val="Tablas"/>
              <w:rPr>
                <w:sz w:val="12"/>
                <w:szCs w:val="12"/>
              </w:rPr>
            </w:pPr>
            <w:r w:rsidRPr="00483EBE">
              <w:rPr>
                <w:sz w:val="12"/>
                <w:szCs w:val="12"/>
              </w:rPr>
              <w:t>SEBD</w:t>
            </w:r>
          </w:p>
        </w:tc>
      </w:tr>
      <w:tr w:rsidR="00572995" w:rsidRPr="00483EBE" w14:paraId="0BDABAB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E4CD69"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00A91A0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2573834" w14:textId="77777777" w:rsidR="00572995" w:rsidRPr="00483EBE" w:rsidRDefault="00572995" w:rsidP="00E8324D">
            <w:pPr>
              <w:pStyle w:val="Tablas"/>
              <w:rPr>
                <w:sz w:val="12"/>
                <w:szCs w:val="12"/>
              </w:rPr>
            </w:pPr>
            <w:r w:rsidRPr="00483EBE">
              <w:rPr>
                <w:sz w:val="12"/>
                <w:szCs w:val="12"/>
              </w:rPr>
              <w:t>$4,691</w:t>
            </w:r>
          </w:p>
        </w:tc>
        <w:tc>
          <w:tcPr>
            <w:tcW w:w="0" w:type="auto"/>
            <w:tcBorders>
              <w:top w:val="nil"/>
              <w:left w:val="nil"/>
              <w:bottom w:val="single" w:sz="4" w:space="0" w:color="auto"/>
              <w:right w:val="single" w:sz="4" w:space="0" w:color="auto"/>
            </w:tcBorders>
            <w:shd w:val="clear" w:color="auto" w:fill="auto"/>
            <w:vAlign w:val="center"/>
            <w:hideMark/>
          </w:tcPr>
          <w:p w14:paraId="17142AAA" w14:textId="77777777" w:rsidR="00572995" w:rsidRPr="00483EBE" w:rsidRDefault="00572995" w:rsidP="00E8324D">
            <w:pPr>
              <w:pStyle w:val="Tablas"/>
              <w:rPr>
                <w:sz w:val="12"/>
                <w:szCs w:val="12"/>
              </w:rPr>
            </w:pPr>
            <w:r w:rsidRPr="00483EBE">
              <w:rPr>
                <w:sz w:val="12"/>
                <w:szCs w:val="12"/>
              </w:rPr>
              <w:t>$2,346</w:t>
            </w:r>
          </w:p>
        </w:tc>
        <w:tc>
          <w:tcPr>
            <w:tcW w:w="0" w:type="auto"/>
            <w:tcBorders>
              <w:top w:val="nil"/>
              <w:left w:val="nil"/>
              <w:bottom w:val="single" w:sz="4" w:space="0" w:color="auto"/>
              <w:right w:val="single" w:sz="4" w:space="0" w:color="auto"/>
            </w:tcBorders>
            <w:shd w:val="clear" w:color="auto" w:fill="auto"/>
            <w:vAlign w:val="center"/>
            <w:hideMark/>
          </w:tcPr>
          <w:p w14:paraId="7BB57FDD"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7CF745C1"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53C02B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40D4DC"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432E679"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FC06EAC" w14:textId="77777777" w:rsidR="00572995" w:rsidRPr="00483EBE" w:rsidRDefault="00572995" w:rsidP="00E8324D">
            <w:pPr>
              <w:pStyle w:val="Tablas"/>
              <w:rPr>
                <w:sz w:val="12"/>
                <w:szCs w:val="12"/>
              </w:rPr>
            </w:pPr>
            <w:r w:rsidRPr="00483EBE">
              <w:rPr>
                <w:sz w:val="12"/>
                <w:szCs w:val="12"/>
              </w:rPr>
              <w:t>$2,711</w:t>
            </w:r>
          </w:p>
        </w:tc>
        <w:tc>
          <w:tcPr>
            <w:tcW w:w="0" w:type="auto"/>
            <w:tcBorders>
              <w:top w:val="nil"/>
              <w:left w:val="nil"/>
              <w:bottom w:val="single" w:sz="4" w:space="0" w:color="auto"/>
              <w:right w:val="single" w:sz="4" w:space="0" w:color="auto"/>
            </w:tcBorders>
            <w:shd w:val="clear" w:color="auto" w:fill="auto"/>
            <w:vAlign w:val="center"/>
            <w:hideMark/>
          </w:tcPr>
          <w:p w14:paraId="0462979A" w14:textId="77777777" w:rsidR="00572995" w:rsidRPr="00483EBE" w:rsidRDefault="00572995" w:rsidP="00E8324D">
            <w:pPr>
              <w:pStyle w:val="Tablas"/>
              <w:rPr>
                <w:sz w:val="12"/>
                <w:szCs w:val="12"/>
              </w:rPr>
            </w:pPr>
            <w:r w:rsidRPr="00483EBE">
              <w:rPr>
                <w:sz w:val="12"/>
                <w:szCs w:val="12"/>
              </w:rPr>
              <w:t>$1,356</w:t>
            </w:r>
          </w:p>
        </w:tc>
        <w:tc>
          <w:tcPr>
            <w:tcW w:w="0" w:type="auto"/>
            <w:tcBorders>
              <w:top w:val="nil"/>
              <w:left w:val="nil"/>
              <w:bottom w:val="single" w:sz="4" w:space="0" w:color="auto"/>
              <w:right w:val="single" w:sz="4" w:space="0" w:color="auto"/>
            </w:tcBorders>
            <w:shd w:val="clear" w:color="auto" w:fill="auto"/>
            <w:vAlign w:val="center"/>
            <w:hideMark/>
          </w:tcPr>
          <w:p w14:paraId="555E9DA0"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29D1E32F"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740556AA" w14:textId="77777777" w:rsidR="00572995" w:rsidRPr="00483EBE" w:rsidRDefault="00572995" w:rsidP="00E8324D">
            <w:pPr>
              <w:pStyle w:val="Tablas"/>
              <w:rPr>
                <w:sz w:val="12"/>
                <w:szCs w:val="12"/>
              </w:rPr>
            </w:pPr>
            <w:r w:rsidRPr="00483EBE">
              <w:rPr>
                <w:sz w:val="12"/>
                <w:szCs w:val="12"/>
              </w:rPr>
              <w:t>SEBD</w:t>
            </w:r>
          </w:p>
        </w:tc>
      </w:tr>
      <w:tr w:rsidR="00572995" w:rsidRPr="00483EBE" w14:paraId="43B42CB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3A8541"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1D16E8FB"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12F49AE9" w14:textId="77777777" w:rsidR="00572995" w:rsidRPr="00483EBE" w:rsidRDefault="00572995" w:rsidP="00E8324D">
            <w:pPr>
              <w:pStyle w:val="Tablas"/>
              <w:rPr>
                <w:sz w:val="12"/>
                <w:szCs w:val="12"/>
              </w:rPr>
            </w:pPr>
            <w:r w:rsidRPr="00483EBE">
              <w:rPr>
                <w:sz w:val="12"/>
                <w:szCs w:val="12"/>
              </w:rPr>
              <w:t>$11,029</w:t>
            </w:r>
          </w:p>
        </w:tc>
        <w:tc>
          <w:tcPr>
            <w:tcW w:w="0" w:type="auto"/>
            <w:tcBorders>
              <w:top w:val="nil"/>
              <w:left w:val="nil"/>
              <w:bottom w:val="single" w:sz="4" w:space="0" w:color="auto"/>
              <w:right w:val="single" w:sz="4" w:space="0" w:color="auto"/>
            </w:tcBorders>
            <w:shd w:val="clear" w:color="auto" w:fill="auto"/>
            <w:vAlign w:val="center"/>
            <w:hideMark/>
          </w:tcPr>
          <w:p w14:paraId="4CE79930" w14:textId="77777777" w:rsidR="00572995" w:rsidRPr="00483EBE" w:rsidRDefault="00572995" w:rsidP="00E8324D">
            <w:pPr>
              <w:pStyle w:val="Tablas"/>
              <w:rPr>
                <w:sz w:val="12"/>
                <w:szCs w:val="12"/>
              </w:rPr>
            </w:pPr>
            <w:r w:rsidRPr="00483EBE">
              <w:rPr>
                <w:sz w:val="12"/>
                <w:szCs w:val="12"/>
              </w:rPr>
              <w:t>$2,206</w:t>
            </w:r>
          </w:p>
        </w:tc>
        <w:tc>
          <w:tcPr>
            <w:tcW w:w="0" w:type="auto"/>
            <w:tcBorders>
              <w:top w:val="nil"/>
              <w:left w:val="nil"/>
              <w:bottom w:val="single" w:sz="4" w:space="0" w:color="auto"/>
              <w:right w:val="single" w:sz="4" w:space="0" w:color="auto"/>
            </w:tcBorders>
            <w:shd w:val="clear" w:color="auto" w:fill="auto"/>
            <w:vAlign w:val="center"/>
            <w:hideMark/>
          </w:tcPr>
          <w:p w14:paraId="6BEC9748" w14:textId="77777777" w:rsidR="00572995" w:rsidRPr="00483EBE" w:rsidRDefault="00572995" w:rsidP="00E8324D">
            <w:pPr>
              <w:pStyle w:val="Tablas"/>
              <w:rPr>
                <w:sz w:val="12"/>
                <w:szCs w:val="12"/>
              </w:rPr>
            </w:pPr>
            <w:r w:rsidRPr="00483EBE">
              <w:rPr>
                <w:sz w:val="12"/>
                <w:szCs w:val="12"/>
              </w:rPr>
              <w:t>$184</w:t>
            </w:r>
          </w:p>
        </w:tc>
        <w:tc>
          <w:tcPr>
            <w:tcW w:w="0" w:type="auto"/>
            <w:tcBorders>
              <w:top w:val="nil"/>
              <w:left w:val="nil"/>
              <w:bottom w:val="single" w:sz="4" w:space="0" w:color="auto"/>
              <w:right w:val="single" w:sz="4" w:space="0" w:color="auto"/>
            </w:tcBorders>
            <w:shd w:val="clear" w:color="auto" w:fill="auto"/>
            <w:vAlign w:val="center"/>
            <w:hideMark/>
          </w:tcPr>
          <w:p w14:paraId="6E74A4F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BEA2CE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C8FC79"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068A790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9522843"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2FDF4B96"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24638AA4"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19CA848E"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094C004D" w14:textId="77777777" w:rsidR="00572995" w:rsidRPr="00483EBE" w:rsidRDefault="00572995" w:rsidP="00E8324D">
            <w:pPr>
              <w:pStyle w:val="Tablas"/>
              <w:rPr>
                <w:sz w:val="12"/>
                <w:szCs w:val="12"/>
              </w:rPr>
            </w:pPr>
            <w:r w:rsidRPr="00483EBE">
              <w:rPr>
                <w:sz w:val="12"/>
                <w:szCs w:val="12"/>
              </w:rPr>
              <w:t>SEBD</w:t>
            </w:r>
          </w:p>
        </w:tc>
      </w:tr>
      <w:tr w:rsidR="00572995" w:rsidRPr="00483EBE" w14:paraId="6A1C1E1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253349"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182D758D"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230369C8" w14:textId="77777777" w:rsidR="00572995" w:rsidRPr="00483EBE" w:rsidRDefault="00572995" w:rsidP="00E8324D">
            <w:pPr>
              <w:pStyle w:val="Tablas"/>
              <w:rPr>
                <w:sz w:val="12"/>
                <w:szCs w:val="12"/>
              </w:rPr>
            </w:pPr>
            <w:r w:rsidRPr="00483EBE">
              <w:rPr>
                <w:sz w:val="12"/>
                <w:szCs w:val="12"/>
              </w:rPr>
              <w:t>$24,400</w:t>
            </w:r>
          </w:p>
        </w:tc>
        <w:tc>
          <w:tcPr>
            <w:tcW w:w="0" w:type="auto"/>
            <w:tcBorders>
              <w:top w:val="nil"/>
              <w:left w:val="nil"/>
              <w:bottom w:val="single" w:sz="4" w:space="0" w:color="auto"/>
              <w:right w:val="single" w:sz="4" w:space="0" w:color="auto"/>
            </w:tcBorders>
            <w:shd w:val="clear" w:color="auto" w:fill="auto"/>
            <w:vAlign w:val="center"/>
            <w:hideMark/>
          </w:tcPr>
          <w:p w14:paraId="54FDE30A" w14:textId="77777777" w:rsidR="00572995" w:rsidRPr="00483EBE" w:rsidRDefault="00572995" w:rsidP="00E8324D">
            <w:pPr>
              <w:pStyle w:val="Tablas"/>
              <w:rPr>
                <w:sz w:val="12"/>
                <w:szCs w:val="12"/>
              </w:rPr>
            </w:pPr>
            <w:r w:rsidRPr="00483EBE">
              <w:rPr>
                <w:sz w:val="12"/>
                <w:szCs w:val="12"/>
              </w:rPr>
              <w:t>$4,067</w:t>
            </w:r>
          </w:p>
        </w:tc>
        <w:tc>
          <w:tcPr>
            <w:tcW w:w="0" w:type="auto"/>
            <w:tcBorders>
              <w:top w:val="nil"/>
              <w:left w:val="nil"/>
              <w:bottom w:val="single" w:sz="4" w:space="0" w:color="auto"/>
              <w:right w:val="single" w:sz="4" w:space="0" w:color="auto"/>
            </w:tcBorders>
            <w:shd w:val="clear" w:color="auto" w:fill="auto"/>
            <w:vAlign w:val="center"/>
            <w:hideMark/>
          </w:tcPr>
          <w:p w14:paraId="2AFBD81E" w14:textId="77777777" w:rsidR="00572995" w:rsidRPr="00483EBE" w:rsidRDefault="00572995" w:rsidP="00E8324D">
            <w:pPr>
              <w:pStyle w:val="Tablas"/>
              <w:rPr>
                <w:sz w:val="12"/>
                <w:szCs w:val="12"/>
              </w:rPr>
            </w:pPr>
            <w:r w:rsidRPr="00483EBE">
              <w:rPr>
                <w:sz w:val="12"/>
                <w:szCs w:val="12"/>
              </w:rPr>
              <w:t>$339</w:t>
            </w:r>
          </w:p>
        </w:tc>
        <w:tc>
          <w:tcPr>
            <w:tcW w:w="0" w:type="auto"/>
            <w:tcBorders>
              <w:top w:val="nil"/>
              <w:left w:val="nil"/>
              <w:bottom w:val="single" w:sz="4" w:space="0" w:color="auto"/>
              <w:right w:val="single" w:sz="4" w:space="0" w:color="auto"/>
            </w:tcBorders>
            <w:shd w:val="clear" w:color="auto" w:fill="auto"/>
            <w:vAlign w:val="center"/>
            <w:hideMark/>
          </w:tcPr>
          <w:p w14:paraId="1A9EB671"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5C9C1B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9CAA5"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5080001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991797B" w14:textId="77777777" w:rsidR="00572995" w:rsidRPr="00483EBE" w:rsidRDefault="00572995" w:rsidP="00E8324D">
            <w:pPr>
              <w:pStyle w:val="Tablas"/>
              <w:rPr>
                <w:sz w:val="12"/>
                <w:szCs w:val="12"/>
              </w:rPr>
            </w:pPr>
            <w:r w:rsidRPr="00483EBE">
              <w:rPr>
                <w:sz w:val="12"/>
                <w:szCs w:val="12"/>
              </w:rPr>
              <w:t>$6,373</w:t>
            </w:r>
          </w:p>
        </w:tc>
        <w:tc>
          <w:tcPr>
            <w:tcW w:w="0" w:type="auto"/>
            <w:tcBorders>
              <w:top w:val="nil"/>
              <w:left w:val="nil"/>
              <w:bottom w:val="single" w:sz="4" w:space="0" w:color="auto"/>
              <w:right w:val="single" w:sz="4" w:space="0" w:color="auto"/>
            </w:tcBorders>
            <w:shd w:val="clear" w:color="auto" w:fill="auto"/>
            <w:vAlign w:val="center"/>
            <w:hideMark/>
          </w:tcPr>
          <w:p w14:paraId="3CEE43D1" w14:textId="77777777" w:rsidR="00572995" w:rsidRPr="00483EBE" w:rsidRDefault="00572995" w:rsidP="00E8324D">
            <w:pPr>
              <w:pStyle w:val="Tablas"/>
              <w:rPr>
                <w:sz w:val="12"/>
                <w:szCs w:val="12"/>
              </w:rPr>
            </w:pPr>
            <w:r w:rsidRPr="00483EBE">
              <w:rPr>
                <w:sz w:val="12"/>
                <w:szCs w:val="12"/>
              </w:rPr>
              <w:t>$6,373</w:t>
            </w:r>
          </w:p>
        </w:tc>
        <w:tc>
          <w:tcPr>
            <w:tcW w:w="0" w:type="auto"/>
            <w:tcBorders>
              <w:top w:val="nil"/>
              <w:left w:val="nil"/>
              <w:bottom w:val="single" w:sz="4" w:space="0" w:color="auto"/>
              <w:right w:val="single" w:sz="4" w:space="0" w:color="auto"/>
            </w:tcBorders>
            <w:shd w:val="clear" w:color="auto" w:fill="auto"/>
            <w:vAlign w:val="center"/>
            <w:hideMark/>
          </w:tcPr>
          <w:p w14:paraId="1BAC847E" w14:textId="77777777" w:rsidR="00572995" w:rsidRPr="00483EBE" w:rsidRDefault="00572995" w:rsidP="00E8324D">
            <w:pPr>
              <w:pStyle w:val="Tablas"/>
              <w:rPr>
                <w:sz w:val="12"/>
                <w:szCs w:val="12"/>
              </w:rPr>
            </w:pPr>
            <w:r w:rsidRPr="00483EBE">
              <w:rPr>
                <w:sz w:val="12"/>
                <w:szCs w:val="12"/>
              </w:rPr>
              <w:t>$531</w:t>
            </w:r>
          </w:p>
        </w:tc>
        <w:tc>
          <w:tcPr>
            <w:tcW w:w="0" w:type="auto"/>
            <w:tcBorders>
              <w:top w:val="nil"/>
              <w:left w:val="nil"/>
              <w:bottom w:val="single" w:sz="4" w:space="0" w:color="auto"/>
              <w:right w:val="single" w:sz="4" w:space="0" w:color="auto"/>
            </w:tcBorders>
            <w:shd w:val="clear" w:color="auto" w:fill="auto"/>
            <w:vAlign w:val="center"/>
            <w:hideMark/>
          </w:tcPr>
          <w:p w14:paraId="446387E7"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39617040" w14:textId="77777777" w:rsidR="00572995" w:rsidRPr="00483EBE" w:rsidRDefault="00572995" w:rsidP="00E8324D">
            <w:pPr>
              <w:pStyle w:val="Tablas"/>
              <w:rPr>
                <w:sz w:val="12"/>
                <w:szCs w:val="12"/>
              </w:rPr>
            </w:pPr>
            <w:r w:rsidRPr="00483EBE">
              <w:rPr>
                <w:sz w:val="12"/>
                <w:szCs w:val="12"/>
              </w:rPr>
              <w:t>SEBD</w:t>
            </w:r>
          </w:p>
        </w:tc>
      </w:tr>
      <w:tr w:rsidR="00572995" w:rsidRPr="00483EBE" w14:paraId="4621B31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BB4633"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5280F74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89C50F1" w14:textId="77777777" w:rsidR="00572995" w:rsidRPr="00483EBE" w:rsidRDefault="00572995" w:rsidP="00E8324D">
            <w:pPr>
              <w:pStyle w:val="Tablas"/>
              <w:rPr>
                <w:sz w:val="12"/>
                <w:szCs w:val="12"/>
              </w:rPr>
            </w:pPr>
            <w:r w:rsidRPr="00483EBE">
              <w:rPr>
                <w:sz w:val="12"/>
                <w:szCs w:val="12"/>
              </w:rPr>
              <w:t>$10,019</w:t>
            </w:r>
          </w:p>
        </w:tc>
        <w:tc>
          <w:tcPr>
            <w:tcW w:w="0" w:type="auto"/>
            <w:tcBorders>
              <w:top w:val="nil"/>
              <w:left w:val="nil"/>
              <w:bottom w:val="single" w:sz="4" w:space="0" w:color="auto"/>
              <w:right w:val="single" w:sz="4" w:space="0" w:color="auto"/>
            </w:tcBorders>
            <w:shd w:val="clear" w:color="auto" w:fill="auto"/>
            <w:vAlign w:val="center"/>
            <w:hideMark/>
          </w:tcPr>
          <w:p w14:paraId="5FD9ECB7" w14:textId="77777777" w:rsidR="00572995" w:rsidRPr="00483EBE" w:rsidRDefault="00572995" w:rsidP="00E8324D">
            <w:pPr>
              <w:pStyle w:val="Tablas"/>
              <w:rPr>
                <w:sz w:val="12"/>
                <w:szCs w:val="12"/>
              </w:rPr>
            </w:pPr>
            <w:r w:rsidRPr="00483EBE">
              <w:rPr>
                <w:sz w:val="12"/>
                <w:szCs w:val="12"/>
              </w:rPr>
              <w:t>$3,340</w:t>
            </w:r>
          </w:p>
        </w:tc>
        <w:tc>
          <w:tcPr>
            <w:tcW w:w="0" w:type="auto"/>
            <w:tcBorders>
              <w:top w:val="nil"/>
              <w:left w:val="nil"/>
              <w:bottom w:val="single" w:sz="4" w:space="0" w:color="auto"/>
              <w:right w:val="single" w:sz="4" w:space="0" w:color="auto"/>
            </w:tcBorders>
            <w:shd w:val="clear" w:color="auto" w:fill="auto"/>
            <w:vAlign w:val="center"/>
            <w:hideMark/>
          </w:tcPr>
          <w:p w14:paraId="465B070A" w14:textId="77777777" w:rsidR="00572995" w:rsidRPr="00483EBE" w:rsidRDefault="00572995" w:rsidP="00E8324D">
            <w:pPr>
              <w:pStyle w:val="Tablas"/>
              <w:rPr>
                <w:sz w:val="12"/>
                <w:szCs w:val="12"/>
              </w:rPr>
            </w:pPr>
            <w:r w:rsidRPr="00483EBE">
              <w:rPr>
                <w:sz w:val="12"/>
                <w:szCs w:val="12"/>
              </w:rPr>
              <w:t>$278</w:t>
            </w:r>
          </w:p>
        </w:tc>
        <w:tc>
          <w:tcPr>
            <w:tcW w:w="0" w:type="auto"/>
            <w:tcBorders>
              <w:top w:val="nil"/>
              <w:left w:val="nil"/>
              <w:bottom w:val="single" w:sz="4" w:space="0" w:color="auto"/>
              <w:right w:val="single" w:sz="4" w:space="0" w:color="auto"/>
            </w:tcBorders>
            <w:shd w:val="clear" w:color="auto" w:fill="auto"/>
            <w:vAlign w:val="center"/>
            <w:hideMark/>
          </w:tcPr>
          <w:p w14:paraId="2D29ED51"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C81F85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2213F9"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736531E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C37CA07" w14:textId="77777777" w:rsidR="00572995" w:rsidRPr="00483EBE" w:rsidRDefault="00572995" w:rsidP="00E8324D">
            <w:pPr>
              <w:pStyle w:val="Tablas"/>
              <w:rPr>
                <w:sz w:val="12"/>
                <w:szCs w:val="12"/>
              </w:rPr>
            </w:pPr>
            <w:r w:rsidRPr="00483EBE">
              <w:rPr>
                <w:sz w:val="12"/>
                <w:szCs w:val="12"/>
              </w:rPr>
              <w:t>$3,998</w:t>
            </w:r>
          </w:p>
        </w:tc>
        <w:tc>
          <w:tcPr>
            <w:tcW w:w="0" w:type="auto"/>
            <w:tcBorders>
              <w:top w:val="nil"/>
              <w:left w:val="nil"/>
              <w:bottom w:val="single" w:sz="4" w:space="0" w:color="auto"/>
              <w:right w:val="single" w:sz="4" w:space="0" w:color="auto"/>
            </w:tcBorders>
            <w:shd w:val="clear" w:color="auto" w:fill="auto"/>
            <w:vAlign w:val="center"/>
            <w:hideMark/>
          </w:tcPr>
          <w:p w14:paraId="534E2C0F" w14:textId="77777777" w:rsidR="00572995" w:rsidRPr="00483EBE" w:rsidRDefault="00572995" w:rsidP="00E8324D">
            <w:pPr>
              <w:pStyle w:val="Tablas"/>
              <w:rPr>
                <w:sz w:val="12"/>
                <w:szCs w:val="12"/>
              </w:rPr>
            </w:pPr>
            <w:r w:rsidRPr="00483EBE">
              <w:rPr>
                <w:sz w:val="12"/>
                <w:szCs w:val="12"/>
              </w:rPr>
              <w:t>$3,998</w:t>
            </w:r>
          </w:p>
        </w:tc>
        <w:tc>
          <w:tcPr>
            <w:tcW w:w="0" w:type="auto"/>
            <w:tcBorders>
              <w:top w:val="nil"/>
              <w:left w:val="nil"/>
              <w:bottom w:val="single" w:sz="4" w:space="0" w:color="auto"/>
              <w:right w:val="single" w:sz="4" w:space="0" w:color="auto"/>
            </w:tcBorders>
            <w:shd w:val="clear" w:color="auto" w:fill="auto"/>
            <w:vAlign w:val="center"/>
            <w:hideMark/>
          </w:tcPr>
          <w:p w14:paraId="78FD1A28" w14:textId="77777777" w:rsidR="00572995" w:rsidRPr="00483EBE" w:rsidRDefault="00572995" w:rsidP="00E8324D">
            <w:pPr>
              <w:pStyle w:val="Tablas"/>
              <w:rPr>
                <w:sz w:val="12"/>
                <w:szCs w:val="12"/>
              </w:rPr>
            </w:pPr>
            <w:r w:rsidRPr="00483EBE">
              <w:rPr>
                <w:sz w:val="12"/>
                <w:szCs w:val="12"/>
              </w:rPr>
              <w:t>$333</w:t>
            </w:r>
          </w:p>
        </w:tc>
        <w:tc>
          <w:tcPr>
            <w:tcW w:w="0" w:type="auto"/>
            <w:tcBorders>
              <w:top w:val="nil"/>
              <w:left w:val="nil"/>
              <w:bottom w:val="single" w:sz="4" w:space="0" w:color="auto"/>
              <w:right w:val="single" w:sz="4" w:space="0" w:color="auto"/>
            </w:tcBorders>
            <w:shd w:val="clear" w:color="auto" w:fill="auto"/>
            <w:vAlign w:val="center"/>
            <w:hideMark/>
          </w:tcPr>
          <w:p w14:paraId="20E16127"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0158C8F3" w14:textId="77777777" w:rsidR="00572995" w:rsidRPr="00483EBE" w:rsidRDefault="00572995" w:rsidP="00E8324D">
            <w:pPr>
              <w:pStyle w:val="Tablas"/>
              <w:rPr>
                <w:sz w:val="12"/>
                <w:szCs w:val="12"/>
              </w:rPr>
            </w:pPr>
            <w:r w:rsidRPr="00483EBE">
              <w:rPr>
                <w:sz w:val="12"/>
                <w:szCs w:val="12"/>
              </w:rPr>
              <w:t>SEBD</w:t>
            </w:r>
          </w:p>
        </w:tc>
      </w:tr>
      <w:tr w:rsidR="00572995" w:rsidRPr="00483EBE" w14:paraId="5D05095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E08EFE"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62DA5B19"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6DE5AA17" w14:textId="77777777" w:rsidR="00572995" w:rsidRPr="00483EBE" w:rsidRDefault="00572995" w:rsidP="00E8324D">
            <w:pPr>
              <w:pStyle w:val="Tablas"/>
              <w:rPr>
                <w:sz w:val="12"/>
                <w:szCs w:val="12"/>
              </w:rPr>
            </w:pPr>
            <w:r w:rsidRPr="00483EBE">
              <w:rPr>
                <w:sz w:val="12"/>
                <w:szCs w:val="12"/>
              </w:rPr>
              <w:t>$20,213</w:t>
            </w:r>
          </w:p>
        </w:tc>
        <w:tc>
          <w:tcPr>
            <w:tcW w:w="0" w:type="auto"/>
            <w:tcBorders>
              <w:top w:val="nil"/>
              <w:left w:val="nil"/>
              <w:bottom w:val="single" w:sz="4" w:space="0" w:color="auto"/>
              <w:right w:val="single" w:sz="4" w:space="0" w:color="auto"/>
            </w:tcBorders>
            <w:shd w:val="clear" w:color="auto" w:fill="auto"/>
            <w:vAlign w:val="center"/>
            <w:hideMark/>
          </w:tcPr>
          <w:p w14:paraId="1EBB36A8" w14:textId="77777777" w:rsidR="00572995" w:rsidRPr="00483EBE" w:rsidRDefault="00572995" w:rsidP="00E8324D">
            <w:pPr>
              <w:pStyle w:val="Tablas"/>
              <w:rPr>
                <w:sz w:val="12"/>
                <w:szCs w:val="12"/>
              </w:rPr>
            </w:pPr>
            <w:r w:rsidRPr="00483EBE">
              <w:rPr>
                <w:sz w:val="12"/>
                <w:szCs w:val="12"/>
              </w:rPr>
              <w:t>$2,021</w:t>
            </w:r>
          </w:p>
        </w:tc>
        <w:tc>
          <w:tcPr>
            <w:tcW w:w="0" w:type="auto"/>
            <w:tcBorders>
              <w:top w:val="nil"/>
              <w:left w:val="nil"/>
              <w:bottom w:val="single" w:sz="4" w:space="0" w:color="auto"/>
              <w:right w:val="single" w:sz="4" w:space="0" w:color="auto"/>
            </w:tcBorders>
            <w:shd w:val="clear" w:color="auto" w:fill="auto"/>
            <w:vAlign w:val="center"/>
            <w:hideMark/>
          </w:tcPr>
          <w:p w14:paraId="0F2CA014" w14:textId="77777777" w:rsidR="00572995" w:rsidRPr="00483EBE" w:rsidRDefault="00572995" w:rsidP="00E8324D">
            <w:pPr>
              <w:pStyle w:val="Tablas"/>
              <w:rPr>
                <w:sz w:val="12"/>
                <w:szCs w:val="12"/>
              </w:rPr>
            </w:pPr>
            <w:r w:rsidRPr="00483EBE">
              <w:rPr>
                <w:sz w:val="12"/>
                <w:szCs w:val="12"/>
              </w:rPr>
              <w:t>$168</w:t>
            </w:r>
          </w:p>
        </w:tc>
        <w:tc>
          <w:tcPr>
            <w:tcW w:w="0" w:type="auto"/>
            <w:tcBorders>
              <w:top w:val="nil"/>
              <w:left w:val="nil"/>
              <w:bottom w:val="single" w:sz="4" w:space="0" w:color="auto"/>
              <w:right w:val="single" w:sz="4" w:space="0" w:color="auto"/>
            </w:tcBorders>
            <w:shd w:val="clear" w:color="auto" w:fill="auto"/>
            <w:vAlign w:val="center"/>
            <w:hideMark/>
          </w:tcPr>
          <w:p w14:paraId="3E05D8F6"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16129F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939EFB"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4546CA2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7C5ACF1"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05888441"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614657E6"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62A70BC9" w14:textId="77777777" w:rsidR="00572995" w:rsidRPr="00483EBE" w:rsidRDefault="00572995" w:rsidP="00E8324D">
            <w:pPr>
              <w:pStyle w:val="Tablas"/>
              <w:rPr>
                <w:sz w:val="12"/>
                <w:szCs w:val="12"/>
              </w:rPr>
            </w:pPr>
            <w:r w:rsidRPr="00483EBE">
              <w:rPr>
                <w:sz w:val="12"/>
                <w:szCs w:val="12"/>
              </w:rPr>
              <w:t>VIUDEZ INVALIDA</w:t>
            </w:r>
          </w:p>
        </w:tc>
        <w:tc>
          <w:tcPr>
            <w:tcW w:w="582" w:type="dxa"/>
            <w:tcBorders>
              <w:top w:val="nil"/>
              <w:left w:val="nil"/>
              <w:bottom w:val="single" w:sz="4" w:space="0" w:color="auto"/>
              <w:right w:val="single" w:sz="8" w:space="0" w:color="auto"/>
            </w:tcBorders>
            <w:shd w:val="clear" w:color="auto" w:fill="auto"/>
            <w:vAlign w:val="center"/>
            <w:hideMark/>
          </w:tcPr>
          <w:p w14:paraId="3D7C1A2D" w14:textId="77777777" w:rsidR="00572995" w:rsidRPr="00483EBE" w:rsidRDefault="00572995" w:rsidP="00E8324D">
            <w:pPr>
              <w:pStyle w:val="Tablas"/>
              <w:rPr>
                <w:sz w:val="12"/>
                <w:szCs w:val="12"/>
              </w:rPr>
            </w:pPr>
            <w:r w:rsidRPr="00483EBE">
              <w:rPr>
                <w:sz w:val="12"/>
                <w:szCs w:val="12"/>
              </w:rPr>
              <w:t>SEBD</w:t>
            </w:r>
          </w:p>
        </w:tc>
      </w:tr>
      <w:tr w:rsidR="00572995" w:rsidRPr="00483EBE" w14:paraId="7DA0B38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5450689"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64186FC3"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18847C4F" w14:textId="77777777" w:rsidR="00572995" w:rsidRPr="00483EBE" w:rsidRDefault="00572995" w:rsidP="00E8324D">
            <w:pPr>
              <w:pStyle w:val="Tablas"/>
              <w:rPr>
                <w:sz w:val="12"/>
                <w:szCs w:val="12"/>
              </w:rPr>
            </w:pPr>
            <w:r w:rsidRPr="00483EBE">
              <w:rPr>
                <w:sz w:val="12"/>
                <w:szCs w:val="12"/>
              </w:rPr>
              <w:t>$18,834</w:t>
            </w:r>
          </w:p>
        </w:tc>
        <w:tc>
          <w:tcPr>
            <w:tcW w:w="0" w:type="auto"/>
            <w:tcBorders>
              <w:top w:val="nil"/>
              <w:left w:val="nil"/>
              <w:bottom w:val="single" w:sz="4" w:space="0" w:color="auto"/>
              <w:right w:val="single" w:sz="4" w:space="0" w:color="auto"/>
            </w:tcBorders>
            <w:shd w:val="clear" w:color="auto" w:fill="auto"/>
            <w:vAlign w:val="center"/>
            <w:hideMark/>
          </w:tcPr>
          <w:p w14:paraId="2DA1AED4" w14:textId="77777777" w:rsidR="00572995" w:rsidRPr="00483EBE" w:rsidRDefault="00572995" w:rsidP="00E8324D">
            <w:pPr>
              <w:pStyle w:val="Tablas"/>
              <w:rPr>
                <w:sz w:val="12"/>
                <w:szCs w:val="12"/>
              </w:rPr>
            </w:pPr>
            <w:r w:rsidRPr="00483EBE">
              <w:rPr>
                <w:sz w:val="12"/>
                <w:szCs w:val="12"/>
              </w:rPr>
              <w:t>$2,354</w:t>
            </w:r>
          </w:p>
        </w:tc>
        <w:tc>
          <w:tcPr>
            <w:tcW w:w="0" w:type="auto"/>
            <w:tcBorders>
              <w:top w:val="nil"/>
              <w:left w:val="nil"/>
              <w:bottom w:val="single" w:sz="4" w:space="0" w:color="auto"/>
              <w:right w:val="single" w:sz="4" w:space="0" w:color="auto"/>
            </w:tcBorders>
            <w:shd w:val="clear" w:color="auto" w:fill="auto"/>
            <w:vAlign w:val="center"/>
            <w:hideMark/>
          </w:tcPr>
          <w:p w14:paraId="2EBCC379" w14:textId="77777777" w:rsidR="00572995" w:rsidRPr="00483EBE" w:rsidRDefault="00572995" w:rsidP="00E8324D">
            <w:pPr>
              <w:pStyle w:val="Tablas"/>
              <w:rPr>
                <w:sz w:val="12"/>
                <w:szCs w:val="12"/>
              </w:rPr>
            </w:pPr>
            <w:r w:rsidRPr="00483EBE">
              <w:rPr>
                <w:sz w:val="12"/>
                <w:szCs w:val="12"/>
              </w:rPr>
              <w:t>$196</w:t>
            </w:r>
          </w:p>
        </w:tc>
        <w:tc>
          <w:tcPr>
            <w:tcW w:w="0" w:type="auto"/>
            <w:tcBorders>
              <w:top w:val="nil"/>
              <w:left w:val="nil"/>
              <w:bottom w:val="single" w:sz="4" w:space="0" w:color="auto"/>
              <w:right w:val="single" w:sz="4" w:space="0" w:color="auto"/>
            </w:tcBorders>
            <w:shd w:val="clear" w:color="auto" w:fill="auto"/>
            <w:vAlign w:val="center"/>
            <w:hideMark/>
          </w:tcPr>
          <w:p w14:paraId="1AA3C53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7D2653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80CCD5" w14:textId="77777777" w:rsidR="00572995" w:rsidRPr="00483EBE" w:rsidRDefault="00572995" w:rsidP="00E8324D">
            <w:pPr>
              <w:pStyle w:val="Tablas"/>
              <w:rPr>
                <w:sz w:val="12"/>
                <w:szCs w:val="12"/>
              </w:rPr>
            </w:pPr>
            <w:r w:rsidRPr="00483EBE">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513F04E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9AB3587" w14:textId="77777777" w:rsidR="00572995" w:rsidRPr="00483EBE" w:rsidRDefault="00572995" w:rsidP="00E8324D">
            <w:pPr>
              <w:pStyle w:val="Tablas"/>
              <w:rPr>
                <w:sz w:val="12"/>
                <w:szCs w:val="12"/>
              </w:rPr>
            </w:pPr>
            <w:r w:rsidRPr="00483EBE">
              <w:rPr>
                <w:sz w:val="12"/>
                <w:szCs w:val="12"/>
              </w:rPr>
              <w:t>$1,338</w:t>
            </w:r>
          </w:p>
        </w:tc>
        <w:tc>
          <w:tcPr>
            <w:tcW w:w="0" w:type="auto"/>
            <w:tcBorders>
              <w:top w:val="nil"/>
              <w:left w:val="nil"/>
              <w:bottom w:val="single" w:sz="4" w:space="0" w:color="auto"/>
              <w:right w:val="single" w:sz="4" w:space="0" w:color="auto"/>
            </w:tcBorders>
            <w:shd w:val="clear" w:color="auto" w:fill="auto"/>
            <w:vAlign w:val="center"/>
            <w:hideMark/>
          </w:tcPr>
          <w:p w14:paraId="38317DAB" w14:textId="77777777" w:rsidR="00572995" w:rsidRPr="00483EBE" w:rsidRDefault="00572995" w:rsidP="00E8324D">
            <w:pPr>
              <w:pStyle w:val="Tablas"/>
              <w:rPr>
                <w:sz w:val="12"/>
                <w:szCs w:val="12"/>
              </w:rPr>
            </w:pPr>
            <w:r w:rsidRPr="00483EBE">
              <w:rPr>
                <w:sz w:val="12"/>
                <w:szCs w:val="12"/>
              </w:rPr>
              <w:t>$1,338</w:t>
            </w:r>
          </w:p>
        </w:tc>
        <w:tc>
          <w:tcPr>
            <w:tcW w:w="0" w:type="auto"/>
            <w:tcBorders>
              <w:top w:val="nil"/>
              <w:left w:val="nil"/>
              <w:bottom w:val="single" w:sz="4" w:space="0" w:color="auto"/>
              <w:right w:val="single" w:sz="4" w:space="0" w:color="auto"/>
            </w:tcBorders>
            <w:shd w:val="clear" w:color="auto" w:fill="auto"/>
            <w:vAlign w:val="center"/>
            <w:hideMark/>
          </w:tcPr>
          <w:p w14:paraId="5DAEEC40" w14:textId="77777777" w:rsidR="00572995" w:rsidRPr="00483EBE" w:rsidRDefault="00572995" w:rsidP="00E8324D">
            <w:pPr>
              <w:pStyle w:val="Tablas"/>
              <w:rPr>
                <w:sz w:val="12"/>
                <w:szCs w:val="12"/>
              </w:rPr>
            </w:pPr>
            <w:r w:rsidRPr="00483EBE">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1AAA3901"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0F59A878" w14:textId="77777777" w:rsidR="00572995" w:rsidRPr="00483EBE" w:rsidRDefault="00572995" w:rsidP="00E8324D">
            <w:pPr>
              <w:pStyle w:val="Tablas"/>
              <w:rPr>
                <w:sz w:val="12"/>
                <w:szCs w:val="12"/>
              </w:rPr>
            </w:pPr>
            <w:r w:rsidRPr="00483EBE">
              <w:rPr>
                <w:sz w:val="12"/>
                <w:szCs w:val="12"/>
              </w:rPr>
              <w:t>SEBD</w:t>
            </w:r>
          </w:p>
        </w:tc>
      </w:tr>
      <w:tr w:rsidR="00572995" w:rsidRPr="00483EBE" w14:paraId="00CB6D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14E54B"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51AD2338"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7A2D054A" w14:textId="77777777" w:rsidR="00572995" w:rsidRPr="00483EBE" w:rsidRDefault="00572995" w:rsidP="00E8324D">
            <w:pPr>
              <w:pStyle w:val="Tablas"/>
              <w:rPr>
                <w:sz w:val="12"/>
                <w:szCs w:val="12"/>
              </w:rPr>
            </w:pPr>
            <w:r w:rsidRPr="00483EBE">
              <w:rPr>
                <w:sz w:val="12"/>
                <w:szCs w:val="12"/>
              </w:rPr>
              <w:t>$37,729</w:t>
            </w:r>
          </w:p>
        </w:tc>
        <w:tc>
          <w:tcPr>
            <w:tcW w:w="0" w:type="auto"/>
            <w:tcBorders>
              <w:top w:val="nil"/>
              <w:left w:val="nil"/>
              <w:bottom w:val="single" w:sz="4" w:space="0" w:color="auto"/>
              <w:right w:val="single" w:sz="4" w:space="0" w:color="auto"/>
            </w:tcBorders>
            <w:shd w:val="clear" w:color="auto" w:fill="auto"/>
            <w:vAlign w:val="center"/>
            <w:hideMark/>
          </w:tcPr>
          <w:p w14:paraId="2C30E1F1" w14:textId="77777777" w:rsidR="00572995" w:rsidRPr="00483EBE" w:rsidRDefault="00572995" w:rsidP="00E8324D">
            <w:pPr>
              <w:pStyle w:val="Tablas"/>
              <w:rPr>
                <w:sz w:val="12"/>
                <w:szCs w:val="12"/>
              </w:rPr>
            </w:pPr>
            <w:r w:rsidRPr="00483EBE">
              <w:rPr>
                <w:sz w:val="12"/>
                <w:szCs w:val="12"/>
              </w:rPr>
              <w:t>$2,515</w:t>
            </w:r>
          </w:p>
        </w:tc>
        <w:tc>
          <w:tcPr>
            <w:tcW w:w="0" w:type="auto"/>
            <w:tcBorders>
              <w:top w:val="nil"/>
              <w:left w:val="nil"/>
              <w:bottom w:val="single" w:sz="4" w:space="0" w:color="auto"/>
              <w:right w:val="single" w:sz="4" w:space="0" w:color="auto"/>
            </w:tcBorders>
            <w:shd w:val="clear" w:color="auto" w:fill="auto"/>
            <w:vAlign w:val="center"/>
            <w:hideMark/>
          </w:tcPr>
          <w:p w14:paraId="6A58B057" w14:textId="77777777" w:rsidR="00572995" w:rsidRPr="00483EBE" w:rsidRDefault="00572995" w:rsidP="00E8324D">
            <w:pPr>
              <w:pStyle w:val="Tablas"/>
              <w:rPr>
                <w:sz w:val="12"/>
                <w:szCs w:val="12"/>
              </w:rPr>
            </w:pPr>
            <w:r w:rsidRPr="00483EBE">
              <w:rPr>
                <w:sz w:val="12"/>
                <w:szCs w:val="12"/>
              </w:rPr>
              <w:t>$210</w:t>
            </w:r>
          </w:p>
        </w:tc>
        <w:tc>
          <w:tcPr>
            <w:tcW w:w="0" w:type="auto"/>
            <w:tcBorders>
              <w:top w:val="nil"/>
              <w:left w:val="nil"/>
              <w:bottom w:val="single" w:sz="4" w:space="0" w:color="auto"/>
              <w:right w:val="single" w:sz="4" w:space="0" w:color="auto"/>
            </w:tcBorders>
            <w:shd w:val="clear" w:color="auto" w:fill="auto"/>
            <w:vAlign w:val="center"/>
            <w:hideMark/>
          </w:tcPr>
          <w:p w14:paraId="6771F8F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A69AD4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329F69A" w14:textId="77777777" w:rsidR="00572995" w:rsidRPr="00483EBE" w:rsidRDefault="00572995" w:rsidP="00E8324D">
            <w:pPr>
              <w:pStyle w:val="Tablas"/>
              <w:rPr>
                <w:sz w:val="12"/>
                <w:szCs w:val="12"/>
              </w:rPr>
            </w:pPr>
            <w:r w:rsidRPr="00483EBE">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BE66269"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305A48A3" w14:textId="77777777" w:rsidR="00572995" w:rsidRPr="00483EBE" w:rsidRDefault="00572995" w:rsidP="00E8324D">
            <w:pPr>
              <w:pStyle w:val="Tablas"/>
              <w:rPr>
                <w:sz w:val="12"/>
                <w:szCs w:val="12"/>
              </w:rPr>
            </w:pPr>
            <w:r w:rsidRPr="00483EBE">
              <w:rPr>
                <w:sz w:val="12"/>
                <w:szCs w:val="12"/>
              </w:rPr>
              <w:t>$5,400</w:t>
            </w:r>
          </w:p>
        </w:tc>
        <w:tc>
          <w:tcPr>
            <w:tcW w:w="0" w:type="auto"/>
            <w:tcBorders>
              <w:top w:val="nil"/>
              <w:left w:val="nil"/>
              <w:bottom w:val="single" w:sz="4" w:space="0" w:color="auto"/>
              <w:right w:val="single" w:sz="4" w:space="0" w:color="auto"/>
            </w:tcBorders>
            <w:shd w:val="clear" w:color="auto" w:fill="auto"/>
            <w:vAlign w:val="center"/>
            <w:hideMark/>
          </w:tcPr>
          <w:p w14:paraId="12A15DAC" w14:textId="77777777" w:rsidR="00572995" w:rsidRPr="00483EBE" w:rsidRDefault="00572995" w:rsidP="00E8324D">
            <w:pPr>
              <w:pStyle w:val="Tablas"/>
              <w:rPr>
                <w:sz w:val="12"/>
                <w:szCs w:val="12"/>
              </w:rPr>
            </w:pPr>
            <w:r w:rsidRPr="00483EBE">
              <w:rPr>
                <w:sz w:val="12"/>
                <w:szCs w:val="12"/>
              </w:rPr>
              <w:t>$1,080</w:t>
            </w:r>
          </w:p>
        </w:tc>
        <w:tc>
          <w:tcPr>
            <w:tcW w:w="0" w:type="auto"/>
            <w:tcBorders>
              <w:top w:val="nil"/>
              <w:left w:val="nil"/>
              <w:bottom w:val="single" w:sz="4" w:space="0" w:color="auto"/>
              <w:right w:val="single" w:sz="4" w:space="0" w:color="auto"/>
            </w:tcBorders>
            <w:shd w:val="clear" w:color="auto" w:fill="auto"/>
            <w:vAlign w:val="center"/>
            <w:hideMark/>
          </w:tcPr>
          <w:p w14:paraId="53935BC3"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7341E3B"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0578A7D6" w14:textId="77777777" w:rsidR="00572995" w:rsidRPr="00483EBE" w:rsidRDefault="00572995" w:rsidP="00E8324D">
            <w:pPr>
              <w:pStyle w:val="Tablas"/>
              <w:rPr>
                <w:sz w:val="12"/>
                <w:szCs w:val="12"/>
              </w:rPr>
            </w:pPr>
            <w:r w:rsidRPr="00483EBE">
              <w:rPr>
                <w:sz w:val="12"/>
                <w:szCs w:val="12"/>
              </w:rPr>
              <w:t>SEBD</w:t>
            </w:r>
          </w:p>
        </w:tc>
      </w:tr>
      <w:tr w:rsidR="00572995" w:rsidRPr="00483EBE" w14:paraId="1CE3502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7356AAD"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774A1CC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713EF0E5" w14:textId="77777777" w:rsidR="00572995" w:rsidRPr="00483EBE" w:rsidRDefault="00572995" w:rsidP="00E8324D">
            <w:pPr>
              <w:pStyle w:val="Tablas"/>
              <w:rPr>
                <w:sz w:val="12"/>
                <w:szCs w:val="12"/>
              </w:rPr>
            </w:pPr>
            <w:r w:rsidRPr="00483EBE">
              <w:rPr>
                <w:sz w:val="12"/>
                <w:szCs w:val="12"/>
              </w:rPr>
              <w:t>$23,978</w:t>
            </w:r>
          </w:p>
        </w:tc>
        <w:tc>
          <w:tcPr>
            <w:tcW w:w="0" w:type="auto"/>
            <w:tcBorders>
              <w:top w:val="nil"/>
              <w:left w:val="nil"/>
              <w:bottom w:val="single" w:sz="4" w:space="0" w:color="auto"/>
              <w:right w:val="single" w:sz="4" w:space="0" w:color="auto"/>
            </w:tcBorders>
            <w:shd w:val="clear" w:color="auto" w:fill="auto"/>
            <w:vAlign w:val="center"/>
            <w:hideMark/>
          </w:tcPr>
          <w:p w14:paraId="16AC6752" w14:textId="77777777" w:rsidR="00572995" w:rsidRPr="00483EBE" w:rsidRDefault="00572995" w:rsidP="00E8324D">
            <w:pPr>
              <w:pStyle w:val="Tablas"/>
              <w:rPr>
                <w:sz w:val="12"/>
                <w:szCs w:val="12"/>
              </w:rPr>
            </w:pPr>
            <w:r w:rsidRPr="00483EBE">
              <w:rPr>
                <w:sz w:val="12"/>
                <w:szCs w:val="12"/>
              </w:rPr>
              <w:t>$2,664</w:t>
            </w:r>
          </w:p>
        </w:tc>
        <w:tc>
          <w:tcPr>
            <w:tcW w:w="0" w:type="auto"/>
            <w:tcBorders>
              <w:top w:val="nil"/>
              <w:left w:val="nil"/>
              <w:bottom w:val="single" w:sz="4" w:space="0" w:color="auto"/>
              <w:right w:val="single" w:sz="4" w:space="0" w:color="auto"/>
            </w:tcBorders>
            <w:shd w:val="clear" w:color="auto" w:fill="auto"/>
            <w:vAlign w:val="center"/>
            <w:hideMark/>
          </w:tcPr>
          <w:p w14:paraId="6F047E71" w14:textId="77777777" w:rsidR="00572995" w:rsidRPr="00483EBE" w:rsidRDefault="00572995" w:rsidP="00E8324D">
            <w:pPr>
              <w:pStyle w:val="Tablas"/>
              <w:rPr>
                <w:sz w:val="12"/>
                <w:szCs w:val="12"/>
              </w:rPr>
            </w:pPr>
            <w:r w:rsidRPr="00483EBE">
              <w:rPr>
                <w:sz w:val="12"/>
                <w:szCs w:val="12"/>
              </w:rPr>
              <w:t>$222</w:t>
            </w:r>
          </w:p>
        </w:tc>
        <w:tc>
          <w:tcPr>
            <w:tcW w:w="0" w:type="auto"/>
            <w:tcBorders>
              <w:top w:val="nil"/>
              <w:left w:val="nil"/>
              <w:bottom w:val="single" w:sz="4" w:space="0" w:color="auto"/>
              <w:right w:val="single" w:sz="4" w:space="0" w:color="auto"/>
            </w:tcBorders>
            <w:shd w:val="clear" w:color="auto" w:fill="auto"/>
            <w:vAlign w:val="center"/>
            <w:hideMark/>
          </w:tcPr>
          <w:p w14:paraId="1A73A419"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616B0E0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306E0B0" w14:textId="77777777" w:rsidR="00572995" w:rsidRPr="00483EBE" w:rsidRDefault="00572995" w:rsidP="00E8324D">
            <w:pPr>
              <w:pStyle w:val="Tablas"/>
              <w:rPr>
                <w:sz w:val="12"/>
                <w:szCs w:val="12"/>
              </w:rPr>
            </w:pPr>
            <w:r w:rsidRPr="00483EBE">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19E6A338"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401068AC" w14:textId="77777777" w:rsidR="00572995" w:rsidRPr="00483EBE" w:rsidRDefault="00572995" w:rsidP="00E8324D">
            <w:pPr>
              <w:pStyle w:val="Tablas"/>
              <w:rPr>
                <w:sz w:val="12"/>
                <w:szCs w:val="12"/>
              </w:rPr>
            </w:pPr>
            <w:r w:rsidRPr="00483EBE">
              <w:rPr>
                <w:sz w:val="12"/>
                <w:szCs w:val="12"/>
              </w:rPr>
              <w:t>$22,125</w:t>
            </w:r>
          </w:p>
        </w:tc>
        <w:tc>
          <w:tcPr>
            <w:tcW w:w="0" w:type="auto"/>
            <w:tcBorders>
              <w:top w:val="nil"/>
              <w:left w:val="nil"/>
              <w:bottom w:val="single" w:sz="4" w:space="0" w:color="auto"/>
              <w:right w:val="single" w:sz="4" w:space="0" w:color="auto"/>
            </w:tcBorders>
            <w:shd w:val="clear" w:color="auto" w:fill="auto"/>
            <w:vAlign w:val="center"/>
            <w:hideMark/>
          </w:tcPr>
          <w:p w14:paraId="508C5358" w14:textId="77777777" w:rsidR="00572995" w:rsidRPr="00483EBE" w:rsidRDefault="00572995" w:rsidP="00E8324D">
            <w:pPr>
              <w:pStyle w:val="Tablas"/>
              <w:rPr>
                <w:sz w:val="12"/>
                <w:szCs w:val="12"/>
              </w:rPr>
            </w:pPr>
            <w:r w:rsidRPr="00483EBE">
              <w:rPr>
                <w:sz w:val="12"/>
                <w:szCs w:val="12"/>
              </w:rPr>
              <w:t>$1,164</w:t>
            </w:r>
          </w:p>
        </w:tc>
        <w:tc>
          <w:tcPr>
            <w:tcW w:w="0" w:type="auto"/>
            <w:tcBorders>
              <w:top w:val="nil"/>
              <w:left w:val="nil"/>
              <w:bottom w:val="single" w:sz="4" w:space="0" w:color="auto"/>
              <w:right w:val="single" w:sz="4" w:space="0" w:color="auto"/>
            </w:tcBorders>
            <w:shd w:val="clear" w:color="auto" w:fill="auto"/>
            <w:vAlign w:val="center"/>
            <w:hideMark/>
          </w:tcPr>
          <w:p w14:paraId="32662E09"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1500EBA9"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F5D6472" w14:textId="77777777" w:rsidR="00572995" w:rsidRPr="00483EBE" w:rsidRDefault="00572995" w:rsidP="00E8324D">
            <w:pPr>
              <w:pStyle w:val="Tablas"/>
              <w:rPr>
                <w:sz w:val="12"/>
                <w:szCs w:val="12"/>
              </w:rPr>
            </w:pPr>
            <w:r w:rsidRPr="00483EBE">
              <w:rPr>
                <w:sz w:val="12"/>
                <w:szCs w:val="12"/>
              </w:rPr>
              <w:t>SEBD</w:t>
            </w:r>
          </w:p>
        </w:tc>
      </w:tr>
      <w:tr w:rsidR="00572995" w:rsidRPr="00483EBE" w14:paraId="207CF9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86500A"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56B97D1A"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250136BF" w14:textId="77777777" w:rsidR="00572995" w:rsidRPr="00483EBE" w:rsidRDefault="00572995" w:rsidP="00E8324D">
            <w:pPr>
              <w:pStyle w:val="Tablas"/>
              <w:rPr>
                <w:sz w:val="12"/>
                <w:szCs w:val="12"/>
              </w:rPr>
            </w:pPr>
            <w:r w:rsidRPr="00483EBE">
              <w:rPr>
                <w:sz w:val="12"/>
                <w:szCs w:val="12"/>
              </w:rPr>
              <w:t>$48,759</w:t>
            </w:r>
          </w:p>
        </w:tc>
        <w:tc>
          <w:tcPr>
            <w:tcW w:w="0" w:type="auto"/>
            <w:tcBorders>
              <w:top w:val="nil"/>
              <w:left w:val="nil"/>
              <w:bottom w:val="single" w:sz="4" w:space="0" w:color="auto"/>
              <w:right w:val="single" w:sz="4" w:space="0" w:color="auto"/>
            </w:tcBorders>
            <w:shd w:val="clear" w:color="auto" w:fill="auto"/>
            <w:vAlign w:val="center"/>
            <w:hideMark/>
          </w:tcPr>
          <w:p w14:paraId="3A9E113B" w14:textId="77777777" w:rsidR="00572995" w:rsidRPr="00483EBE" w:rsidRDefault="00572995" w:rsidP="00E8324D">
            <w:pPr>
              <w:pStyle w:val="Tablas"/>
              <w:rPr>
                <w:sz w:val="12"/>
                <w:szCs w:val="12"/>
              </w:rPr>
            </w:pPr>
            <w:r w:rsidRPr="00483EBE">
              <w:rPr>
                <w:sz w:val="12"/>
                <w:szCs w:val="12"/>
              </w:rPr>
              <w:t>$3,751</w:t>
            </w:r>
          </w:p>
        </w:tc>
        <w:tc>
          <w:tcPr>
            <w:tcW w:w="0" w:type="auto"/>
            <w:tcBorders>
              <w:top w:val="nil"/>
              <w:left w:val="nil"/>
              <w:bottom w:val="single" w:sz="4" w:space="0" w:color="auto"/>
              <w:right w:val="single" w:sz="4" w:space="0" w:color="auto"/>
            </w:tcBorders>
            <w:shd w:val="clear" w:color="auto" w:fill="auto"/>
            <w:vAlign w:val="center"/>
            <w:hideMark/>
          </w:tcPr>
          <w:p w14:paraId="5D07E816" w14:textId="77777777" w:rsidR="00572995" w:rsidRPr="00483EBE" w:rsidRDefault="00572995" w:rsidP="00E8324D">
            <w:pPr>
              <w:pStyle w:val="Tablas"/>
              <w:rPr>
                <w:sz w:val="12"/>
                <w:szCs w:val="12"/>
              </w:rPr>
            </w:pPr>
            <w:r w:rsidRPr="00483EBE">
              <w:rPr>
                <w:sz w:val="12"/>
                <w:szCs w:val="12"/>
              </w:rPr>
              <w:t>$313</w:t>
            </w:r>
          </w:p>
        </w:tc>
        <w:tc>
          <w:tcPr>
            <w:tcW w:w="0" w:type="auto"/>
            <w:tcBorders>
              <w:top w:val="nil"/>
              <w:left w:val="nil"/>
              <w:bottom w:val="single" w:sz="4" w:space="0" w:color="auto"/>
              <w:right w:val="single" w:sz="4" w:space="0" w:color="auto"/>
            </w:tcBorders>
            <w:shd w:val="clear" w:color="auto" w:fill="auto"/>
            <w:vAlign w:val="center"/>
            <w:hideMark/>
          </w:tcPr>
          <w:p w14:paraId="135F842A"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25DEF8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BA4D87" w14:textId="77777777" w:rsidR="00572995" w:rsidRPr="00483EBE" w:rsidRDefault="00572995" w:rsidP="00E8324D">
            <w:pPr>
              <w:pStyle w:val="Tablas"/>
              <w:rPr>
                <w:sz w:val="12"/>
                <w:szCs w:val="12"/>
              </w:rPr>
            </w:pPr>
            <w:r w:rsidRPr="00483EBE">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1E3D2530"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2AC860B4" w14:textId="77777777" w:rsidR="00572995" w:rsidRPr="00483EBE" w:rsidRDefault="00572995" w:rsidP="00E8324D">
            <w:pPr>
              <w:pStyle w:val="Tablas"/>
              <w:rPr>
                <w:sz w:val="12"/>
                <w:szCs w:val="12"/>
              </w:rPr>
            </w:pPr>
            <w:r w:rsidRPr="00483EBE">
              <w:rPr>
                <w:sz w:val="12"/>
                <w:szCs w:val="12"/>
              </w:rPr>
              <w:t>$21,921</w:t>
            </w:r>
          </w:p>
        </w:tc>
        <w:tc>
          <w:tcPr>
            <w:tcW w:w="0" w:type="auto"/>
            <w:tcBorders>
              <w:top w:val="nil"/>
              <w:left w:val="nil"/>
              <w:bottom w:val="single" w:sz="4" w:space="0" w:color="auto"/>
              <w:right w:val="single" w:sz="4" w:space="0" w:color="auto"/>
            </w:tcBorders>
            <w:shd w:val="clear" w:color="auto" w:fill="auto"/>
            <w:vAlign w:val="center"/>
            <w:hideMark/>
          </w:tcPr>
          <w:p w14:paraId="6432B10E" w14:textId="77777777" w:rsidR="00572995" w:rsidRPr="00483EBE" w:rsidRDefault="00572995" w:rsidP="00E8324D">
            <w:pPr>
              <w:pStyle w:val="Tablas"/>
              <w:rPr>
                <w:sz w:val="12"/>
                <w:szCs w:val="12"/>
              </w:rPr>
            </w:pPr>
            <w:r w:rsidRPr="00483EBE">
              <w:rPr>
                <w:sz w:val="12"/>
                <w:szCs w:val="12"/>
              </w:rPr>
              <w:t>$1,154</w:t>
            </w:r>
          </w:p>
        </w:tc>
        <w:tc>
          <w:tcPr>
            <w:tcW w:w="0" w:type="auto"/>
            <w:tcBorders>
              <w:top w:val="nil"/>
              <w:left w:val="nil"/>
              <w:bottom w:val="single" w:sz="4" w:space="0" w:color="auto"/>
              <w:right w:val="single" w:sz="4" w:space="0" w:color="auto"/>
            </w:tcBorders>
            <w:shd w:val="clear" w:color="auto" w:fill="auto"/>
            <w:vAlign w:val="center"/>
            <w:hideMark/>
          </w:tcPr>
          <w:p w14:paraId="07BF53DC"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5200D65E"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052CBDE0" w14:textId="77777777" w:rsidR="00572995" w:rsidRPr="00483EBE" w:rsidRDefault="00572995" w:rsidP="00E8324D">
            <w:pPr>
              <w:pStyle w:val="Tablas"/>
              <w:rPr>
                <w:sz w:val="12"/>
                <w:szCs w:val="12"/>
              </w:rPr>
            </w:pPr>
            <w:r w:rsidRPr="00483EBE">
              <w:rPr>
                <w:sz w:val="12"/>
                <w:szCs w:val="12"/>
              </w:rPr>
              <w:t>SEBD</w:t>
            </w:r>
          </w:p>
        </w:tc>
      </w:tr>
      <w:tr w:rsidR="00572995" w:rsidRPr="00483EBE" w14:paraId="75E9198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6FA256"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56B3B487"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47217F7A" w14:textId="77777777" w:rsidR="00572995" w:rsidRPr="00483EBE" w:rsidRDefault="00572995" w:rsidP="00E8324D">
            <w:pPr>
              <w:pStyle w:val="Tablas"/>
              <w:rPr>
                <w:sz w:val="12"/>
                <w:szCs w:val="12"/>
              </w:rPr>
            </w:pPr>
            <w:r w:rsidRPr="00483EBE">
              <w:rPr>
                <w:sz w:val="12"/>
                <w:szCs w:val="12"/>
              </w:rPr>
              <w:t>$62,038</w:t>
            </w:r>
          </w:p>
        </w:tc>
        <w:tc>
          <w:tcPr>
            <w:tcW w:w="0" w:type="auto"/>
            <w:tcBorders>
              <w:top w:val="nil"/>
              <w:left w:val="nil"/>
              <w:bottom w:val="single" w:sz="4" w:space="0" w:color="auto"/>
              <w:right w:val="single" w:sz="4" w:space="0" w:color="auto"/>
            </w:tcBorders>
            <w:shd w:val="clear" w:color="auto" w:fill="auto"/>
            <w:vAlign w:val="center"/>
            <w:hideMark/>
          </w:tcPr>
          <w:p w14:paraId="6B243C64" w14:textId="77777777" w:rsidR="00572995" w:rsidRPr="00483EBE" w:rsidRDefault="00572995" w:rsidP="00E8324D">
            <w:pPr>
              <w:pStyle w:val="Tablas"/>
              <w:rPr>
                <w:sz w:val="12"/>
                <w:szCs w:val="12"/>
              </w:rPr>
            </w:pPr>
            <w:r w:rsidRPr="00483EBE">
              <w:rPr>
                <w:sz w:val="12"/>
                <w:szCs w:val="12"/>
              </w:rPr>
              <w:t>$2,298</w:t>
            </w:r>
          </w:p>
        </w:tc>
        <w:tc>
          <w:tcPr>
            <w:tcW w:w="0" w:type="auto"/>
            <w:tcBorders>
              <w:top w:val="nil"/>
              <w:left w:val="nil"/>
              <w:bottom w:val="single" w:sz="4" w:space="0" w:color="auto"/>
              <w:right w:val="single" w:sz="4" w:space="0" w:color="auto"/>
            </w:tcBorders>
            <w:shd w:val="clear" w:color="auto" w:fill="auto"/>
            <w:vAlign w:val="center"/>
            <w:hideMark/>
          </w:tcPr>
          <w:p w14:paraId="682DB6B2" w14:textId="77777777" w:rsidR="00572995" w:rsidRPr="00483EBE" w:rsidRDefault="00572995" w:rsidP="00E8324D">
            <w:pPr>
              <w:pStyle w:val="Tablas"/>
              <w:rPr>
                <w:sz w:val="12"/>
                <w:szCs w:val="12"/>
              </w:rPr>
            </w:pPr>
            <w:r w:rsidRPr="00483EBE">
              <w:rPr>
                <w:sz w:val="12"/>
                <w:szCs w:val="12"/>
              </w:rPr>
              <w:t>$191</w:t>
            </w:r>
          </w:p>
        </w:tc>
        <w:tc>
          <w:tcPr>
            <w:tcW w:w="0" w:type="auto"/>
            <w:tcBorders>
              <w:top w:val="nil"/>
              <w:left w:val="nil"/>
              <w:bottom w:val="single" w:sz="4" w:space="0" w:color="auto"/>
              <w:right w:val="single" w:sz="4" w:space="0" w:color="auto"/>
            </w:tcBorders>
            <w:shd w:val="clear" w:color="auto" w:fill="auto"/>
            <w:vAlign w:val="center"/>
            <w:hideMark/>
          </w:tcPr>
          <w:p w14:paraId="3CC6B9EF"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ED7D58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283FE4" w14:textId="77777777" w:rsidR="00572995" w:rsidRPr="00483EBE" w:rsidRDefault="00572995" w:rsidP="00E8324D">
            <w:pPr>
              <w:pStyle w:val="Tablas"/>
              <w:rPr>
                <w:sz w:val="12"/>
                <w:szCs w:val="12"/>
              </w:rPr>
            </w:pPr>
            <w:r w:rsidRPr="00483EBE">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0827D41D"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7B011E8B" w14:textId="77777777" w:rsidR="00572995" w:rsidRPr="00483EBE" w:rsidRDefault="00572995" w:rsidP="00E8324D">
            <w:pPr>
              <w:pStyle w:val="Tablas"/>
              <w:rPr>
                <w:sz w:val="12"/>
                <w:szCs w:val="12"/>
              </w:rPr>
            </w:pPr>
            <w:r w:rsidRPr="00483EBE">
              <w:rPr>
                <w:sz w:val="12"/>
                <w:szCs w:val="12"/>
              </w:rPr>
              <w:t>$44,366</w:t>
            </w:r>
          </w:p>
        </w:tc>
        <w:tc>
          <w:tcPr>
            <w:tcW w:w="0" w:type="auto"/>
            <w:tcBorders>
              <w:top w:val="nil"/>
              <w:left w:val="nil"/>
              <w:bottom w:val="single" w:sz="4" w:space="0" w:color="auto"/>
              <w:right w:val="single" w:sz="4" w:space="0" w:color="auto"/>
            </w:tcBorders>
            <w:shd w:val="clear" w:color="auto" w:fill="auto"/>
            <w:vAlign w:val="center"/>
            <w:hideMark/>
          </w:tcPr>
          <w:p w14:paraId="74FDBBAB" w14:textId="77777777" w:rsidR="00572995" w:rsidRPr="00483EBE" w:rsidRDefault="00572995" w:rsidP="00E8324D">
            <w:pPr>
              <w:pStyle w:val="Tablas"/>
              <w:rPr>
                <w:sz w:val="12"/>
                <w:szCs w:val="12"/>
              </w:rPr>
            </w:pPr>
            <w:r w:rsidRPr="00483EBE">
              <w:rPr>
                <w:sz w:val="12"/>
                <w:szCs w:val="12"/>
              </w:rPr>
              <w:t>$1,199</w:t>
            </w:r>
          </w:p>
        </w:tc>
        <w:tc>
          <w:tcPr>
            <w:tcW w:w="0" w:type="auto"/>
            <w:tcBorders>
              <w:top w:val="nil"/>
              <w:left w:val="nil"/>
              <w:bottom w:val="single" w:sz="4" w:space="0" w:color="auto"/>
              <w:right w:val="single" w:sz="4" w:space="0" w:color="auto"/>
            </w:tcBorders>
            <w:shd w:val="clear" w:color="auto" w:fill="auto"/>
            <w:vAlign w:val="center"/>
            <w:hideMark/>
          </w:tcPr>
          <w:p w14:paraId="45159505"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6802AB11"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969AB9A" w14:textId="77777777" w:rsidR="00572995" w:rsidRPr="00483EBE" w:rsidRDefault="00572995" w:rsidP="00E8324D">
            <w:pPr>
              <w:pStyle w:val="Tablas"/>
              <w:rPr>
                <w:sz w:val="12"/>
                <w:szCs w:val="12"/>
              </w:rPr>
            </w:pPr>
            <w:r w:rsidRPr="00483EBE">
              <w:rPr>
                <w:sz w:val="12"/>
                <w:szCs w:val="12"/>
              </w:rPr>
              <w:t>SEBD</w:t>
            </w:r>
          </w:p>
        </w:tc>
      </w:tr>
      <w:tr w:rsidR="00572995" w:rsidRPr="00483EBE" w14:paraId="6889440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A84F6B6"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29F94D1B"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5C0FC5FF" w14:textId="77777777" w:rsidR="00572995" w:rsidRPr="00483EBE" w:rsidRDefault="00572995" w:rsidP="00E8324D">
            <w:pPr>
              <w:pStyle w:val="Tablas"/>
              <w:rPr>
                <w:sz w:val="12"/>
                <w:szCs w:val="12"/>
              </w:rPr>
            </w:pPr>
            <w:r w:rsidRPr="00483EBE">
              <w:rPr>
                <w:sz w:val="12"/>
                <w:szCs w:val="12"/>
              </w:rPr>
              <w:t>$46,795</w:t>
            </w:r>
          </w:p>
        </w:tc>
        <w:tc>
          <w:tcPr>
            <w:tcW w:w="0" w:type="auto"/>
            <w:tcBorders>
              <w:top w:val="nil"/>
              <w:left w:val="nil"/>
              <w:bottom w:val="single" w:sz="4" w:space="0" w:color="auto"/>
              <w:right w:val="single" w:sz="4" w:space="0" w:color="auto"/>
            </w:tcBorders>
            <w:shd w:val="clear" w:color="auto" w:fill="auto"/>
            <w:vAlign w:val="center"/>
            <w:hideMark/>
          </w:tcPr>
          <w:p w14:paraId="642BA286" w14:textId="77777777" w:rsidR="00572995" w:rsidRPr="00483EBE" w:rsidRDefault="00572995" w:rsidP="00E8324D">
            <w:pPr>
              <w:pStyle w:val="Tablas"/>
              <w:rPr>
                <w:sz w:val="12"/>
                <w:szCs w:val="12"/>
              </w:rPr>
            </w:pPr>
            <w:r w:rsidRPr="00483EBE">
              <w:rPr>
                <w:sz w:val="12"/>
                <w:szCs w:val="12"/>
              </w:rPr>
              <w:t>$2,228</w:t>
            </w:r>
          </w:p>
        </w:tc>
        <w:tc>
          <w:tcPr>
            <w:tcW w:w="0" w:type="auto"/>
            <w:tcBorders>
              <w:top w:val="nil"/>
              <w:left w:val="nil"/>
              <w:bottom w:val="single" w:sz="4" w:space="0" w:color="auto"/>
              <w:right w:val="single" w:sz="4" w:space="0" w:color="auto"/>
            </w:tcBorders>
            <w:shd w:val="clear" w:color="auto" w:fill="auto"/>
            <w:vAlign w:val="center"/>
            <w:hideMark/>
          </w:tcPr>
          <w:p w14:paraId="7906D52E" w14:textId="77777777" w:rsidR="00572995" w:rsidRPr="00483EBE" w:rsidRDefault="00572995" w:rsidP="00E8324D">
            <w:pPr>
              <w:pStyle w:val="Tablas"/>
              <w:rPr>
                <w:sz w:val="12"/>
                <w:szCs w:val="12"/>
              </w:rPr>
            </w:pPr>
            <w:r w:rsidRPr="00483EBE">
              <w:rPr>
                <w:sz w:val="12"/>
                <w:szCs w:val="12"/>
              </w:rPr>
              <w:t>$186</w:t>
            </w:r>
          </w:p>
        </w:tc>
        <w:tc>
          <w:tcPr>
            <w:tcW w:w="0" w:type="auto"/>
            <w:tcBorders>
              <w:top w:val="nil"/>
              <w:left w:val="nil"/>
              <w:bottom w:val="single" w:sz="4" w:space="0" w:color="auto"/>
              <w:right w:val="single" w:sz="4" w:space="0" w:color="auto"/>
            </w:tcBorders>
            <w:shd w:val="clear" w:color="auto" w:fill="auto"/>
            <w:vAlign w:val="center"/>
            <w:hideMark/>
          </w:tcPr>
          <w:p w14:paraId="162D322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EE915E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EF9E056" w14:textId="77777777" w:rsidR="00572995" w:rsidRPr="00483EBE" w:rsidRDefault="00572995" w:rsidP="00E8324D">
            <w:pPr>
              <w:pStyle w:val="Tablas"/>
              <w:rPr>
                <w:sz w:val="12"/>
                <w:szCs w:val="12"/>
              </w:rPr>
            </w:pPr>
            <w:r w:rsidRPr="00483EBE">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43201D88" w14:textId="77777777" w:rsidR="00572995" w:rsidRPr="00483EBE" w:rsidRDefault="00572995" w:rsidP="00E8324D">
            <w:pPr>
              <w:pStyle w:val="Tablas"/>
              <w:rPr>
                <w:sz w:val="12"/>
                <w:szCs w:val="12"/>
              </w:rPr>
            </w:pPr>
            <w:r w:rsidRPr="00483EBE">
              <w:rPr>
                <w:sz w:val="12"/>
                <w:szCs w:val="12"/>
              </w:rPr>
              <w:t xml:space="preserve">60 </w:t>
            </w:r>
          </w:p>
        </w:tc>
        <w:tc>
          <w:tcPr>
            <w:tcW w:w="0" w:type="auto"/>
            <w:tcBorders>
              <w:top w:val="nil"/>
              <w:left w:val="nil"/>
              <w:bottom w:val="single" w:sz="4" w:space="0" w:color="auto"/>
              <w:right w:val="single" w:sz="4" w:space="0" w:color="auto"/>
            </w:tcBorders>
            <w:shd w:val="clear" w:color="auto" w:fill="auto"/>
            <w:vAlign w:val="center"/>
            <w:hideMark/>
          </w:tcPr>
          <w:p w14:paraId="4219BF86" w14:textId="77777777" w:rsidR="00572995" w:rsidRPr="00483EBE" w:rsidRDefault="00572995" w:rsidP="00E8324D">
            <w:pPr>
              <w:pStyle w:val="Tablas"/>
              <w:rPr>
                <w:sz w:val="12"/>
                <w:szCs w:val="12"/>
              </w:rPr>
            </w:pPr>
            <w:r w:rsidRPr="00483EBE">
              <w:rPr>
                <w:sz w:val="12"/>
                <w:szCs w:val="12"/>
              </w:rPr>
              <w:t>$60,101</w:t>
            </w:r>
          </w:p>
        </w:tc>
        <w:tc>
          <w:tcPr>
            <w:tcW w:w="0" w:type="auto"/>
            <w:tcBorders>
              <w:top w:val="nil"/>
              <w:left w:val="nil"/>
              <w:bottom w:val="single" w:sz="4" w:space="0" w:color="auto"/>
              <w:right w:val="single" w:sz="4" w:space="0" w:color="auto"/>
            </w:tcBorders>
            <w:shd w:val="clear" w:color="auto" w:fill="auto"/>
            <w:vAlign w:val="center"/>
            <w:hideMark/>
          </w:tcPr>
          <w:p w14:paraId="70D55EB4" w14:textId="77777777" w:rsidR="00572995" w:rsidRPr="00483EBE" w:rsidRDefault="00572995" w:rsidP="00E8324D">
            <w:pPr>
              <w:pStyle w:val="Tablas"/>
              <w:rPr>
                <w:sz w:val="12"/>
                <w:szCs w:val="12"/>
              </w:rPr>
            </w:pPr>
            <w:r w:rsidRPr="00483EBE">
              <w:rPr>
                <w:sz w:val="12"/>
                <w:szCs w:val="12"/>
              </w:rPr>
              <w:t>$1,002</w:t>
            </w:r>
          </w:p>
        </w:tc>
        <w:tc>
          <w:tcPr>
            <w:tcW w:w="0" w:type="auto"/>
            <w:tcBorders>
              <w:top w:val="nil"/>
              <w:left w:val="nil"/>
              <w:bottom w:val="single" w:sz="4" w:space="0" w:color="auto"/>
              <w:right w:val="single" w:sz="4" w:space="0" w:color="auto"/>
            </w:tcBorders>
            <w:shd w:val="clear" w:color="auto" w:fill="auto"/>
            <w:vAlign w:val="center"/>
            <w:hideMark/>
          </w:tcPr>
          <w:p w14:paraId="449F163A"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6248C35"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63239EA0" w14:textId="77777777" w:rsidR="00572995" w:rsidRPr="00483EBE" w:rsidRDefault="00572995" w:rsidP="00E8324D">
            <w:pPr>
              <w:pStyle w:val="Tablas"/>
              <w:rPr>
                <w:sz w:val="12"/>
                <w:szCs w:val="12"/>
              </w:rPr>
            </w:pPr>
            <w:r w:rsidRPr="00483EBE">
              <w:rPr>
                <w:sz w:val="12"/>
                <w:szCs w:val="12"/>
              </w:rPr>
              <w:t>SEBD</w:t>
            </w:r>
          </w:p>
        </w:tc>
      </w:tr>
      <w:tr w:rsidR="00572995" w:rsidRPr="00483EBE" w14:paraId="7662F05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02B912" w14:textId="77777777" w:rsidR="00572995" w:rsidRPr="00483EBE" w:rsidRDefault="00572995" w:rsidP="00E8324D">
            <w:pPr>
              <w:pStyle w:val="Tablas"/>
              <w:rPr>
                <w:sz w:val="12"/>
                <w:szCs w:val="12"/>
              </w:rPr>
            </w:pPr>
            <w:r w:rsidRPr="00483EBE">
              <w:rPr>
                <w:sz w:val="12"/>
                <w:szCs w:val="12"/>
              </w:rPr>
              <w:lastRenderedPageBreak/>
              <w:t>57</w:t>
            </w:r>
          </w:p>
        </w:tc>
        <w:tc>
          <w:tcPr>
            <w:tcW w:w="0" w:type="auto"/>
            <w:tcBorders>
              <w:top w:val="nil"/>
              <w:left w:val="nil"/>
              <w:bottom w:val="single" w:sz="4" w:space="0" w:color="auto"/>
              <w:right w:val="single" w:sz="4" w:space="0" w:color="auto"/>
            </w:tcBorders>
            <w:shd w:val="clear" w:color="auto" w:fill="auto"/>
            <w:vAlign w:val="center"/>
            <w:hideMark/>
          </w:tcPr>
          <w:p w14:paraId="0482D829"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2AAB50AC" w14:textId="77777777" w:rsidR="00572995" w:rsidRPr="00483EBE" w:rsidRDefault="00572995" w:rsidP="00E8324D">
            <w:pPr>
              <w:pStyle w:val="Tablas"/>
              <w:rPr>
                <w:sz w:val="12"/>
                <w:szCs w:val="12"/>
              </w:rPr>
            </w:pPr>
            <w:r w:rsidRPr="00483EBE">
              <w:rPr>
                <w:sz w:val="12"/>
                <w:szCs w:val="12"/>
              </w:rPr>
              <w:t>$68,160</w:t>
            </w:r>
          </w:p>
        </w:tc>
        <w:tc>
          <w:tcPr>
            <w:tcW w:w="0" w:type="auto"/>
            <w:tcBorders>
              <w:top w:val="nil"/>
              <w:left w:val="nil"/>
              <w:bottom w:val="single" w:sz="4" w:space="0" w:color="auto"/>
              <w:right w:val="single" w:sz="4" w:space="0" w:color="auto"/>
            </w:tcBorders>
            <w:shd w:val="clear" w:color="auto" w:fill="auto"/>
            <w:vAlign w:val="center"/>
            <w:hideMark/>
          </w:tcPr>
          <w:p w14:paraId="09429DAB" w14:textId="77777777" w:rsidR="00572995" w:rsidRPr="00483EBE" w:rsidRDefault="00572995" w:rsidP="00E8324D">
            <w:pPr>
              <w:pStyle w:val="Tablas"/>
              <w:rPr>
                <w:sz w:val="12"/>
                <w:szCs w:val="12"/>
              </w:rPr>
            </w:pPr>
            <w:r w:rsidRPr="00483EBE">
              <w:rPr>
                <w:sz w:val="12"/>
                <w:szCs w:val="12"/>
              </w:rPr>
              <w:t>$2,622</w:t>
            </w:r>
          </w:p>
        </w:tc>
        <w:tc>
          <w:tcPr>
            <w:tcW w:w="0" w:type="auto"/>
            <w:tcBorders>
              <w:top w:val="nil"/>
              <w:left w:val="nil"/>
              <w:bottom w:val="single" w:sz="4" w:space="0" w:color="auto"/>
              <w:right w:val="single" w:sz="4" w:space="0" w:color="auto"/>
            </w:tcBorders>
            <w:shd w:val="clear" w:color="auto" w:fill="auto"/>
            <w:vAlign w:val="center"/>
            <w:hideMark/>
          </w:tcPr>
          <w:p w14:paraId="5BA77206" w14:textId="77777777" w:rsidR="00572995" w:rsidRPr="00483EBE" w:rsidRDefault="00572995" w:rsidP="00E8324D">
            <w:pPr>
              <w:pStyle w:val="Tablas"/>
              <w:rPr>
                <w:sz w:val="12"/>
                <w:szCs w:val="12"/>
              </w:rPr>
            </w:pPr>
            <w:r w:rsidRPr="00483EBE">
              <w:rPr>
                <w:sz w:val="12"/>
                <w:szCs w:val="12"/>
              </w:rPr>
              <w:t>$218</w:t>
            </w:r>
          </w:p>
        </w:tc>
        <w:tc>
          <w:tcPr>
            <w:tcW w:w="0" w:type="auto"/>
            <w:tcBorders>
              <w:top w:val="nil"/>
              <w:left w:val="nil"/>
              <w:bottom w:val="single" w:sz="4" w:space="0" w:color="auto"/>
              <w:right w:val="single" w:sz="4" w:space="0" w:color="auto"/>
            </w:tcBorders>
            <w:shd w:val="clear" w:color="auto" w:fill="auto"/>
            <w:vAlign w:val="center"/>
            <w:hideMark/>
          </w:tcPr>
          <w:p w14:paraId="41CE4644"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16A82B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E262C95" w14:textId="77777777" w:rsidR="00572995" w:rsidRPr="00483EBE" w:rsidRDefault="00572995" w:rsidP="00E8324D">
            <w:pPr>
              <w:pStyle w:val="Tablas"/>
              <w:rPr>
                <w:sz w:val="12"/>
                <w:szCs w:val="12"/>
              </w:rPr>
            </w:pPr>
            <w:r w:rsidRPr="00483EBE">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69891223" w14:textId="77777777" w:rsidR="00572995" w:rsidRPr="00483EBE" w:rsidRDefault="00572995" w:rsidP="00E8324D">
            <w:pPr>
              <w:pStyle w:val="Tablas"/>
              <w:rPr>
                <w:sz w:val="12"/>
                <w:szCs w:val="12"/>
              </w:rPr>
            </w:pPr>
            <w:r w:rsidRPr="00483EBE">
              <w:rPr>
                <w:sz w:val="12"/>
                <w:szCs w:val="12"/>
              </w:rPr>
              <w:t xml:space="preserve">57 </w:t>
            </w:r>
          </w:p>
        </w:tc>
        <w:tc>
          <w:tcPr>
            <w:tcW w:w="0" w:type="auto"/>
            <w:tcBorders>
              <w:top w:val="nil"/>
              <w:left w:val="nil"/>
              <w:bottom w:val="single" w:sz="4" w:space="0" w:color="auto"/>
              <w:right w:val="single" w:sz="4" w:space="0" w:color="auto"/>
            </w:tcBorders>
            <w:shd w:val="clear" w:color="auto" w:fill="auto"/>
            <w:vAlign w:val="center"/>
            <w:hideMark/>
          </w:tcPr>
          <w:p w14:paraId="4A89C9E4" w14:textId="77777777" w:rsidR="00572995" w:rsidRPr="00483EBE" w:rsidRDefault="00572995" w:rsidP="00E8324D">
            <w:pPr>
              <w:pStyle w:val="Tablas"/>
              <w:rPr>
                <w:sz w:val="12"/>
                <w:szCs w:val="12"/>
              </w:rPr>
            </w:pPr>
            <w:r w:rsidRPr="00483EBE">
              <w:rPr>
                <w:sz w:val="12"/>
                <w:szCs w:val="12"/>
              </w:rPr>
              <w:t>$61,420</w:t>
            </w:r>
          </w:p>
        </w:tc>
        <w:tc>
          <w:tcPr>
            <w:tcW w:w="0" w:type="auto"/>
            <w:tcBorders>
              <w:top w:val="nil"/>
              <w:left w:val="nil"/>
              <w:bottom w:val="single" w:sz="4" w:space="0" w:color="auto"/>
              <w:right w:val="single" w:sz="4" w:space="0" w:color="auto"/>
            </w:tcBorders>
            <w:shd w:val="clear" w:color="auto" w:fill="auto"/>
            <w:vAlign w:val="center"/>
            <w:hideMark/>
          </w:tcPr>
          <w:p w14:paraId="23130F5D" w14:textId="77777777" w:rsidR="00572995" w:rsidRPr="00483EBE" w:rsidRDefault="00572995" w:rsidP="00E8324D">
            <w:pPr>
              <w:pStyle w:val="Tablas"/>
              <w:rPr>
                <w:sz w:val="12"/>
                <w:szCs w:val="12"/>
              </w:rPr>
            </w:pPr>
            <w:r w:rsidRPr="00483EBE">
              <w:rPr>
                <w:sz w:val="12"/>
                <w:szCs w:val="12"/>
              </w:rPr>
              <w:t>$1,078</w:t>
            </w:r>
          </w:p>
        </w:tc>
        <w:tc>
          <w:tcPr>
            <w:tcW w:w="0" w:type="auto"/>
            <w:tcBorders>
              <w:top w:val="nil"/>
              <w:left w:val="nil"/>
              <w:bottom w:val="single" w:sz="4" w:space="0" w:color="auto"/>
              <w:right w:val="single" w:sz="4" w:space="0" w:color="auto"/>
            </w:tcBorders>
            <w:shd w:val="clear" w:color="auto" w:fill="auto"/>
            <w:vAlign w:val="center"/>
            <w:hideMark/>
          </w:tcPr>
          <w:p w14:paraId="2D412CF7"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3866D2D4"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BB2D359" w14:textId="77777777" w:rsidR="00572995" w:rsidRPr="00483EBE" w:rsidRDefault="00572995" w:rsidP="00E8324D">
            <w:pPr>
              <w:pStyle w:val="Tablas"/>
              <w:rPr>
                <w:sz w:val="12"/>
                <w:szCs w:val="12"/>
              </w:rPr>
            </w:pPr>
            <w:r w:rsidRPr="00483EBE">
              <w:rPr>
                <w:sz w:val="12"/>
                <w:szCs w:val="12"/>
              </w:rPr>
              <w:t>SEBD</w:t>
            </w:r>
          </w:p>
        </w:tc>
      </w:tr>
      <w:tr w:rsidR="00572995" w:rsidRPr="00483EBE" w14:paraId="655E81B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AB5934"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6489F5D5"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1BA8D355" w14:textId="77777777" w:rsidR="00572995" w:rsidRPr="00483EBE" w:rsidRDefault="00572995" w:rsidP="00E8324D">
            <w:pPr>
              <w:pStyle w:val="Tablas"/>
              <w:rPr>
                <w:sz w:val="12"/>
                <w:szCs w:val="12"/>
              </w:rPr>
            </w:pPr>
            <w:r w:rsidRPr="00483EBE">
              <w:rPr>
                <w:sz w:val="12"/>
                <w:szCs w:val="12"/>
              </w:rPr>
              <w:t>$64,557</w:t>
            </w:r>
          </w:p>
        </w:tc>
        <w:tc>
          <w:tcPr>
            <w:tcW w:w="0" w:type="auto"/>
            <w:tcBorders>
              <w:top w:val="nil"/>
              <w:left w:val="nil"/>
              <w:bottom w:val="single" w:sz="4" w:space="0" w:color="auto"/>
              <w:right w:val="single" w:sz="4" w:space="0" w:color="auto"/>
            </w:tcBorders>
            <w:shd w:val="clear" w:color="auto" w:fill="auto"/>
            <w:vAlign w:val="center"/>
            <w:hideMark/>
          </w:tcPr>
          <w:p w14:paraId="36C02D62" w14:textId="77777777" w:rsidR="00572995" w:rsidRPr="00483EBE" w:rsidRDefault="00572995" w:rsidP="00E8324D">
            <w:pPr>
              <w:pStyle w:val="Tablas"/>
              <w:rPr>
                <w:sz w:val="12"/>
                <w:szCs w:val="12"/>
              </w:rPr>
            </w:pPr>
            <w:r w:rsidRPr="00483EBE">
              <w:rPr>
                <w:sz w:val="12"/>
                <w:szCs w:val="12"/>
              </w:rPr>
              <w:t>$2,483</w:t>
            </w:r>
          </w:p>
        </w:tc>
        <w:tc>
          <w:tcPr>
            <w:tcW w:w="0" w:type="auto"/>
            <w:tcBorders>
              <w:top w:val="nil"/>
              <w:left w:val="nil"/>
              <w:bottom w:val="single" w:sz="4" w:space="0" w:color="auto"/>
              <w:right w:val="single" w:sz="4" w:space="0" w:color="auto"/>
            </w:tcBorders>
            <w:shd w:val="clear" w:color="auto" w:fill="auto"/>
            <w:vAlign w:val="center"/>
            <w:hideMark/>
          </w:tcPr>
          <w:p w14:paraId="0599E9B6" w14:textId="77777777" w:rsidR="00572995" w:rsidRPr="00483EBE" w:rsidRDefault="00572995" w:rsidP="00E8324D">
            <w:pPr>
              <w:pStyle w:val="Tablas"/>
              <w:rPr>
                <w:sz w:val="12"/>
                <w:szCs w:val="12"/>
              </w:rPr>
            </w:pPr>
            <w:r w:rsidRPr="00483EBE">
              <w:rPr>
                <w:sz w:val="12"/>
                <w:szCs w:val="12"/>
              </w:rPr>
              <w:t>$207</w:t>
            </w:r>
          </w:p>
        </w:tc>
        <w:tc>
          <w:tcPr>
            <w:tcW w:w="0" w:type="auto"/>
            <w:tcBorders>
              <w:top w:val="nil"/>
              <w:left w:val="nil"/>
              <w:bottom w:val="single" w:sz="4" w:space="0" w:color="auto"/>
              <w:right w:val="single" w:sz="4" w:space="0" w:color="auto"/>
            </w:tcBorders>
            <w:shd w:val="clear" w:color="auto" w:fill="auto"/>
            <w:vAlign w:val="center"/>
            <w:hideMark/>
          </w:tcPr>
          <w:p w14:paraId="7CA7AE2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7D1E3F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2453A0" w14:textId="77777777" w:rsidR="00572995" w:rsidRPr="00483EBE" w:rsidRDefault="00572995" w:rsidP="00E8324D">
            <w:pPr>
              <w:pStyle w:val="Tablas"/>
              <w:rPr>
                <w:sz w:val="12"/>
                <w:szCs w:val="12"/>
              </w:rPr>
            </w:pPr>
            <w:r w:rsidRPr="00483EBE">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3EA8FE7C" w14:textId="77777777" w:rsidR="00572995" w:rsidRPr="00483EBE" w:rsidRDefault="00572995" w:rsidP="00E8324D">
            <w:pPr>
              <w:pStyle w:val="Tablas"/>
              <w:rPr>
                <w:sz w:val="12"/>
                <w:szCs w:val="12"/>
              </w:rPr>
            </w:pPr>
            <w:r w:rsidRPr="00483EBE">
              <w:rPr>
                <w:sz w:val="12"/>
                <w:szCs w:val="12"/>
              </w:rPr>
              <w:t xml:space="preserve">79 </w:t>
            </w:r>
          </w:p>
        </w:tc>
        <w:tc>
          <w:tcPr>
            <w:tcW w:w="0" w:type="auto"/>
            <w:tcBorders>
              <w:top w:val="nil"/>
              <w:left w:val="nil"/>
              <w:bottom w:val="single" w:sz="4" w:space="0" w:color="auto"/>
              <w:right w:val="single" w:sz="4" w:space="0" w:color="auto"/>
            </w:tcBorders>
            <w:shd w:val="clear" w:color="auto" w:fill="auto"/>
            <w:vAlign w:val="center"/>
            <w:hideMark/>
          </w:tcPr>
          <w:p w14:paraId="7437C152" w14:textId="77777777" w:rsidR="00572995" w:rsidRPr="00483EBE" w:rsidRDefault="00572995" w:rsidP="00E8324D">
            <w:pPr>
              <w:pStyle w:val="Tablas"/>
              <w:rPr>
                <w:sz w:val="12"/>
                <w:szCs w:val="12"/>
              </w:rPr>
            </w:pPr>
            <w:r w:rsidRPr="00483EBE">
              <w:rPr>
                <w:sz w:val="12"/>
                <w:szCs w:val="12"/>
              </w:rPr>
              <w:t>$90,103</w:t>
            </w:r>
          </w:p>
        </w:tc>
        <w:tc>
          <w:tcPr>
            <w:tcW w:w="0" w:type="auto"/>
            <w:tcBorders>
              <w:top w:val="nil"/>
              <w:left w:val="nil"/>
              <w:bottom w:val="single" w:sz="4" w:space="0" w:color="auto"/>
              <w:right w:val="single" w:sz="4" w:space="0" w:color="auto"/>
            </w:tcBorders>
            <w:shd w:val="clear" w:color="auto" w:fill="auto"/>
            <w:vAlign w:val="center"/>
            <w:hideMark/>
          </w:tcPr>
          <w:p w14:paraId="1A0064AC" w14:textId="77777777" w:rsidR="00572995" w:rsidRPr="00483EBE" w:rsidRDefault="00572995" w:rsidP="00E8324D">
            <w:pPr>
              <w:pStyle w:val="Tablas"/>
              <w:rPr>
                <w:sz w:val="12"/>
                <w:szCs w:val="12"/>
              </w:rPr>
            </w:pPr>
            <w:r w:rsidRPr="00483EBE">
              <w:rPr>
                <w:sz w:val="12"/>
                <w:szCs w:val="12"/>
              </w:rPr>
              <w:t>$1,141</w:t>
            </w:r>
          </w:p>
        </w:tc>
        <w:tc>
          <w:tcPr>
            <w:tcW w:w="0" w:type="auto"/>
            <w:tcBorders>
              <w:top w:val="nil"/>
              <w:left w:val="nil"/>
              <w:bottom w:val="single" w:sz="4" w:space="0" w:color="auto"/>
              <w:right w:val="single" w:sz="4" w:space="0" w:color="auto"/>
            </w:tcBorders>
            <w:shd w:val="clear" w:color="auto" w:fill="auto"/>
            <w:vAlign w:val="center"/>
            <w:hideMark/>
          </w:tcPr>
          <w:p w14:paraId="1C22D3F5"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7F2A1DB0"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0DC1F847" w14:textId="77777777" w:rsidR="00572995" w:rsidRPr="00483EBE" w:rsidRDefault="00572995" w:rsidP="00E8324D">
            <w:pPr>
              <w:pStyle w:val="Tablas"/>
              <w:rPr>
                <w:sz w:val="12"/>
                <w:szCs w:val="12"/>
              </w:rPr>
            </w:pPr>
            <w:r w:rsidRPr="00483EBE">
              <w:rPr>
                <w:sz w:val="12"/>
                <w:szCs w:val="12"/>
              </w:rPr>
              <w:t>SEBD</w:t>
            </w:r>
          </w:p>
        </w:tc>
      </w:tr>
      <w:tr w:rsidR="00572995" w:rsidRPr="00483EBE" w14:paraId="5842577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A29BEC"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7A449C26"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352761E7" w14:textId="77777777" w:rsidR="00572995" w:rsidRPr="00483EBE" w:rsidRDefault="00572995" w:rsidP="00E8324D">
            <w:pPr>
              <w:pStyle w:val="Tablas"/>
              <w:rPr>
                <w:sz w:val="12"/>
                <w:szCs w:val="12"/>
              </w:rPr>
            </w:pPr>
            <w:r w:rsidRPr="00483EBE">
              <w:rPr>
                <w:sz w:val="12"/>
                <w:szCs w:val="12"/>
              </w:rPr>
              <w:t>$107,582</w:t>
            </w:r>
          </w:p>
        </w:tc>
        <w:tc>
          <w:tcPr>
            <w:tcW w:w="0" w:type="auto"/>
            <w:tcBorders>
              <w:top w:val="nil"/>
              <w:left w:val="nil"/>
              <w:bottom w:val="single" w:sz="4" w:space="0" w:color="auto"/>
              <w:right w:val="single" w:sz="4" w:space="0" w:color="auto"/>
            </w:tcBorders>
            <w:shd w:val="clear" w:color="auto" w:fill="auto"/>
            <w:vAlign w:val="center"/>
            <w:hideMark/>
          </w:tcPr>
          <w:p w14:paraId="42E3BDC0" w14:textId="77777777" w:rsidR="00572995" w:rsidRPr="00483EBE" w:rsidRDefault="00572995" w:rsidP="00E8324D">
            <w:pPr>
              <w:pStyle w:val="Tablas"/>
              <w:rPr>
                <w:sz w:val="12"/>
                <w:szCs w:val="12"/>
              </w:rPr>
            </w:pPr>
            <w:r w:rsidRPr="00483EBE">
              <w:rPr>
                <w:sz w:val="12"/>
                <w:szCs w:val="12"/>
              </w:rPr>
              <w:t>$2,831</w:t>
            </w:r>
          </w:p>
        </w:tc>
        <w:tc>
          <w:tcPr>
            <w:tcW w:w="0" w:type="auto"/>
            <w:tcBorders>
              <w:top w:val="nil"/>
              <w:left w:val="nil"/>
              <w:bottom w:val="single" w:sz="4" w:space="0" w:color="auto"/>
              <w:right w:val="single" w:sz="4" w:space="0" w:color="auto"/>
            </w:tcBorders>
            <w:shd w:val="clear" w:color="auto" w:fill="auto"/>
            <w:vAlign w:val="center"/>
            <w:hideMark/>
          </w:tcPr>
          <w:p w14:paraId="35F338A1" w14:textId="77777777" w:rsidR="00572995" w:rsidRPr="00483EBE" w:rsidRDefault="00572995" w:rsidP="00E8324D">
            <w:pPr>
              <w:pStyle w:val="Tablas"/>
              <w:rPr>
                <w:sz w:val="12"/>
                <w:szCs w:val="12"/>
              </w:rPr>
            </w:pPr>
            <w:r w:rsidRPr="00483EBE">
              <w:rPr>
                <w:sz w:val="12"/>
                <w:szCs w:val="12"/>
              </w:rPr>
              <w:t>$236</w:t>
            </w:r>
          </w:p>
        </w:tc>
        <w:tc>
          <w:tcPr>
            <w:tcW w:w="0" w:type="auto"/>
            <w:tcBorders>
              <w:top w:val="nil"/>
              <w:left w:val="nil"/>
              <w:bottom w:val="single" w:sz="4" w:space="0" w:color="auto"/>
              <w:right w:val="single" w:sz="4" w:space="0" w:color="auto"/>
            </w:tcBorders>
            <w:shd w:val="clear" w:color="auto" w:fill="auto"/>
            <w:vAlign w:val="center"/>
            <w:hideMark/>
          </w:tcPr>
          <w:p w14:paraId="4ED0561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982EBB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99E35D" w14:textId="77777777" w:rsidR="00572995" w:rsidRPr="00483EBE" w:rsidRDefault="00572995" w:rsidP="00E8324D">
            <w:pPr>
              <w:pStyle w:val="Tablas"/>
              <w:rPr>
                <w:sz w:val="12"/>
                <w:szCs w:val="12"/>
              </w:rPr>
            </w:pPr>
            <w:r w:rsidRPr="00483EBE">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10B42162" w14:textId="77777777" w:rsidR="00572995" w:rsidRPr="00483EBE" w:rsidRDefault="00572995" w:rsidP="00E8324D">
            <w:pPr>
              <w:pStyle w:val="Tablas"/>
              <w:rPr>
                <w:sz w:val="12"/>
                <w:szCs w:val="12"/>
              </w:rPr>
            </w:pPr>
            <w:r w:rsidRPr="00483EBE">
              <w:rPr>
                <w:sz w:val="12"/>
                <w:szCs w:val="12"/>
              </w:rPr>
              <w:t xml:space="preserve">111 </w:t>
            </w:r>
          </w:p>
        </w:tc>
        <w:tc>
          <w:tcPr>
            <w:tcW w:w="0" w:type="auto"/>
            <w:tcBorders>
              <w:top w:val="nil"/>
              <w:left w:val="nil"/>
              <w:bottom w:val="single" w:sz="4" w:space="0" w:color="auto"/>
              <w:right w:val="single" w:sz="4" w:space="0" w:color="auto"/>
            </w:tcBorders>
            <w:shd w:val="clear" w:color="auto" w:fill="auto"/>
            <w:vAlign w:val="center"/>
            <w:hideMark/>
          </w:tcPr>
          <w:p w14:paraId="697161B9" w14:textId="77777777" w:rsidR="00572995" w:rsidRPr="00483EBE" w:rsidRDefault="00572995" w:rsidP="00E8324D">
            <w:pPr>
              <w:pStyle w:val="Tablas"/>
              <w:rPr>
                <w:sz w:val="12"/>
                <w:szCs w:val="12"/>
              </w:rPr>
            </w:pPr>
            <w:r w:rsidRPr="00483EBE">
              <w:rPr>
                <w:sz w:val="12"/>
                <w:szCs w:val="12"/>
              </w:rPr>
              <w:t>$127,809</w:t>
            </w:r>
          </w:p>
        </w:tc>
        <w:tc>
          <w:tcPr>
            <w:tcW w:w="0" w:type="auto"/>
            <w:tcBorders>
              <w:top w:val="nil"/>
              <w:left w:val="nil"/>
              <w:bottom w:val="single" w:sz="4" w:space="0" w:color="auto"/>
              <w:right w:val="single" w:sz="4" w:space="0" w:color="auto"/>
            </w:tcBorders>
            <w:shd w:val="clear" w:color="auto" w:fill="auto"/>
            <w:vAlign w:val="center"/>
            <w:hideMark/>
          </w:tcPr>
          <w:p w14:paraId="3DBEEE18" w14:textId="77777777" w:rsidR="00572995" w:rsidRPr="00483EBE" w:rsidRDefault="00572995" w:rsidP="00E8324D">
            <w:pPr>
              <w:pStyle w:val="Tablas"/>
              <w:rPr>
                <w:sz w:val="12"/>
                <w:szCs w:val="12"/>
              </w:rPr>
            </w:pPr>
            <w:r w:rsidRPr="00483EBE">
              <w:rPr>
                <w:sz w:val="12"/>
                <w:szCs w:val="12"/>
              </w:rPr>
              <w:t>$1,151</w:t>
            </w:r>
          </w:p>
        </w:tc>
        <w:tc>
          <w:tcPr>
            <w:tcW w:w="0" w:type="auto"/>
            <w:tcBorders>
              <w:top w:val="nil"/>
              <w:left w:val="nil"/>
              <w:bottom w:val="single" w:sz="4" w:space="0" w:color="auto"/>
              <w:right w:val="single" w:sz="4" w:space="0" w:color="auto"/>
            </w:tcBorders>
            <w:shd w:val="clear" w:color="auto" w:fill="auto"/>
            <w:vAlign w:val="center"/>
            <w:hideMark/>
          </w:tcPr>
          <w:p w14:paraId="60C0DA2B"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17EA073"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1DE4D25" w14:textId="77777777" w:rsidR="00572995" w:rsidRPr="00483EBE" w:rsidRDefault="00572995" w:rsidP="00E8324D">
            <w:pPr>
              <w:pStyle w:val="Tablas"/>
              <w:rPr>
                <w:sz w:val="12"/>
                <w:szCs w:val="12"/>
              </w:rPr>
            </w:pPr>
            <w:r w:rsidRPr="00483EBE">
              <w:rPr>
                <w:sz w:val="12"/>
                <w:szCs w:val="12"/>
              </w:rPr>
              <w:t>SEBD</w:t>
            </w:r>
          </w:p>
        </w:tc>
      </w:tr>
      <w:tr w:rsidR="00572995" w:rsidRPr="00483EBE" w14:paraId="511691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222D9A"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2E3C175B"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5258D08E" w14:textId="77777777" w:rsidR="00572995" w:rsidRPr="00483EBE" w:rsidRDefault="00572995" w:rsidP="00E8324D">
            <w:pPr>
              <w:pStyle w:val="Tablas"/>
              <w:rPr>
                <w:sz w:val="12"/>
                <w:szCs w:val="12"/>
              </w:rPr>
            </w:pPr>
            <w:r w:rsidRPr="00483EBE">
              <w:rPr>
                <w:sz w:val="12"/>
                <w:szCs w:val="12"/>
              </w:rPr>
              <w:t>$92,654</w:t>
            </w:r>
          </w:p>
        </w:tc>
        <w:tc>
          <w:tcPr>
            <w:tcW w:w="0" w:type="auto"/>
            <w:tcBorders>
              <w:top w:val="nil"/>
              <w:left w:val="nil"/>
              <w:bottom w:val="single" w:sz="4" w:space="0" w:color="auto"/>
              <w:right w:val="single" w:sz="4" w:space="0" w:color="auto"/>
            </w:tcBorders>
            <w:shd w:val="clear" w:color="auto" w:fill="auto"/>
            <w:vAlign w:val="center"/>
            <w:hideMark/>
          </w:tcPr>
          <w:p w14:paraId="3445B0E7" w14:textId="77777777" w:rsidR="00572995" w:rsidRPr="00483EBE" w:rsidRDefault="00572995" w:rsidP="00E8324D">
            <w:pPr>
              <w:pStyle w:val="Tablas"/>
              <w:rPr>
                <w:sz w:val="12"/>
                <w:szCs w:val="12"/>
              </w:rPr>
            </w:pPr>
            <w:r w:rsidRPr="00483EBE">
              <w:rPr>
                <w:sz w:val="12"/>
                <w:szCs w:val="12"/>
              </w:rPr>
              <w:t>$2,989</w:t>
            </w:r>
          </w:p>
        </w:tc>
        <w:tc>
          <w:tcPr>
            <w:tcW w:w="0" w:type="auto"/>
            <w:tcBorders>
              <w:top w:val="nil"/>
              <w:left w:val="nil"/>
              <w:bottom w:val="single" w:sz="4" w:space="0" w:color="auto"/>
              <w:right w:val="single" w:sz="4" w:space="0" w:color="auto"/>
            </w:tcBorders>
            <w:shd w:val="clear" w:color="auto" w:fill="auto"/>
            <w:vAlign w:val="center"/>
            <w:hideMark/>
          </w:tcPr>
          <w:p w14:paraId="70A0552C" w14:textId="77777777" w:rsidR="00572995" w:rsidRPr="00483EBE" w:rsidRDefault="00572995" w:rsidP="00E8324D">
            <w:pPr>
              <w:pStyle w:val="Tablas"/>
              <w:rPr>
                <w:sz w:val="12"/>
                <w:szCs w:val="12"/>
              </w:rPr>
            </w:pPr>
            <w:r w:rsidRPr="00483EBE">
              <w:rPr>
                <w:sz w:val="12"/>
                <w:szCs w:val="12"/>
              </w:rPr>
              <w:t>$249</w:t>
            </w:r>
          </w:p>
        </w:tc>
        <w:tc>
          <w:tcPr>
            <w:tcW w:w="0" w:type="auto"/>
            <w:tcBorders>
              <w:top w:val="nil"/>
              <w:left w:val="nil"/>
              <w:bottom w:val="single" w:sz="4" w:space="0" w:color="auto"/>
              <w:right w:val="single" w:sz="4" w:space="0" w:color="auto"/>
            </w:tcBorders>
            <w:shd w:val="clear" w:color="auto" w:fill="auto"/>
            <w:vAlign w:val="center"/>
            <w:hideMark/>
          </w:tcPr>
          <w:p w14:paraId="51F06F3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FE7A97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5CDFD8" w14:textId="77777777" w:rsidR="00572995" w:rsidRPr="00483EBE" w:rsidRDefault="00572995" w:rsidP="00E8324D">
            <w:pPr>
              <w:pStyle w:val="Tablas"/>
              <w:rPr>
                <w:sz w:val="12"/>
                <w:szCs w:val="12"/>
              </w:rPr>
            </w:pPr>
            <w:r w:rsidRPr="00483EBE">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1704425B" w14:textId="77777777" w:rsidR="00572995" w:rsidRPr="00483EBE" w:rsidRDefault="00572995" w:rsidP="00E8324D">
            <w:pPr>
              <w:pStyle w:val="Tablas"/>
              <w:rPr>
                <w:sz w:val="12"/>
                <w:szCs w:val="12"/>
              </w:rPr>
            </w:pPr>
            <w:r w:rsidRPr="00483EBE">
              <w:rPr>
                <w:sz w:val="12"/>
                <w:szCs w:val="12"/>
              </w:rPr>
              <w:t xml:space="preserve">132 </w:t>
            </w:r>
          </w:p>
        </w:tc>
        <w:tc>
          <w:tcPr>
            <w:tcW w:w="0" w:type="auto"/>
            <w:tcBorders>
              <w:top w:val="nil"/>
              <w:left w:val="nil"/>
              <w:bottom w:val="single" w:sz="4" w:space="0" w:color="auto"/>
              <w:right w:val="single" w:sz="4" w:space="0" w:color="auto"/>
            </w:tcBorders>
            <w:shd w:val="clear" w:color="auto" w:fill="auto"/>
            <w:vAlign w:val="center"/>
            <w:hideMark/>
          </w:tcPr>
          <w:p w14:paraId="19724B38" w14:textId="77777777" w:rsidR="00572995" w:rsidRPr="00483EBE" w:rsidRDefault="00572995" w:rsidP="00E8324D">
            <w:pPr>
              <w:pStyle w:val="Tablas"/>
              <w:rPr>
                <w:sz w:val="12"/>
                <w:szCs w:val="12"/>
              </w:rPr>
            </w:pPr>
            <w:r w:rsidRPr="00483EBE">
              <w:rPr>
                <w:sz w:val="12"/>
                <w:szCs w:val="12"/>
              </w:rPr>
              <w:t>$134,565</w:t>
            </w:r>
          </w:p>
        </w:tc>
        <w:tc>
          <w:tcPr>
            <w:tcW w:w="0" w:type="auto"/>
            <w:tcBorders>
              <w:top w:val="nil"/>
              <w:left w:val="nil"/>
              <w:bottom w:val="single" w:sz="4" w:space="0" w:color="auto"/>
              <w:right w:val="single" w:sz="4" w:space="0" w:color="auto"/>
            </w:tcBorders>
            <w:shd w:val="clear" w:color="auto" w:fill="auto"/>
            <w:vAlign w:val="center"/>
            <w:hideMark/>
          </w:tcPr>
          <w:p w14:paraId="50BC529F" w14:textId="77777777" w:rsidR="00572995" w:rsidRPr="00483EBE" w:rsidRDefault="00572995" w:rsidP="00E8324D">
            <w:pPr>
              <w:pStyle w:val="Tablas"/>
              <w:rPr>
                <w:sz w:val="12"/>
                <w:szCs w:val="12"/>
              </w:rPr>
            </w:pPr>
            <w:r w:rsidRPr="00483EBE">
              <w:rPr>
                <w:sz w:val="12"/>
                <w:szCs w:val="12"/>
              </w:rPr>
              <w:t>$1,019</w:t>
            </w:r>
          </w:p>
        </w:tc>
        <w:tc>
          <w:tcPr>
            <w:tcW w:w="0" w:type="auto"/>
            <w:tcBorders>
              <w:top w:val="nil"/>
              <w:left w:val="nil"/>
              <w:bottom w:val="single" w:sz="4" w:space="0" w:color="auto"/>
              <w:right w:val="single" w:sz="4" w:space="0" w:color="auto"/>
            </w:tcBorders>
            <w:shd w:val="clear" w:color="auto" w:fill="auto"/>
            <w:vAlign w:val="center"/>
            <w:hideMark/>
          </w:tcPr>
          <w:p w14:paraId="63BA8F34"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071497E2"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3C137259" w14:textId="77777777" w:rsidR="00572995" w:rsidRPr="00483EBE" w:rsidRDefault="00572995" w:rsidP="00E8324D">
            <w:pPr>
              <w:pStyle w:val="Tablas"/>
              <w:rPr>
                <w:sz w:val="12"/>
                <w:szCs w:val="12"/>
              </w:rPr>
            </w:pPr>
            <w:r w:rsidRPr="00483EBE">
              <w:rPr>
                <w:sz w:val="12"/>
                <w:szCs w:val="12"/>
              </w:rPr>
              <w:t>SEBD</w:t>
            </w:r>
          </w:p>
        </w:tc>
      </w:tr>
      <w:tr w:rsidR="00572995" w:rsidRPr="00483EBE" w14:paraId="7847996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9D7EAA8"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1B521A1B"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37C046F0" w14:textId="77777777" w:rsidR="00572995" w:rsidRPr="00483EBE" w:rsidRDefault="00572995" w:rsidP="00E8324D">
            <w:pPr>
              <w:pStyle w:val="Tablas"/>
              <w:rPr>
                <w:sz w:val="12"/>
                <w:szCs w:val="12"/>
              </w:rPr>
            </w:pPr>
            <w:r w:rsidRPr="00483EBE">
              <w:rPr>
                <w:sz w:val="12"/>
                <w:szCs w:val="12"/>
              </w:rPr>
              <w:t>$109,798</w:t>
            </w:r>
          </w:p>
        </w:tc>
        <w:tc>
          <w:tcPr>
            <w:tcW w:w="0" w:type="auto"/>
            <w:tcBorders>
              <w:top w:val="nil"/>
              <w:left w:val="nil"/>
              <w:bottom w:val="single" w:sz="4" w:space="0" w:color="auto"/>
              <w:right w:val="single" w:sz="4" w:space="0" w:color="auto"/>
            </w:tcBorders>
            <w:shd w:val="clear" w:color="auto" w:fill="auto"/>
            <w:vAlign w:val="center"/>
            <w:hideMark/>
          </w:tcPr>
          <w:p w14:paraId="666E49D0" w14:textId="77777777" w:rsidR="00572995" w:rsidRPr="00483EBE" w:rsidRDefault="00572995" w:rsidP="00E8324D">
            <w:pPr>
              <w:pStyle w:val="Tablas"/>
              <w:rPr>
                <w:sz w:val="12"/>
                <w:szCs w:val="12"/>
              </w:rPr>
            </w:pPr>
            <w:r w:rsidRPr="00483EBE">
              <w:rPr>
                <w:sz w:val="12"/>
                <w:szCs w:val="12"/>
              </w:rPr>
              <w:t>$3,229</w:t>
            </w:r>
          </w:p>
        </w:tc>
        <w:tc>
          <w:tcPr>
            <w:tcW w:w="0" w:type="auto"/>
            <w:tcBorders>
              <w:top w:val="nil"/>
              <w:left w:val="nil"/>
              <w:bottom w:val="single" w:sz="4" w:space="0" w:color="auto"/>
              <w:right w:val="single" w:sz="4" w:space="0" w:color="auto"/>
            </w:tcBorders>
            <w:shd w:val="clear" w:color="auto" w:fill="auto"/>
            <w:vAlign w:val="center"/>
            <w:hideMark/>
          </w:tcPr>
          <w:p w14:paraId="3012AE98" w14:textId="77777777" w:rsidR="00572995" w:rsidRPr="00483EBE" w:rsidRDefault="00572995" w:rsidP="00E8324D">
            <w:pPr>
              <w:pStyle w:val="Tablas"/>
              <w:rPr>
                <w:sz w:val="12"/>
                <w:szCs w:val="12"/>
              </w:rPr>
            </w:pPr>
            <w:r w:rsidRPr="00483EBE">
              <w:rPr>
                <w:sz w:val="12"/>
                <w:szCs w:val="12"/>
              </w:rPr>
              <w:t>$269</w:t>
            </w:r>
          </w:p>
        </w:tc>
        <w:tc>
          <w:tcPr>
            <w:tcW w:w="0" w:type="auto"/>
            <w:tcBorders>
              <w:top w:val="nil"/>
              <w:left w:val="nil"/>
              <w:bottom w:val="single" w:sz="4" w:space="0" w:color="auto"/>
              <w:right w:val="single" w:sz="4" w:space="0" w:color="auto"/>
            </w:tcBorders>
            <w:shd w:val="clear" w:color="auto" w:fill="auto"/>
            <w:vAlign w:val="center"/>
            <w:hideMark/>
          </w:tcPr>
          <w:p w14:paraId="57C0C4A0"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9440BF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28AB98C" w14:textId="77777777" w:rsidR="00572995" w:rsidRPr="00483EBE" w:rsidRDefault="00572995" w:rsidP="00E8324D">
            <w:pPr>
              <w:pStyle w:val="Tablas"/>
              <w:rPr>
                <w:sz w:val="12"/>
                <w:szCs w:val="12"/>
              </w:rPr>
            </w:pPr>
            <w:r w:rsidRPr="00483EBE">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7EFD1502" w14:textId="77777777" w:rsidR="00572995" w:rsidRPr="00483EBE" w:rsidRDefault="00572995" w:rsidP="00E8324D">
            <w:pPr>
              <w:pStyle w:val="Tablas"/>
              <w:rPr>
                <w:sz w:val="12"/>
                <w:szCs w:val="12"/>
              </w:rPr>
            </w:pPr>
            <w:r w:rsidRPr="00483EBE">
              <w:rPr>
                <w:sz w:val="12"/>
                <w:szCs w:val="12"/>
              </w:rPr>
              <w:t xml:space="preserve">193 </w:t>
            </w:r>
          </w:p>
        </w:tc>
        <w:tc>
          <w:tcPr>
            <w:tcW w:w="0" w:type="auto"/>
            <w:tcBorders>
              <w:top w:val="nil"/>
              <w:left w:val="nil"/>
              <w:bottom w:val="single" w:sz="4" w:space="0" w:color="auto"/>
              <w:right w:val="single" w:sz="4" w:space="0" w:color="auto"/>
            </w:tcBorders>
            <w:shd w:val="clear" w:color="auto" w:fill="auto"/>
            <w:vAlign w:val="center"/>
            <w:hideMark/>
          </w:tcPr>
          <w:p w14:paraId="4E1BF62C" w14:textId="77777777" w:rsidR="00572995" w:rsidRPr="00483EBE" w:rsidRDefault="00572995" w:rsidP="00E8324D">
            <w:pPr>
              <w:pStyle w:val="Tablas"/>
              <w:rPr>
                <w:sz w:val="12"/>
                <w:szCs w:val="12"/>
              </w:rPr>
            </w:pPr>
            <w:r w:rsidRPr="00483EBE">
              <w:rPr>
                <w:sz w:val="12"/>
                <w:szCs w:val="12"/>
              </w:rPr>
              <w:t>$206,950</w:t>
            </w:r>
          </w:p>
        </w:tc>
        <w:tc>
          <w:tcPr>
            <w:tcW w:w="0" w:type="auto"/>
            <w:tcBorders>
              <w:top w:val="nil"/>
              <w:left w:val="nil"/>
              <w:bottom w:val="single" w:sz="4" w:space="0" w:color="auto"/>
              <w:right w:val="single" w:sz="4" w:space="0" w:color="auto"/>
            </w:tcBorders>
            <w:shd w:val="clear" w:color="auto" w:fill="auto"/>
            <w:vAlign w:val="center"/>
            <w:hideMark/>
          </w:tcPr>
          <w:p w14:paraId="21BFC6FC" w14:textId="77777777" w:rsidR="00572995" w:rsidRPr="00483EBE" w:rsidRDefault="00572995" w:rsidP="00E8324D">
            <w:pPr>
              <w:pStyle w:val="Tablas"/>
              <w:rPr>
                <w:sz w:val="12"/>
                <w:szCs w:val="12"/>
              </w:rPr>
            </w:pPr>
            <w:r w:rsidRPr="00483EBE">
              <w:rPr>
                <w:sz w:val="12"/>
                <w:szCs w:val="12"/>
              </w:rPr>
              <w:t>$1,072</w:t>
            </w:r>
          </w:p>
        </w:tc>
        <w:tc>
          <w:tcPr>
            <w:tcW w:w="0" w:type="auto"/>
            <w:tcBorders>
              <w:top w:val="nil"/>
              <w:left w:val="nil"/>
              <w:bottom w:val="single" w:sz="4" w:space="0" w:color="auto"/>
              <w:right w:val="single" w:sz="4" w:space="0" w:color="auto"/>
            </w:tcBorders>
            <w:shd w:val="clear" w:color="auto" w:fill="auto"/>
            <w:vAlign w:val="center"/>
            <w:hideMark/>
          </w:tcPr>
          <w:p w14:paraId="55417295"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4AD5B171"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03052ACD" w14:textId="77777777" w:rsidR="00572995" w:rsidRPr="00483EBE" w:rsidRDefault="00572995" w:rsidP="00E8324D">
            <w:pPr>
              <w:pStyle w:val="Tablas"/>
              <w:rPr>
                <w:sz w:val="12"/>
                <w:szCs w:val="12"/>
              </w:rPr>
            </w:pPr>
            <w:r w:rsidRPr="00483EBE">
              <w:rPr>
                <w:sz w:val="12"/>
                <w:szCs w:val="12"/>
              </w:rPr>
              <w:t>SEBD</w:t>
            </w:r>
          </w:p>
        </w:tc>
      </w:tr>
      <w:tr w:rsidR="00572995" w:rsidRPr="00483EBE" w14:paraId="57DDD7E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DD57862"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317848B4"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6E89FA07" w14:textId="77777777" w:rsidR="00572995" w:rsidRPr="00483EBE" w:rsidRDefault="00572995" w:rsidP="00E8324D">
            <w:pPr>
              <w:pStyle w:val="Tablas"/>
              <w:rPr>
                <w:sz w:val="12"/>
                <w:szCs w:val="12"/>
              </w:rPr>
            </w:pPr>
            <w:r w:rsidRPr="00483EBE">
              <w:rPr>
                <w:sz w:val="12"/>
                <w:szCs w:val="12"/>
              </w:rPr>
              <w:t>$64,577</w:t>
            </w:r>
          </w:p>
        </w:tc>
        <w:tc>
          <w:tcPr>
            <w:tcW w:w="0" w:type="auto"/>
            <w:tcBorders>
              <w:top w:val="nil"/>
              <w:left w:val="nil"/>
              <w:bottom w:val="single" w:sz="4" w:space="0" w:color="auto"/>
              <w:right w:val="single" w:sz="4" w:space="0" w:color="auto"/>
            </w:tcBorders>
            <w:shd w:val="clear" w:color="auto" w:fill="auto"/>
            <w:vAlign w:val="center"/>
            <w:hideMark/>
          </w:tcPr>
          <w:p w14:paraId="3E49DA2D" w14:textId="77777777" w:rsidR="00572995" w:rsidRPr="00483EBE" w:rsidRDefault="00572995" w:rsidP="00E8324D">
            <w:pPr>
              <w:pStyle w:val="Tablas"/>
              <w:rPr>
                <w:sz w:val="12"/>
                <w:szCs w:val="12"/>
              </w:rPr>
            </w:pPr>
            <w:r w:rsidRPr="00483EBE">
              <w:rPr>
                <w:sz w:val="12"/>
                <w:szCs w:val="12"/>
              </w:rPr>
              <w:t>$2,306</w:t>
            </w:r>
          </w:p>
        </w:tc>
        <w:tc>
          <w:tcPr>
            <w:tcW w:w="0" w:type="auto"/>
            <w:tcBorders>
              <w:top w:val="nil"/>
              <w:left w:val="nil"/>
              <w:bottom w:val="single" w:sz="4" w:space="0" w:color="auto"/>
              <w:right w:val="single" w:sz="4" w:space="0" w:color="auto"/>
            </w:tcBorders>
            <w:shd w:val="clear" w:color="auto" w:fill="auto"/>
            <w:vAlign w:val="center"/>
            <w:hideMark/>
          </w:tcPr>
          <w:p w14:paraId="3243BF19" w14:textId="77777777" w:rsidR="00572995" w:rsidRPr="00483EBE" w:rsidRDefault="00572995" w:rsidP="00E8324D">
            <w:pPr>
              <w:pStyle w:val="Tablas"/>
              <w:rPr>
                <w:sz w:val="12"/>
                <w:szCs w:val="12"/>
              </w:rPr>
            </w:pPr>
            <w:r w:rsidRPr="00483EBE">
              <w:rPr>
                <w:sz w:val="12"/>
                <w:szCs w:val="12"/>
              </w:rPr>
              <w:t>$192</w:t>
            </w:r>
          </w:p>
        </w:tc>
        <w:tc>
          <w:tcPr>
            <w:tcW w:w="0" w:type="auto"/>
            <w:tcBorders>
              <w:top w:val="nil"/>
              <w:left w:val="nil"/>
              <w:bottom w:val="single" w:sz="4" w:space="0" w:color="auto"/>
              <w:right w:val="single" w:sz="4" w:space="0" w:color="auto"/>
            </w:tcBorders>
            <w:shd w:val="clear" w:color="auto" w:fill="auto"/>
            <w:vAlign w:val="center"/>
            <w:hideMark/>
          </w:tcPr>
          <w:p w14:paraId="6C06F83F"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626E84B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E7509A" w14:textId="77777777" w:rsidR="00572995" w:rsidRPr="00483EBE" w:rsidRDefault="00572995" w:rsidP="00E8324D">
            <w:pPr>
              <w:pStyle w:val="Tablas"/>
              <w:rPr>
                <w:sz w:val="12"/>
                <w:szCs w:val="12"/>
              </w:rPr>
            </w:pPr>
            <w:r w:rsidRPr="00483EBE">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790C0D24" w14:textId="77777777" w:rsidR="00572995" w:rsidRPr="00483EBE" w:rsidRDefault="00572995" w:rsidP="00E8324D">
            <w:pPr>
              <w:pStyle w:val="Tablas"/>
              <w:rPr>
                <w:sz w:val="12"/>
                <w:szCs w:val="12"/>
              </w:rPr>
            </w:pPr>
            <w:r w:rsidRPr="00483EBE">
              <w:rPr>
                <w:sz w:val="12"/>
                <w:szCs w:val="12"/>
              </w:rPr>
              <w:t xml:space="preserve">223 </w:t>
            </w:r>
          </w:p>
        </w:tc>
        <w:tc>
          <w:tcPr>
            <w:tcW w:w="0" w:type="auto"/>
            <w:tcBorders>
              <w:top w:val="nil"/>
              <w:left w:val="nil"/>
              <w:bottom w:val="single" w:sz="4" w:space="0" w:color="auto"/>
              <w:right w:val="single" w:sz="4" w:space="0" w:color="auto"/>
            </w:tcBorders>
            <w:shd w:val="clear" w:color="auto" w:fill="auto"/>
            <w:vAlign w:val="center"/>
            <w:hideMark/>
          </w:tcPr>
          <w:p w14:paraId="5E611F2E" w14:textId="77777777" w:rsidR="00572995" w:rsidRPr="00483EBE" w:rsidRDefault="00572995" w:rsidP="00E8324D">
            <w:pPr>
              <w:pStyle w:val="Tablas"/>
              <w:rPr>
                <w:sz w:val="12"/>
                <w:szCs w:val="12"/>
              </w:rPr>
            </w:pPr>
            <w:r w:rsidRPr="00483EBE">
              <w:rPr>
                <w:sz w:val="12"/>
                <w:szCs w:val="12"/>
              </w:rPr>
              <w:t>$248,129</w:t>
            </w:r>
          </w:p>
        </w:tc>
        <w:tc>
          <w:tcPr>
            <w:tcW w:w="0" w:type="auto"/>
            <w:tcBorders>
              <w:top w:val="nil"/>
              <w:left w:val="nil"/>
              <w:bottom w:val="single" w:sz="4" w:space="0" w:color="auto"/>
              <w:right w:val="single" w:sz="4" w:space="0" w:color="auto"/>
            </w:tcBorders>
            <w:shd w:val="clear" w:color="auto" w:fill="auto"/>
            <w:vAlign w:val="center"/>
            <w:hideMark/>
          </w:tcPr>
          <w:p w14:paraId="4EF6005A" w14:textId="77777777" w:rsidR="00572995" w:rsidRPr="00483EBE" w:rsidRDefault="00572995" w:rsidP="00E8324D">
            <w:pPr>
              <w:pStyle w:val="Tablas"/>
              <w:rPr>
                <w:sz w:val="12"/>
                <w:szCs w:val="12"/>
              </w:rPr>
            </w:pPr>
            <w:r w:rsidRPr="00483EBE">
              <w:rPr>
                <w:sz w:val="12"/>
                <w:szCs w:val="12"/>
              </w:rPr>
              <w:t>$1,113</w:t>
            </w:r>
          </w:p>
        </w:tc>
        <w:tc>
          <w:tcPr>
            <w:tcW w:w="0" w:type="auto"/>
            <w:tcBorders>
              <w:top w:val="nil"/>
              <w:left w:val="nil"/>
              <w:bottom w:val="single" w:sz="4" w:space="0" w:color="auto"/>
              <w:right w:val="single" w:sz="4" w:space="0" w:color="auto"/>
            </w:tcBorders>
            <w:shd w:val="clear" w:color="auto" w:fill="auto"/>
            <w:vAlign w:val="center"/>
            <w:hideMark/>
          </w:tcPr>
          <w:p w14:paraId="4E7851F7"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8ED3F54"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0A3681C" w14:textId="77777777" w:rsidR="00572995" w:rsidRPr="00483EBE" w:rsidRDefault="00572995" w:rsidP="00E8324D">
            <w:pPr>
              <w:pStyle w:val="Tablas"/>
              <w:rPr>
                <w:sz w:val="12"/>
                <w:szCs w:val="12"/>
              </w:rPr>
            </w:pPr>
            <w:r w:rsidRPr="00483EBE">
              <w:rPr>
                <w:sz w:val="12"/>
                <w:szCs w:val="12"/>
              </w:rPr>
              <w:t>SEBD</w:t>
            </w:r>
          </w:p>
        </w:tc>
      </w:tr>
      <w:tr w:rsidR="00572995" w:rsidRPr="00483EBE" w14:paraId="5CACAF6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B0C209"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C10BC8B"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691E0246" w14:textId="77777777" w:rsidR="00572995" w:rsidRPr="00483EBE" w:rsidRDefault="00572995" w:rsidP="00E8324D">
            <w:pPr>
              <w:pStyle w:val="Tablas"/>
              <w:rPr>
                <w:sz w:val="12"/>
                <w:szCs w:val="12"/>
              </w:rPr>
            </w:pPr>
            <w:r w:rsidRPr="00483EBE">
              <w:rPr>
                <w:sz w:val="12"/>
                <w:szCs w:val="12"/>
              </w:rPr>
              <w:t>$77,068</w:t>
            </w:r>
          </w:p>
        </w:tc>
        <w:tc>
          <w:tcPr>
            <w:tcW w:w="0" w:type="auto"/>
            <w:tcBorders>
              <w:top w:val="nil"/>
              <w:left w:val="nil"/>
              <w:bottom w:val="single" w:sz="4" w:space="0" w:color="auto"/>
              <w:right w:val="single" w:sz="4" w:space="0" w:color="auto"/>
            </w:tcBorders>
            <w:shd w:val="clear" w:color="auto" w:fill="auto"/>
            <w:vAlign w:val="center"/>
            <w:hideMark/>
          </w:tcPr>
          <w:p w14:paraId="3F4A3935" w14:textId="77777777" w:rsidR="00572995" w:rsidRPr="00483EBE" w:rsidRDefault="00572995" w:rsidP="00E8324D">
            <w:pPr>
              <w:pStyle w:val="Tablas"/>
              <w:rPr>
                <w:sz w:val="12"/>
                <w:szCs w:val="12"/>
              </w:rPr>
            </w:pPr>
            <w:r w:rsidRPr="00483EBE">
              <w:rPr>
                <w:sz w:val="12"/>
                <w:szCs w:val="12"/>
              </w:rPr>
              <w:t>$2,083</w:t>
            </w:r>
          </w:p>
        </w:tc>
        <w:tc>
          <w:tcPr>
            <w:tcW w:w="0" w:type="auto"/>
            <w:tcBorders>
              <w:top w:val="nil"/>
              <w:left w:val="nil"/>
              <w:bottom w:val="single" w:sz="4" w:space="0" w:color="auto"/>
              <w:right w:val="single" w:sz="4" w:space="0" w:color="auto"/>
            </w:tcBorders>
            <w:shd w:val="clear" w:color="auto" w:fill="auto"/>
            <w:vAlign w:val="center"/>
            <w:hideMark/>
          </w:tcPr>
          <w:p w14:paraId="1D8170CF" w14:textId="77777777" w:rsidR="00572995" w:rsidRPr="00483EBE" w:rsidRDefault="00572995" w:rsidP="00E8324D">
            <w:pPr>
              <w:pStyle w:val="Tablas"/>
              <w:rPr>
                <w:sz w:val="12"/>
                <w:szCs w:val="12"/>
              </w:rPr>
            </w:pPr>
            <w:r w:rsidRPr="00483EBE">
              <w:rPr>
                <w:sz w:val="12"/>
                <w:szCs w:val="12"/>
              </w:rPr>
              <w:t>$174</w:t>
            </w:r>
          </w:p>
        </w:tc>
        <w:tc>
          <w:tcPr>
            <w:tcW w:w="0" w:type="auto"/>
            <w:tcBorders>
              <w:top w:val="nil"/>
              <w:left w:val="nil"/>
              <w:bottom w:val="single" w:sz="4" w:space="0" w:color="auto"/>
              <w:right w:val="single" w:sz="4" w:space="0" w:color="auto"/>
            </w:tcBorders>
            <w:shd w:val="clear" w:color="auto" w:fill="auto"/>
            <w:vAlign w:val="center"/>
            <w:hideMark/>
          </w:tcPr>
          <w:p w14:paraId="09D184C7"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5DF76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BF92B5" w14:textId="77777777" w:rsidR="00572995" w:rsidRPr="00483EBE" w:rsidRDefault="00572995" w:rsidP="00E8324D">
            <w:pPr>
              <w:pStyle w:val="Tablas"/>
              <w:rPr>
                <w:sz w:val="12"/>
                <w:szCs w:val="12"/>
              </w:rPr>
            </w:pPr>
            <w:r w:rsidRPr="00483EBE">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586BEB04" w14:textId="77777777" w:rsidR="00572995" w:rsidRPr="00483EBE" w:rsidRDefault="00572995" w:rsidP="00E8324D">
            <w:pPr>
              <w:pStyle w:val="Tablas"/>
              <w:rPr>
                <w:sz w:val="12"/>
                <w:szCs w:val="12"/>
              </w:rPr>
            </w:pPr>
            <w:r w:rsidRPr="00483EBE">
              <w:rPr>
                <w:sz w:val="12"/>
                <w:szCs w:val="12"/>
              </w:rPr>
              <w:t xml:space="preserve">277 </w:t>
            </w:r>
          </w:p>
        </w:tc>
        <w:tc>
          <w:tcPr>
            <w:tcW w:w="0" w:type="auto"/>
            <w:tcBorders>
              <w:top w:val="nil"/>
              <w:left w:val="nil"/>
              <w:bottom w:val="single" w:sz="4" w:space="0" w:color="auto"/>
              <w:right w:val="single" w:sz="4" w:space="0" w:color="auto"/>
            </w:tcBorders>
            <w:shd w:val="clear" w:color="auto" w:fill="auto"/>
            <w:vAlign w:val="center"/>
            <w:hideMark/>
          </w:tcPr>
          <w:p w14:paraId="3F23DA4F" w14:textId="77777777" w:rsidR="00572995" w:rsidRPr="00483EBE" w:rsidRDefault="00572995" w:rsidP="00E8324D">
            <w:pPr>
              <w:pStyle w:val="Tablas"/>
              <w:rPr>
                <w:sz w:val="12"/>
                <w:szCs w:val="12"/>
              </w:rPr>
            </w:pPr>
            <w:r w:rsidRPr="00483EBE">
              <w:rPr>
                <w:sz w:val="12"/>
                <w:szCs w:val="12"/>
              </w:rPr>
              <w:t>$319,401</w:t>
            </w:r>
          </w:p>
        </w:tc>
        <w:tc>
          <w:tcPr>
            <w:tcW w:w="0" w:type="auto"/>
            <w:tcBorders>
              <w:top w:val="nil"/>
              <w:left w:val="nil"/>
              <w:bottom w:val="single" w:sz="4" w:space="0" w:color="auto"/>
              <w:right w:val="single" w:sz="4" w:space="0" w:color="auto"/>
            </w:tcBorders>
            <w:shd w:val="clear" w:color="auto" w:fill="auto"/>
            <w:vAlign w:val="center"/>
            <w:hideMark/>
          </w:tcPr>
          <w:p w14:paraId="5D7AEB14" w14:textId="77777777" w:rsidR="00572995" w:rsidRPr="00483EBE" w:rsidRDefault="00572995" w:rsidP="00E8324D">
            <w:pPr>
              <w:pStyle w:val="Tablas"/>
              <w:rPr>
                <w:sz w:val="12"/>
                <w:szCs w:val="12"/>
              </w:rPr>
            </w:pPr>
            <w:r w:rsidRPr="00483EBE">
              <w:rPr>
                <w:sz w:val="12"/>
                <w:szCs w:val="12"/>
              </w:rPr>
              <w:t>$1,153</w:t>
            </w:r>
          </w:p>
        </w:tc>
        <w:tc>
          <w:tcPr>
            <w:tcW w:w="0" w:type="auto"/>
            <w:tcBorders>
              <w:top w:val="nil"/>
              <w:left w:val="nil"/>
              <w:bottom w:val="single" w:sz="4" w:space="0" w:color="auto"/>
              <w:right w:val="single" w:sz="4" w:space="0" w:color="auto"/>
            </w:tcBorders>
            <w:shd w:val="clear" w:color="auto" w:fill="auto"/>
            <w:vAlign w:val="center"/>
            <w:hideMark/>
          </w:tcPr>
          <w:p w14:paraId="4F994B10"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46E174C3"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2492F69" w14:textId="77777777" w:rsidR="00572995" w:rsidRPr="00483EBE" w:rsidRDefault="00572995" w:rsidP="00E8324D">
            <w:pPr>
              <w:pStyle w:val="Tablas"/>
              <w:rPr>
                <w:sz w:val="12"/>
                <w:szCs w:val="12"/>
              </w:rPr>
            </w:pPr>
            <w:r w:rsidRPr="00483EBE">
              <w:rPr>
                <w:sz w:val="12"/>
                <w:szCs w:val="12"/>
              </w:rPr>
              <w:t>SEBD</w:t>
            </w:r>
          </w:p>
        </w:tc>
      </w:tr>
      <w:tr w:rsidR="00572995" w:rsidRPr="00483EBE" w14:paraId="3AB07F5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D2D218"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1DD2D955"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3CE859F6" w14:textId="77777777" w:rsidR="00572995" w:rsidRPr="00483EBE" w:rsidRDefault="00572995" w:rsidP="00E8324D">
            <w:pPr>
              <w:pStyle w:val="Tablas"/>
              <w:rPr>
                <w:sz w:val="12"/>
                <w:szCs w:val="12"/>
              </w:rPr>
            </w:pPr>
            <w:r w:rsidRPr="00483EBE">
              <w:rPr>
                <w:sz w:val="12"/>
                <w:szCs w:val="12"/>
              </w:rPr>
              <w:t>$79,136</w:t>
            </w:r>
          </w:p>
        </w:tc>
        <w:tc>
          <w:tcPr>
            <w:tcW w:w="0" w:type="auto"/>
            <w:tcBorders>
              <w:top w:val="nil"/>
              <w:left w:val="nil"/>
              <w:bottom w:val="single" w:sz="4" w:space="0" w:color="auto"/>
              <w:right w:val="single" w:sz="4" w:space="0" w:color="auto"/>
            </w:tcBorders>
            <w:shd w:val="clear" w:color="auto" w:fill="auto"/>
            <w:vAlign w:val="center"/>
            <w:hideMark/>
          </w:tcPr>
          <w:p w14:paraId="38D0022B" w14:textId="77777777" w:rsidR="00572995" w:rsidRPr="00483EBE" w:rsidRDefault="00572995" w:rsidP="00E8324D">
            <w:pPr>
              <w:pStyle w:val="Tablas"/>
              <w:rPr>
                <w:sz w:val="12"/>
                <w:szCs w:val="12"/>
              </w:rPr>
            </w:pPr>
            <w:r w:rsidRPr="00483EBE">
              <w:rPr>
                <w:sz w:val="12"/>
                <w:szCs w:val="12"/>
              </w:rPr>
              <w:t>$2,931</w:t>
            </w:r>
          </w:p>
        </w:tc>
        <w:tc>
          <w:tcPr>
            <w:tcW w:w="0" w:type="auto"/>
            <w:tcBorders>
              <w:top w:val="nil"/>
              <w:left w:val="nil"/>
              <w:bottom w:val="single" w:sz="4" w:space="0" w:color="auto"/>
              <w:right w:val="single" w:sz="4" w:space="0" w:color="auto"/>
            </w:tcBorders>
            <w:shd w:val="clear" w:color="auto" w:fill="auto"/>
            <w:vAlign w:val="center"/>
            <w:hideMark/>
          </w:tcPr>
          <w:p w14:paraId="1EEFF042" w14:textId="77777777" w:rsidR="00572995" w:rsidRPr="00483EBE" w:rsidRDefault="00572995" w:rsidP="00E8324D">
            <w:pPr>
              <w:pStyle w:val="Tablas"/>
              <w:rPr>
                <w:sz w:val="12"/>
                <w:szCs w:val="12"/>
              </w:rPr>
            </w:pPr>
            <w:r w:rsidRPr="00483EBE">
              <w:rPr>
                <w:sz w:val="12"/>
                <w:szCs w:val="12"/>
              </w:rPr>
              <w:t>$244</w:t>
            </w:r>
          </w:p>
        </w:tc>
        <w:tc>
          <w:tcPr>
            <w:tcW w:w="0" w:type="auto"/>
            <w:tcBorders>
              <w:top w:val="nil"/>
              <w:left w:val="nil"/>
              <w:bottom w:val="single" w:sz="4" w:space="0" w:color="auto"/>
              <w:right w:val="single" w:sz="4" w:space="0" w:color="auto"/>
            </w:tcBorders>
            <w:shd w:val="clear" w:color="auto" w:fill="auto"/>
            <w:vAlign w:val="center"/>
            <w:hideMark/>
          </w:tcPr>
          <w:p w14:paraId="75E0D62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D83E57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806DDAC" w14:textId="77777777" w:rsidR="00572995" w:rsidRPr="00483EBE" w:rsidRDefault="00572995" w:rsidP="00E8324D">
            <w:pPr>
              <w:pStyle w:val="Tablas"/>
              <w:rPr>
                <w:sz w:val="12"/>
                <w:szCs w:val="12"/>
              </w:rPr>
            </w:pPr>
            <w:r w:rsidRPr="00483EBE">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1A72E85A" w14:textId="77777777" w:rsidR="00572995" w:rsidRPr="00483EBE" w:rsidRDefault="00572995" w:rsidP="00E8324D">
            <w:pPr>
              <w:pStyle w:val="Tablas"/>
              <w:rPr>
                <w:sz w:val="12"/>
                <w:szCs w:val="12"/>
              </w:rPr>
            </w:pPr>
            <w:r w:rsidRPr="00483EBE">
              <w:rPr>
                <w:sz w:val="12"/>
                <w:szCs w:val="12"/>
              </w:rPr>
              <w:t xml:space="preserve">275 </w:t>
            </w:r>
          </w:p>
        </w:tc>
        <w:tc>
          <w:tcPr>
            <w:tcW w:w="0" w:type="auto"/>
            <w:tcBorders>
              <w:top w:val="nil"/>
              <w:left w:val="nil"/>
              <w:bottom w:val="single" w:sz="4" w:space="0" w:color="auto"/>
              <w:right w:val="single" w:sz="4" w:space="0" w:color="auto"/>
            </w:tcBorders>
            <w:shd w:val="clear" w:color="auto" w:fill="auto"/>
            <w:vAlign w:val="center"/>
            <w:hideMark/>
          </w:tcPr>
          <w:p w14:paraId="45488881" w14:textId="77777777" w:rsidR="00572995" w:rsidRPr="00483EBE" w:rsidRDefault="00572995" w:rsidP="00E8324D">
            <w:pPr>
              <w:pStyle w:val="Tablas"/>
              <w:rPr>
                <w:sz w:val="12"/>
                <w:szCs w:val="12"/>
              </w:rPr>
            </w:pPr>
            <w:r w:rsidRPr="00483EBE">
              <w:rPr>
                <w:sz w:val="12"/>
                <w:szCs w:val="12"/>
              </w:rPr>
              <w:t>$290,437</w:t>
            </w:r>
          </w:p>
        </w:tc>
        <w:tc>
          <w:tcPr>
            <w:tcW w:w="0" w:type="auto"/>
            <w:tcBorders>
              <w:top w:val="nil"/>
              <w:left w:val="nil"/>
              <w:bottom w:val="single" w:sz="4" w:space="0" w:color="auto"/>
              <w:right w:val="single" w:sz="4" w:space="0" w:color="auto"/>
            </w:tcBorders>
            <w:shd w:val="clear" w:color="auto" w:fill="auto"/>
            <w:vAlign w:val="center"/>
            <w:hideMark/>
          </w:tcPr>
          <w:p w14:paraId="0AA9A577" w14:textId="77777777" w:rsidR="00572995" w:rsidRPr="00483EBE" w:rsidRDefault="00572995" w:rsidP="00E8324D">
            <w:pPr>
              <w:pStyle w:val="Tablas"/>
              <w:rPr>
                <w:sz w:val="12"/>
                <w:szCs w:val="12"/>
              </w:rPr>
            </w:pPr>
            <w:r w:rsidRPr="00483EBE">
              <w:rPr>
                <w:sz w:val="12"/>
                <w:szCs w:val="12"/>
              </w:rPr>
              <w:t>$1,056</w:t>
            </w:r>
          </w:p>
        </w:tc>
        <w:tc>
          <w:tcPr>
            <w:tcW w:w="0" w:type="auto"/>
            <w:tcBorders>
              <w:top w:val="nil"/>
              <w:left w:val="nil"/>
              <w:bottom w:val="single" w:sz="4" w:space="0" w:color="auto"/>
              <w:right w:val="single" w:sz="4" w:space="0" w:color="auto"/>
            </w:tcBorders>
            <w:shd w:val="clear" w:color="auto" w:fill="auto"/>
            <w:vAlign w:val="center"/>
            <w:hideMark/>
          </w:tcPr>
          <w:p w14:paraId="293D8F96"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9BA40AA"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394F8510" w14:textId="77777777" w:rsidR="00572995" w:rsidRPr="00483EBE" w:rsidRDefault="00572995" w:rsidP="00E8324D">
            <w:pPr>
              <w:pStyle w:val="Tablas"/>
              <w:rPr>
                <w:sz w:val="12"/>
                <w:szCs w:val="12"/>
              </w:rPr>
            </w:pPr>
            <w:r w:rsidRPr="00483EBE">
              <w:rPr>
                <w:sz w:val="12"/>
                <w:szCs w:val="12"/>
              </w:rPr>
              <w:t>SEBD</w:t>
            </w:r>
          </w:p>
        </w:tc>
      </w:tr>
      <w:tr w:rsidR="00572995" w:rsidRPr="00483EBE" w14:paraId="20286B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0122637"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7350DE40"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006B2807" w14:textId="77777777" w:rsidR="00572995" w:rsidRPr="00483EBE" w:rsidRDefault="00572995" w:rsidP="00E8324D">
            <w:pPr>
              <w:pStyle w:val="Tablas"/>
              <w:rPr>
                <w:sz w:val="12"/>
                <w:szCs w:val="12"/>
              </w:rPr>
            </w:pPr>
            <w:r w:rsidRPr="00483EBE">
              <w:rPr>
                <w:sz w:val="12"/>
                <w:szCs w:val="12"/>
              </w:rPr>
              <w:t>$75,024</w:t>
            </w:r>
          </w:p>
        </w:tc>
        <w:tc>
          <w:tcPr>
            <w:tcW w:w="0" w:type="auto"/>
            <w:tcBorders>
              <w:top w:val="nil"/>
              <w:left w:val="nil"/>
              <w:bottom w:val="single" w:sz="4" w:space="0" w:color="auto"/>
              <w:right w:val="single" w:sz="4" w:space="0" w:color="auto"/>
            </w:tcBorders>
            <w:shd w:val="clear" w:color="auto" w:fill="auto"/>
            <w:vAlign w:val="center"/>
            <w:hideMark/>
          </w:tcPr>
          <w:p w14:paraId="29EB41E0" w14:textId="77777777" w:rsidR="00572995" w:rsidRPr="00483EBE" w:rsidRDefault="00572995" w:rsidP="00E8324D">
            <w:pPr>
              <w:pStyle w:val="Tablas"/>
              <w:rPr>
                <w:sz w:val="12"/>
                <w:szCs w:val="12"/>
              </w:rPr>
            </w:pPr>
            <w:r w:rsidRPr="00483EBE">
              <w:rPr>
                <w:sz w:val="12"/>
                <w:szCs w:val="12"/>
              </w:rPr>
              <w:t>$3,001</w:t>
            </w:r>
          </w:p>
        </w:tc>
        <w:tc>
          <w:tcPr>
            <w:tcW w:w="0" w:type="auto"/>
            <w:tcBorders>
              <w:top w:val="nil"/>
              <w:left w:val="nil"/>
              <w:bottom w:val="single" w:sz="4" w:space="0" w:color="auto"/>
              <w:right w:val="single" w:sz="4" w:space="0" w:color="auto"/>
            </w:tcBorders>
            <w:shd w:val="clear" w:color="auto" w:fill="auto"/>
            <w:vAlign w:val="center"/>
            <w:hideMark/>
          </w:tcPr>
          <w:p w14:paraId="414B0418"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75E8EA44"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370174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E390FD2" w14:textId="77777777" w:rsidR="00572995" w:rsidRPr="00483EBE" w:rsidRDefault="00572995" w:rsidP="00E8324D">
            <w:pPr>
              <w:pStyle w:val="Tablas"/>
              <w:rPr>
                <w:sz w:val="12"/>
                <w:szCs w:val="12"/>
              </w:rPr>
            </w:pPr>
            <w:r w:rsidRPr="00483EBE">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6E20EB1D" w14:textId="77777777" w:rsidR="00572995" w:rsidRPr="00483EBE" w:rsidRDefault="00572995" w:rsidP="00E8324D">
            <w:pPr>
              <w:pStyle w:val="Tablas"/>
              <w:rPr>
                <w:sz w:val="12"/>
                <w:szCs w:val="12"/>
              </w:rPr>
            </w:pPr>
            <w:r w:rsidRPr="00483EBE">
              <w:rPr>
                <w:sz w:val="12"/>
                <w:szCs w:val="12"/>
              </w:rPr>
              <w:t xml:space="preserve">355 </w:t>
            </w:r>
          </w:p>
        </w:tc>
        <w:tc>
          <w:tcPr>
            <w:tcW w:w="0" w:type="auto"/>
            <w:tcBorders>
              <w:top w:val="nil"/>
              <w:left w:val="nil"/>
              <w:bottom w:val="single" w:sz="4" w:space="0" w:color="auto"/>
              <w:right w:val="single" w:sz="4" w:space="0" w:color="auto"/>
            </w:tcBorders>
            <w:shd w:val="clear" w:color="auto" w:fill="auto"/>
            <w:vAlign w:val="center"/>
            <w:hideMark/>
          </w:tcPr>
          <w:p w14:paraId="7FE8B33D" w14:textId="77777777" w:rsidR="00572995" w:rsidRPr="00483EBE" w:rsidRDefault="00572995" w:rsidP="00E8324D">
            <w:pPr>
              <w:pStyle w:val="Tablas"/>
              <w:rPr>
                <w:sz w:val="12"/>
                <w:szCs w:val="12"/>
              </w:rPr>
            </w:pPr>
            <w:r w:rsidRPr="00483EBE">
              <w:rPr>
                <w:sz w:val="12"/>
                <w:szCs w:val="12"/>
              </w:rPr>
              <w:t>$354,275</w:t>
            </w:r>
          </w:p>
        </w:tc>
        <w:tc>
          <w:tcPr>
            <w:tcW w:w="0" w:type="auto"/>
            <w:tcBorders>
              <w:top w:val="nil"/>
              <w:left w:val="nil"/>
              <w:bottom w:val="single" w:sz="4" w:space="0" w:color="auto"/>
              <w:right w:val="single" w:sz="4" w:space="0" w:color="auto"/>
            </w:tcBorders>
            <w:shd w:val="clear" w:color="auto" w:fill="auto"/>
            <w:vAlign w:val="center"/>
            <w:hideMark/>
          </w:tcPr>
          <w:p w14:paraId="1D31272B" w14:textId="77777777" w:rsidR="00572995" w:rsidRPr="00483EBE" w:rsidRDefault="00572995" w:rsidP="00E8324D">
            <w:pPr>
              <w:pStyle w:val="Tablas"/>
              <w:rPr>
                <w:sz w:val="12"/>
                <w:szCs w:val="12"/>
              </w:rPr>
            </w:pPr>
            <w:r w:rsidRPr="00483EBE">
              <w:rPr>
                <w:sz w:val="12"/>
                <w:szCs w:val="12"/>
              </w:rPr>
              <w:t>$998</w:t>
            </w:r>
          </w:p>
        </w:tc>
        <w:tc>
          <w:tcPr>
            <w:tcW w:w="0" w:type="auto"/>
            <w:tcBorders>
              <w:top w:val="nil"/>
              <w:left w:val="nil"/>
              <w:bottom w:val="single" w:sz="4" w:space="0" w:color="auto"/>
              <w:right w:val="single" w:sz="4" w:space="0" w:color="auto"/>
            </w:tcBorders>
            <w:shd w:val="clear" w:color="auto" w:fill="auto"/>
            <w:vAlign w:val="center"/>
            <w:hideMark/>
          </w:tcPr>
          <w:p w14:paraId="01B867C7"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1A71F7E4"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213F9AF5" w14:textId="77777777" w:rsidR="00572995" w:rsidRPr="00483EBE" w:rsidRDefault="00572995" w:rsidP="00E8324D">
            <w:pPr>
              <w:pStyle w:val="Tablas"/>
              <w:rPr>
                <w:sz w:val="12"/>
                <w:szCs w:val="12"/>
              </w:rPr>
            </w:pPr>
            <w:r w:rsidRPr="00483EBE">
              <w:rPr>
                <w:sz w:val="12"/>
                <w:szCs w:val="12"/>
              </w:rPr>
              <w:t>SEBD</w:t>
            </w:r>
          </w:p>
        </w:tc>
      </w:tr>
      <w:tr w:rsidR="00572995" w:rsidRPr="00483EBE" w14:paraId="34501A8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9A41302"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367A0B05"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030589C0" w14:textId="77777777" w:rsidR="00572995" w:rsidRPr="00483EBE" w:rsidRDefault="00572995" w:rsidP="00E8324D">
            <w:pPr>
              <w:pStyle w:val="Tablas"/>
              <w:rPr>
                <w:sz w:val="12"/>
                <w:szCs w:val="12"/>
              </w:rPr>
            </w:pPr>
            <w:r w:rsidRPr="00483EBE">
              <w:rPr>
                <w:sz w:val="12"/>
                <w:szCs w:val="12"/>
              </w:rPr>
              <w:t>$48,727</w:t>
            </w:r>
          </w:p>
        </w:tc>
        <w:tc>
          <w:tcPr>
            <w:tcW w:w="0" w:type="auto"/>
            <w:tcBorders>
              <w:top w:val="nil"/>
              <w:left w:val="nil"/>
              <w:bottom w:val="single" w:sz="4" w:space="0" w:color="auto"/>
              <w:right w:val="single" w:sz="4" w:space="0" w:color="auto"/>
            </w:tcBorders>
            <w:shd w:val="clear" w:color="auto" w:fill="auto"/>
            <w:vAlign w:val="center"/>
            <w:hideMark/>
          </w:tcPr>
          <w:p w14:paraId="06823071" w14:textId="77777777" w:rsidR="00572995" w:rsidRPr="00483EBE" w:rsidRDefault="00572995" w:rsidP="00E8324D">
            <w:pPr>
              <w:pStyle w:val="Tablas"/>
              <w:rPr>
                <w:sz w:val="12"/>
                <w:szCs w:val="12"/>
              </w:rPr>
            </w:pPr>
            <w:r w:rsidRPr="00483EBE">
              <w:rPr>
                <w:sz w:val="12"/>
                <w:szCs w:val="12"/>
              </w:rPr>
              <w:t>$2,866</w:t>
            </w:r>
          </w:p>
        </w:tc>
        <w:tc>
          <w:tcPr>
            <w:tcW w:w="0" w:type="auto"/>
            <w:tcBorders>
              <w:top w:val="nil"/>
              <w:left w:val="nil"/>
              <w:bottom w:val="single" w:sz="4" w:space="0" w:color="auto"/>
              <w:right w:val="single" w:sz="4" w:space="0" w:color="auto"/>
            </w:tcBorders>
            <w:shd w:val="clear" w:color="auto" w:fill="auto"/>
            <w:vAlign w:val="center"/>
            <w:hideMark/>
          </w:tcPr>
          <w:p w14:paraId="4B89208A" w14:textId="77777777" w:rsidR="00572995" w:rsidRPr="00483EBE" w:rsidRDefault="00572995" w:rsidP="00E8324D">
            <w:pPr>
              <w:pStyle w:val="Tablas"/>
              <w:rPr>
                <w:sz w:val="12"/>
                <w:szCs w:val="12"/>
              </w:rPr>
            </w:pPr>
            <w:r w:rsidRPr="00483EBE">
              <w:rPr>
                <w:sz w:val="12"/>
                <w:szCs w:val="12"/>
              </w:rPr>
              <w:t>$239</w:t>
            </w:r>
          </w:p>
        </w:tc>
        <w:tc>
          <w:tcPr>
            <w:tcW w:w="0" w:type="auto"/>
            <w:tcBorders>
              <w:top w:val="nil"/>
              <w:left w:val="nil"/>
              <w:bottom w:val="single" w:sz="4" w:space="0" w:color="auto"/>
              <w:right w:val="single" w:sz="4" w:space="0" w:color="auto"/>
            </w:tcBorders>
            <w:shd w:val="clear" w:color="auto" w:fill="auto"/>
            <w:vAlign w:val="center"/>
            <w:hideMark/>
          </w:tcPr>
          <w:p w14:paraId="66B23586"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DBC39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FEC167" w14:textId="77777777" w:rsidR="00572995" w:rsidRPr="00483EBE" w:rsidRDefault="00572995" w:rsidP="00E8324D">
            <w:pPr>
              <w:pStyle w:val="Tablas"/>
              <w:rPr>
                <w:sz w:val="12"/>
                <w:szCs w:val="12"/>
              </w:rPr>
            </w:pPr>
            <w:r w:rsidRPr="00483EBE">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004E4E6F" w14:textId="77777777" w:rsidR="00572995" w:rsidRPr="00483EBE" w:rsidRDefault="00572995" w:rsidP="00E8324D">
            <w:pPr>
              <w:pStyle w:val="Tablas"/>
              <w:rPr>
                <w:sz w:val="12"/>
                <w:szCs w:val="12"/>
              </w:rPr>
            </w:pPr>
            <w:r w:rsidRPr="00483EBE">
              <w:rPr>
                <w:sz w:val="12"/>
                <w:szCs w:val="12"/>
              </w:rPr>
              <w:t xml:space="preserve">394 </w:t>
            </w:r>
          </w:p>
        </w:tc>
        <w:tc>
          <w:tcPr>
            <w:tcW w:w="0" w:type="auto"/>
            <w:tcBorders>
              <w:top w:val="nil"/>
              <w:left w:val="nil"/>
              <w:bottom w:val="single" w:sz="4" w:space="0" w:color="auto"/>
              <w:right w:val="single" w:sz="4" w:space="0" w:color="auto"/>
            </w:tcBorders>
            <w:shd w:val="clear" w:color="auto" w:fill="auto"/>
            <w:vAlign w:val="center"/>
            <w:hideMark/>
          </w:tcPr>
          <w:p w14:paraId="5723ACC6" w14:textId="77777777" w:rsidR="00572995" w:rsidRPr="00483EBE" w:rsidRDefault="00572995" w:rsidP="00E8324D">
            <w:pPr>
              <w:pStyle w:val="Tablas"/>
              <w:rPr>
                <w:sz w:val="12"/>
                <w:szCs w:val="12"/>
              </w:rPr>
            </w:pPr>
            <w:r w:rsidRPr="00483EBE">
              <w:rPr>
                <w:sz w:val="12"/>
                <w:szCs w:val="12"/>
              </w:rPr>
              <w:t>$398,950</w:t>
            </w:r>
          </w:p>
        </w:tc>
        <w:tc>
          <w:tcPr>
            <w:tcW w:w="0" w:type="auto"/>
            <w:tcBorders>
              <w:top w:val="nil"/>
              <w:left w:val="nil"/>
              <w:bottom w:val="single" w:sz="4" w:space="0" w:color="auto"/>
              <w:right w:val="single" w:sz="4" w:space="0" w:color="auto"/>
            </w:tcBorders>
            <w:shd w:val="clear" w:color="auto" w:fill="auto"/>
            <w:vAlign w:val="center"/>
            <w:hideMark/>
          </w:tcPr>
          <w:p w14:paraId="0EA80778" w14:textId="77777777" w:rsidR="00572995" w:rsidRPr="00483EBE" w:rsidRDefault="00572995" w:rsidP="00E8324D">
            <w:pPr>
              <w:pStyle w:val="Tablas"/>
              <w:rPr>
                <w:sz w:val="12"/>
                <w:szCs w:val="12"/>
              </w:rPr>
            </w:pPr>
            <w:r w:rsidRPr="00483EBE">
              <w:rPr>
                <w:sz w:val="12"/>
                <w:szCs w:val="12"/>
              </w:rPr>
              <w:t>$1,013</w:t>
            </w:r>
          </w:p>
        </w:tc>
        <w:tc>
          <w:tcPr>
            <w:tcW w:w="0" w:type="auto"/>
            <w:tcBorders>
              <w:top w:val="nil"/>
              <w:left w:val="nil"/>
              <w:bottom w:val="single" w:sz="4" w:space="0" w:color="auto"/>
              <w:right w:val="single" w:sz="4" w:space="0" w:color="auto"/>
            </w:tcBorders>
            <w:shd w:val="clear" w:color="auto" w:fill="auto"/>
            <w:vAlign w:val="center"/>
            <w:hideMark/>
          </w:tcPr>
          <w:p w14:paraId="5F3338CB"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4B16B869"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1AD66DE" w14:textId="77777777" w:rsidR="00572995" w:rsidRPr="00483EBE" w:rsidRDefault="00572995" w:rsidP="00E8324D">
            <w:pPr>
              <w:pStyle w:val="Tablas"/>
              <w:rPr>
                <w:sz w:val="12"/>
                <w:szCs w:val="12"/>
              </w:rPr>
            </w:pPr>
            <w:r w:rsidRPr="00483EBE">
              <w:rPr>
                <w:sz w:val="12"/>
                <w:szCs w:val="12"/>
              </w:rPr>
              <w:t>SEBD</w:t>
            </w:r>
          </w:p>
        </w:tc>
      </w:tr>
      <w:tr w:rsidR="00572995" w:rsidRPr="00483EBE" w14:paraId="288FAB5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015A820"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59DF7E42"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6DFB9160" w14:textId="77777777" w:rsidR="00572995" w:rsidRPr="00483EBE" w:rsidRDefault="00572995" w:rsidP="00E8324D">
            <w:pPr>
              <w:pStyle w:val="Tablas"/>
              <w:rPr>
                <w:sz w:val="12"/>
                <w:szCs w:val="12"/>
              </w:rPr>
            </w:pPr>
            <w:r w:rsidRPr="00483EBE">
              <w:rPr>
                <w:sz w:val="12"/>
                <w:szCs w:val="12"/>
              </w:rPr>
              <w:t>$56,491</w:t>
            </w:r>
          </w:p>
        </w:tc>
        <w:tc>
          <w:tcPr>
            <w:tcW w:w="0" w:type="auto"/>
            <w:tcBorders>
              <w:top w:val="nil"/>
              <w:left w:val="nil"/>
              <w:bottom w:val="single" w:sz="4" w:space="0" w:color="auto"/>
              <w:right w:val="single" w:sz="4" w:space="0" w:color="auto"/>
            </w:tcBorders>
            <w:shd w:val="clear" w:color="auto" w:fill="auto"/>
            <w:vAlign w:val="center"/>
            <w:hideMark/>
          </w:tcPr>
          <w:p w14:paraId="670510D3" w14:textId="77777777" w:rsidR="00572995" w:rsidRPr="00483EBE" w:rsidRDefault="00572995" w:rsidP="00E8324D">
            <w:pPr>
              <w:pStyle w:val="Tablas"/>
              <w:rPr>
                <w:sz w:val="12"/>
                <w:szCs w:val="12"/>
              </w:rPr>
            </w:pPr>
            <w:r w:rsidRPr="00483EBE">
              <w:rPr>
                <w:sz w:val="12"/>
                <w:szCs w:val="12"/>
              </w:rPr>
              <w:t>$2,173</w:t>
            </w:r>
          </w:p>
        </w:tc>
        <w:tc>
          <w:tcPr>
            <w:tcW w:w="0" w:type="auto"/>
            <w:tcBorders>
              <w:top w:val="nil"/>
              <w:left w:val="nil"/>
              <w:bottom w:val="single" w:sz="4" w:space="0" w:color="auto"/>
              <w:right w:val="single" w:sz="4" w:space="0" w:color="auto"/>
            </w:tcBorders>
            <w:shd w:val="clear" w:color="auto" w:fill="auto"/>
            <w:vAlign w:val="center"/>
            <w:hideMark/>
          </w:tcPr>
          <w:p w14:paraId="48635FB8" w14:textId="77777777" w:rsidR="00572995" w:rsidRPr="00483EBE" w:rsidRDefault="00572995" w:rsidP="00E8324D">
            <w:pPr>
              <w:pStyle w:val="Tablas"/>
              <w:rPr>
                <w:sz w:val="12"/>
                <w:szCs w:val="12"/>
              </w:rPr>
            </w:pPr>
            <w:r w:rsidRPr="00483EBE">
              <w:rPr>
                <w:sz w:val="12"/>
                <w:szCs w:val="12"/>
              </w:rPr>
              <w:t>$181</w:t>
            </w:r>
          </w:p>
        </w:tc>
        <w:tc>
          <w:tcPr>
            <w:tcW w:w="0" w:type="auto"/>
            <w:tcBorders>
              <w:top w:val="nil"/>
              <w:left w:val="nil"/>
              <w:bottom w:val="single" w:sz="4" w:space="0" w:color="auto"/>
              <w:right w:val="single" w:sz="4" w:space="0" w:color="auto"/>
            </w:tcBorders>
            <w:shd w:val="clear" w:color="auto" w:fill="auto"/>
            <w:vAlign w:val="center"/>
            <w:hideMark/>
          </w:tcPr>
          <w:p w14:paraId="275BF35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D93B7E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70334EA" w14:textId="77777777" w:rsidR="00572995" w:rsidRPr="00483EBE" w:rsidRDefault="00572995" w:rsidP="00E8324D">
            <w:pPr>
              <w:pStyle w:val="Tablas"/>
              <w:rPr>
                <w:sz w:val="12"/>
                <w:szCs w:val="12"/>
              </w:rPr>
            </w:pPr>
            <w:r w:rsidRPr="00483EBE">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5111FBF4" w14:textId="77777777" w:rsidR="00572995" w:rsidRPr="00483EBE" w:rsidRDefault="00572995" w:rsidP="00E8324D">
            <w:pPr>
              <w:pStyle w:val="Tablas"/>
              <w:rPr>
                <w:sz w:val="12"/>
                <w:szCs w:val="12"/>
              </w:rPr>
            </w:pPr>
            <w:r w:rsidRPr="00483EBE">
              <w:rPr>
                <w:sz w:val="12"/>
                <w:szCs w:val="12"/>
              </w:rPr>
              <w:t xml:space="preserve">446 </w:t>
            </w:r>
          </w:p>
        </w:tc>
        <w:tc>
          <w:tcPr>
            <w:tcW w:w="0" w:type="auto"/>
            <w:tcBorders>
              <w:top w:val="nil"/>
              <w:left w:val="nil"/>
              <w:bottom w:val="single" w:sz="4" w:space="0" w:color="auto"/>
              <w:right w:val="single" w:sz="4" w:space="0" w:color="auto"/>
            </w:tcBorders>
            <w:shd w:val="clear" w:color="auto" w:fill="auto"/>
            <w:vAlign w:val="center"/>
            <w:hideMark/>
          </w:tcPr>
          <w:p w14:paraId="39FB9EBA" w14:textId="77777777" w:rsidR="00572995" w:rsidRPr="00483EBE" w:rsidRDefault="00572995" w:rsidP="00E8324D">
            <w:pPr>
              <w:pStyle w:val="Tablas"/>
              <w:rPr>
                <w:sz w:val="12"/>
                <w:szCs w:val="12"/>
              </w:rPr>
            </w:pPr>
            <w:r w:rsidRPr="00483EBE">
              <w:rPr>
                <w:sz w:val="12"/>
                <w:szCs w:val="12"/>
              </w:rPr>
              <w:t>$470,461</w:t>
            </w:r>
          </w:p>
        </w:tc>
        <w:tc>
          <w:tcPr>
            <w:tcW w:w="0" w:type="auto"/>
            <w:tcBorders>
              <w:top w:val="nil"/>
              <w:left w:val="nil"/>
              <w:bottom w:val="single" w:sz="4" w:space="0" w:color="auto"/>
              <w:right w:val="single" w:sz="4" w:space="0" w:color="auto"/>
            </w:tcBorders>
            <w:shd w:val="clear" w:color="auto" w:fill="auto"/>
            <w:vAlign w:val="center"/>
            <w:hideMark/>
          </w:tcPr>
          <w:p w14:paraId="05050C4E" w14:textId="77777777" w:rsidR="00572995" w:rsidRPr="00483EBE" w:rsidRDefault="00572995" w:rsidP="00E8324D">
            <w:pPr>
              <w:pStyle w:val="Tablas"/>
              <w:rPr>
                <w:sz w:val="12"/>
                <w:szCs w:val="12"/>
              </w:rPr>
            </w:pPr>
            <w:r w:rsidRPr="00483EBE">
              <w:rPr>
                <w:sz w:val="12"/>
                <w:szCs w:val="12"/>
              </w:rPr>
              <w:t>$1,055</w:t>
            </w:r>
          </w:p>
        </w:tc>
        <w:tc>
          <w:tcPr>
            <w:tcW w:w="0" w:type="auto"/>
            <w:tcBorders>
              <w:top w:val="nil"/>
              <w:left w:val="nil"/>
              <w:bottom w:val="single" w:sz="4" w:space="0" w:color="auto"/>
              <w:right w:val="single" w:sz="4" w:space="0" w:color="auto"/>
            </w:tcBorders>
            <w:shd w:val="clear" w:color="auto" w:fill="auto"/>
            <w:vAlign w:val="center"/>
            <w:hideMark/>
          </w:tcPr>
          <w:p w14:paraId="2DB5D1CC"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33E4132"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7657FCF1" w14:textId="77777777" w:rsidR="00572995" w:rsidRPr="00483EBE" w:rsidRDefault="00572995" w:rsidP="00E8324D">
            <w:pPr>
              <w:pStyle w:val="Tablas"/>
              <w:rPr>
                <w:sz w:val="12"/>
                <w:szCs w:val="12"/>
              </w:rPr>
            </w:pPr>
            <w:r w:rsidRPr="00483EBE">
              <w:rPr>
                <w:sz w:val="12"/>
                <w:szCs w:val="12"/>
              </w:rPr>
              <w:t>SEBD</w:t>
            </w:r>
          </w:p>
        </w:tc>
      </w:tr>
      <w:tr w:rsidR="00572995" w:rsidRPr="00483EBE" w14:paraId="03531B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AAC8012"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36BA021D"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18EFE8A1" w14:textId="77777777" w:rsidR="00572995" w:rsidRPr="00483EBE" w:rsidRDefault="00572995" w:rsidP="00E8324D">
            <w:pPr>
              <w:pStyle w:val="Tablas"/>
              <w:rPr>
                <w:sz w:val="12"/>
                <w:szCs w:val="12"/>
              </w:rPr>
            </w:pPr>
            <w:r w:rsidRPr="00483EBE">
              <w:rPr>
                <w:sz w:val="12"/>
                <w:szCs w:val="12"/>
              </w:rPr>
              <w:t>$67,806</w:t>
            </w:r>
          </w:p>
        </w:tc>
        <w:tc>
          <w:tcPr>
            <w:tcW w:w="0" w:type="auto"/>
            <w:tcBorders>
              <w:top w:val="nil"/>
              <w:left w:val="nil"/>
              <w:bottom w:val="single" w:sz="4" w:space="0" w:color="auto"/>
              <w:right w:val="single" w:sz="4" w:space="0" w:color="auto"/>
            </w:tcBorders>
            <w:shd w:val="clear" w:color="auto" w:fill="auto"/>
            <w:vAlign w:val="center"/>
            <w:hideMark/>
          </w:tcPr>
          <w:p w14:paraId="46BC3703" w14:textId="77777777" w:rsidR="00572995" w:rsidRPr="00483EBE" w:rsidRDefault="00572995" w:rsidP="00E8324D">
            <w:pPr>
              <w:pStyle w:val="Tablas"/>
              <w:rPr>
                <w:sz w:val="12"/>
                <w:szCs w:val="12"/>
              </w:rPr>
            </w:pPr>
            <w:r w:rsidRPr="00483EBE">
              <w:rPr>
                <w:sz w:val="12"/>
                <w:szCs w:val="12"/>
              </w:rPr>
              <w:t>$2,608</w:t>
            </w:r>
          </w:p>
        </w:tc>
        <w:tc>
          <w:tcPr>
            <w:tcW w:w="0" w:type="auto"/>
            <w:tcBorders>
              <w:top w:val="nil"/>
              <w:left w:val="nil"/>
              <w:bottom w:val="single" w:sz="4" w:space="0" w:color="auto"/>
              <w:right w:val="single" w:sz="4" w:space="0" w:color="auto"/>
            </w:tcBorders>
            <w:shd w:val="clear" w:color="auto" w:fill="auto"/>
            <w:vAlign w:val="center"/>
            <w:hideMark/>
          </w:tcPr>
          <w:p w14:paraId="3D9755B7"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71C02F56"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4E4D89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5738A3" w14:textId="77777777" w:rsidR="00572995" w:rsidRPr="00483EBE" w:rsidRDefault="00572995" w:rsidP="00E8324D">
            <w:pPr>
              <w:pStyle w:val="Tablas"/>
              <w:rPr>
                <w:sz w:val="12"/>
                <w:szCs w:val="12"/>
              </w:rPr>
            </w:pPr>
            <w:r w:rsidRPr="00483EBE">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4F2475D8" w14:textId="77777777" w:rsidR="00572995" w:rsidRPr="00483EBE" w:rsidRDefault="00572995" w:rsidP="00E8324D">
            <w:pPr>
              <w:pStyle w:val="Tablas"/>
              <w:rPr>
                <w:sz w:val="12"/>
                <w:szCs w:val="12"/>
              </w:rPr>
            </w:pPr>
            <w:r w:rsidRPr="00483EBE">
              <w:rPr>
                <w:sz w:val="12"/>
                <w:szCs w:val="12"/>
              </w:rPr>
              <w:t xml:space="preserve">457 </w:t>
            </w:r>
          </w:p>
        </w:tc>
        <w:tc>
          <w:tcPr>
            <w:tcW w:w="0" w:type="auto"/>
            <w:tcBorders>
              <w:top w:val="nil"/>
              <w:left w:val="nil"/>
              <w:bottom w:val="single" w:sz="4" w:space="0" w:color="auto"/>
              <w:right w:val="single" w:sz="4" w:space="0" w:color="auto"/>
            </w:tcBorders>
            <w:shd w:val="clear" w:color="auto" w:fill="auto"/>
            <w:vAlign w:val="center"/>
            <w:hideMark/>
          </w:tcPr>
          <w:p w14:paraId="44C9B4E3" w14:textId="77777777" w:rsidR="00572995" w:rsidRPr="00483EBE" w:rsidRDefault="00572995" w:rsidP="00E8324D">
            <w:pPr>
              <w:pStyle w:val="Tablas"/>
              <w:rPr>
                <w:sz w:val="12"/>
                <w:szCs w:val="12"/>
              </w:rPr>
            </w:pPr>
            <w:r w:rsidRPr="00483EBE">
              <w:rPr>
                <w:sz w:val="12"/>
                <w:szCs w:val="12"/>
              </w:rPr>
              <w:t>$496,707</w:t>
            </w:r>
          </w:p>
        </w:tc>
        <w:tc>
          <w:tcPr>
            <w:tcW w:w="0" w:type="auto"/>
            <w:tcBorders>
              <w:top w:val="nil"/>
              <w:left w:val="nil"/>
              <w:bottom w:val="single" w:sz="4" w:space="0" w:color="auto"/>
              <w:right w:val="single" w:sz="4" w:space="0" w:color="auto"/>
            </w:tcBorders>
            <w:shd w:val="clear" w:color="auto" w:fill="auto"/>
            <w:vAlign w:val="center"/>
            <w:hideMark/>
          </w:tcPr>
          <w:p w14:paraId="092D4501" w14:textId="77777777" w:rsidR="00572995" w:rsidRPr="00483EBE" w:rsidRDefault="00572995" w:rsidP="00E8324D">
            <w:pPr>
              <w:pStyle w:val="Tablas"/>
              <w:rPr>
                <w:sz w:val="12"/>
                <w:szCs w:val="12"/>
              </w:rPr>
            </w:pPr>
            <w:r w:rsidRPr="00483EBE">
              <w:rPr>
                <w:sz w:val="12"/>
                <w:szCs w:val="12"/>
              </w:rPr>
              <w:t>$1,087</w:t>
            </w:r>
          </w:p>
        </w:tc>
        <w:tc>
          <w:tcPr>
            <w:tcW w:w="0" w:type="auto"/>
            <w:tcBorders>
              <w:top w:val="nil"/>
              <w:left w:val="nil"/>
              <w:bottom w:val="single" w:sz="4" w:space="0" w:color="auto"/>
              <w:right w:val="single" w:sz="4" w:space="0" w:color="auto"/>
            </w:tcBorders>
            <w:shd w:val="clear" w:color="auto" w:fill="auto"/>
            <w:vAlign w:val="center"/>
            <w:hideMark/>
          </w:tcPr>
          <w:p w14:paraId="28BCF75B"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746A162D"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24E1BE6D" w14:textId="77777777" w:rsidR="00572995" w:rsidRPr="00483EBE" w:rsidRDefault="00572995" w:rsidP="00E8324D">
            <w:pPr>
              <w:pStyle w:val="Tablas"/>
              <w:rPr>
                <w:sz w:val="12"/>
                <w:szCs w:val="12"/>
              </w:rPr>
            </w:pPr>
            <w:r w:rsidRPr="00483EBE">
              <w:rPr>
                <w:sz w:val="12"/>
                <w:szCs w:val="12"/>
              </w:rPr>
              <w:t>SEBD</w:t>
            </w:r>
          </w:p>
        </w:tc>
      </w:tr>
      <w:tr w:rsidR="00572995" w:rsidRPr="00483EBE" w14:paraId="317E7DF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65907D9"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408EE76D"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4551180A" w14:textId="77777777" w:rsidR="00572995" w:rsidRPr="00483EBE" w:rsidRDefault="00572995" w:rsidP="00E8324D">
            <w:pPr>
              <w:pStyle w:val="Tablas"/>
              <w:rPr>
                <w:sz w:val="12"/>
                <w:szCs w:val="12"/>
              </w:rPr>
            </w:pPr>
            <w:r w:rsidRPr="00483EBE">
              <w:rPr>
                <w:sz w:val="12"/>
                <w:szCs w:val="12"/>
              </w:rPr>
              <w:t>$57,751</w:t>
            </w:r>
          </w:p>
        </w:tc>
        <w:tc>
          <w:tcPr>
            <w:tcW w:w="0" w:type="auto"/>
            <w:tcBorders>
              <w:top w:val="nil"/>
              <w:left w:val="nil"/>
              <w:bottom w:val="single" w:sz="4" w:space="0" w:color="auto"/>
              <w:right w:val="single" w:sz="4" w:space="0" w:color="auto"/>
            </w:tcBorders>
            <w:shd w:val="clear" w:color="auto" w:fill="auto"/>
            <w:vAlign w:val="center"/>
            <w:hideMark/>
          </w:tcPr>
          <w:p w14:paraId="5314107F" w14:textId="77777777" w:rsidR="00572995" w:rsidRPr="00483EBE" w:rsidRDefault="00572995" w:rsidP="00E8324D">
            <w:pPr>
              <w:pStyle w:val="Tablas"/>
              <w:rPr>
                <w:sz w:val="12"/>
                <w:szCs w:val="12"/>
              </w:rPr>
            </w:pPr>
            <w:r w:rsidRPr="00483EBE">
              <w:rPr>
                <w:sz w:val="12"/>
                <w:szCs w:val="12"/>
              </w:rPr>
              <w:t>$2,888</w:t>
            </w:r>
          </w:p>
        </w:tc>
        <w:tc>
          <w:tcPr>
            <w:tcW w:w="0" w:type="auto"/>
            <w:tcBorders>
              <w:top w:val="nil"/>
              <w:left w:val="nil"/>
              <w:bottom w:val="single" w:sz="4" w:space="0" w:color="auto"/>
              <w:right w:val="single" w:sz="4" w:space="0" w:color="auto"/>
            </w:tcBorders>
            <w:shd w:val="clear" w:color="auto" w:fill="auto"/>
            <w:vAlign w:val="center"/>
            <w:hideMark/>
          </w:tcPr>
          <w:p w14:paraId="43C9C24F" w14:textId="77777777" w:rsidR="00572995" w:rsidRPr="00483EBE" w:rsidRDefault="00572995" w:rsidP="00E8324D">
            <w:pPr>
              <w:pStyle w:val="Tablas"/>
              <w:rPr>
                <w:sz w:val="12"/>
                <w:szCs w:val="12"/>
              </w:rPr>
            </w:pPr>
            <w:r w:rsidRPr="00483EBE">
              <w:rPr>
                <w:sz w:val="12"/>
                <w:szCs w:val="12"/>
              </w:rPr>
              <w:t>$241</w:t>
            </w:r>
          </w:p>
        </w:tc>
        <w:tc>
          <w:tcPr>
            <w:tcW w:w="0" w:type="auto"/>
            <w:tcBorders>
              <w:top w:val="nil"/>
              <w:left w:val="nil"/>
              <w:bottom w:val="single" w:sz="4" w:space="0" w:color="auto"/>
              <w:right w:val="single" w:sz="4" w:space="0" w:color="auto"/>
            </w:tcBorders>
            <w:shd w:val="clear" w:color="auto" w:fill="auto"/>
            <w:vAlign w:val="center"/>
            <w:hideMark/>
          </w:tcPr>
          <w:p w14:paraId="2E30394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B13085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3351AF" w14:textId="77777777" w:rsidR="00572995" w:rsidRPr="00483EBE" w:rsidRDefault="00572995" w:rsidP="00E8324D">
            <w:pPr>
              <w:pStyle w:val="Tablas"/>
              <w:rPr>
                <w:sz w:val="12"/>
                <w:szCs w:val="12"/>
              </w:rPr>
            </w:pPr>
            <w:r w:rsidRPr="00483EBE">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6FD1983D"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56CA4B21" w14:textId="77777777" w:rsidR="00572995" w:rsidRPr="00483EBE" w:rsidRDefault="00572995" w:rsidP="00E8324D">
            <w:pPr>
              <w:pStyle w:val="Tablas"/>
              <w:rPr>
                <w:sz w:val="12"/>
                <w:szCs w:val="12"/>
              </w:rPr>
            </w:pPr>
            <w:r w:rsidRPr="00483EBE">
              <w:rPr>
                <w:sz w:val="12"/>
                <w:szCs w:val="12"/>
              </w:rPr>
              <w:t>$30,372</w:t>
            </w:r>
          </w:p>
        </w:tc>
        <w:tc>
          <w:tcPr>
            <w:tcW w:w="0" w:type="auto"/>
            <w:tcBorders>
              <w:top w:val="nil"/>
              <w:left w:val="nil"/>
              <w:bottom w:val="single" w:sz="4" w:space="0" w:color="auto"/>
              <w:right w:val="single" w:sz="4" w:space="0" w:color="auto"/>
            </w:tcBorders>
            <w:shd w:val="clear" w:color="auto" w:fill="auto"/>
            <w:vAlign w:val="center"/>
            <w:hideMark/>
          </w:tcPr>
          <w:p w14:paraId="29B10B47" w14:textId="77777777" w:rsidR="00572995" w:rsidRPr="00483EBE" w:rsidRDefault="00572995" w:rsidP="00E8324D">
            <w:pPr>
              <w:pStyle w:val="Tablas"/>
              <w:rPr>
                <w:sz w:val="12"/>
                <w:szCs w:val="12"/>
              </w:rPr>
            </w:pPr>
            <w:r w:rsidRPr="00483EBE">
              <w:rPr>
                <w:sz w:val="12"/>
                <w:szCs w:val="12"/>
              </w:rPr>
              <w:t>$920</w:t>
            </w:r>
          </w:p>
        </w:tc>
        <w:tc>
          <w:tcPr>
            <w:tcW w:w="0" w:type="auto"/>
            <w:tcBorders>
              <w:top w:val="nil"/>
              <w:left w:val="nil"/>
              <w:bottom w:val="single" w:sz="4" w:space="0" w:color="auto"/>
              <w:right w:val="single" w:sz="4" w:space="0" w:color="auto"/>
            </w:tcBorders>
            <w:shd w:val="clear" w:color="auto" w:fill="auto"/>
            <w:vAlign w:val="center"/>
            <w:hideMark/>
          </w:tcPr>
          <w:p w14:paraId="080A77EA"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14A70CAD"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679DF2F5" w14:textId="77777777" w:rsidR="00572995" w:rsidRPr="00483EBE" w:rsidRDefault="00572995" w:rsidP="00E8324D">
            <w:pPr>
              <w:pStyle w:val="Tablas"/>
              <w:rPr>
                <w:sz w:val="12"/>
                <w:szCs w:val="12"/>
              </w:rPr>
            </w:pPr>
            <w:r w:rsidRPr="00483EBE">
              <w:rPr>
                <w:sz w:val="12"/>
                <w:szCs w:val="12"/>
              </w:rPr>
              <w:t>SEBD</w:t>
            </w:r>
          </w:p>
        </w:tc>
      </w:tr>
      <w:tr w:rsidR="00572995" w:rsidRPr="00483EBE" w14:paraId="367E3AB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B43CB5"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0989D7E1"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082B8A57" w14:textId="77777777" w:rsidR="00572995" w:rsidRPr="00483EBE" w:rsidRDefault="00572995" w:rsidP="00E8324D">
            <w:pPr>
              <w:pStyle w:val="Tablas"/>
              <w:rPr>
                <w:sz w:val="12"/>
                <w:szCs w:val="12"/>
              </w:rPr>
            </w:pPr>
            <w:r w:rsidRPr="00483EBE">
              <w:rPr>
                <w:sz w:val="12"/>
                <w:szCs w:val="12"/>
              </w:rPr>
              <w:t>$75,590</w:t>
            </w:r>
          </w:p>
        </w:tc>
        <w:tc>
          <w:tcPr>
            <w:tcW w:w="0" w:type="auto"/>
            <w:tcBorders>
              <w:top w:val="nil"/>
              <w:left w:val="nil"/>
              <w:bottom w:val="single" w:sz="4" w:space="0" w:color="auto"/>
              <w:right w:val="single" w:sz="4" w:space="0" w:color="auto"/>
            </w:tcBorders>
            <w:shd w:val="clear" w:color="auto" w:fill="auto"/>
            <w:vAlign w:val="center"/>
            <w:hideMark/>
          </w:tcPr>
          <w:p w14:paraId="0966D68B" w14:textId="77777777" w:rsidR="00572995" w:rsidRPr="00483EBE" w:rsidRDefault="00572995" w:rsidP="00E8324D">
            <w:pPr>
              <w:pStyle w:val="Tablas"/>
              <w:rPr>
                <w:sz w:val="12"/>
                <w:szCs w:val="12"/>
              </w:rPr>
            </w:pPr>
            <w:r w:rsidRPr="00483EBE">
              <w:rPr>
                <w:sz w:val="12"/>
                <w:szCs w:val="12"/>
              </w:rPr>
              <w:t>$2,607</w:t>
            </w:r>
          </w:p>
        </w:tc>
        <w:tc>
          <w:tcPr>
            <w:tcW w:w="0" w:type="auto"/>
            <w:tcBorders>
              <w:top w:val="nil"/>
              <w:left w:val="nil"/>
              <w:bottom w:val="single" w:sz="4" w:space="0" w:color="auto"/>
              <w:right w:val="single" w:sz="4" w:space="0" w:color="auto"/>
            </w:tcBorders>
            <w:shd w:val="clear" w:color="auto" w:fill="auto"/>
            <w:vAlign w:val="center"/>
            <w:hideMark/>
          </w:tcPr>
          <w:p w14:paraId="4941490B"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689C0DD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5CB47E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91F9C7" w14:textId="77777777" w:rsidR="00572995" w:rsidRPr="00483EBE" w:rsidRDefault="00572995" w:rsidP="00E8324D">
            <w:pPr>
              <w:pStyle w:val="Tablas"/>
              <w:rPr>
                <w:sz w:val="12"/>
                <w:szCs w:val="12"/>
              </w:rPr>
            </w:pPr>
            <w:r w:rsidRPr="00483EBE">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55281C1C"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ECB4FAF" w14:textId="77777777" w:rsidR="00572995" w:rsidRPr="00483EBE" w:rsidRDefault="00572995" w:rsidP="00E8324D">
            <w:pPr>
              <w:pStyle w:val="Tablas"/>
              <w:rPr>
                <w:sz w:val="12"/>
                <w:szCs w:val="12"/>
              </w:rPr>
            </w:pPr>
            <w:r w:rsidRPr="00483EBE">
              <w:rPr>
                <w:sz w:val="12"/>
                <w:szCs w:val="12"/>
              </w:rPr>
              <w:t>$3,945</w:t>
            </w:r>
          </w:p>
        </w:tc>
        <w:tc>
          <w:tcPr>
            <w:tcW w:w="0" w:type="auto"/>
            <w:tcBorders>
              <w:top w:val="nil"/>
              <w:left w:val="nil"/>
              <w:bottom w:val="single" w:sz="4" w:space="0" w:color="auto"/>
              <w:right w:val="single" w:sz="4" w:space="0" w:color="auto"/>
            </w:tcBorders>
            <w:shd w:val="clear" w:color="auto" w:fill="auto"/>
            <w:vAlign w:val="center"/>
            <w:hideMark/>
          </w:tcPr>
          <w:p w14:paraId="58BCF3E5" w14:textId="77777777" w:rsidR="00572995" w:rsidRPr="00483EBE" w:rsidRDefault="00572995" w:rsidP="00E8324D">
            <w:pPr>
              <w:pStyle w:val="Tablas"/>
              <w:rPr>
                <w:sz w:val="12"/>
                <w:szCs w:val="12"/>
              </w:rPr>
            </w:pPr>
            <w:r w:rsidRPr="00483EBE">
              <w:rPr>
                <w:sz w:val="12"/>
                <w:szCs w:val="12"/>
              </w:rPr>
              <w:t>$1,315</w:t>
            </w:r>
          </w:p>
        </w:tc>
        <w:tc>
          <w:tcPr>
            <w:tcW w:w="0" w:type="auto"/>
            <w:tcBorders>
              <w:top w:val="nil"/>
              <w:left w:val="nil"/>
              <w:bottom w:val="single" w:sz="4" w:space="0" w:color="auto"/>
              <w:right w:val="single" w:sz="4" w:space="0" w:color="auto"/>
            </w:tcBorders>
            <w:shd w:val="clear" w:color="auto" w:fill="auto"/>
            <w:vAlign w:val="center"/>
            <w:hideMark/>
          </w:tcPr>
          <w:p w14:paraId="63E573D4"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74996B7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CBCEA88" w14:textId="77777777" w:rsidR="00572995" w:rsidRPr="00483EBE" w:rsidRDefault="00572995" w:rsidP="00E8324D">
            <w:pPr>
              <w:pStyle w:val="Tablas"/>
              <w:rPr>
                <w:sz w:val="12"/>
                <w:szCs w:val="12"/>
              </w:rPr>
            </w:pPr>
            <w:r w:rsidRPr="00483EBE">
              <w:rPr>
                <w:sz w:val="12"/>
                <w:szCs w:val="12"/>
              </w:rPr>
              <w:t>SEBD</w:t>
            </w:r>
          </w:p>
        </w:tc>
      </w:tr>
      <w:tr w:rsidR="00572995" w:rsidRPr="00483EBE" w14:paraId="0B4FB67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39EAFF5"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19D1160F"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0547FEF1" w14:textId="77777777" w:rsidR="00572995" w:rsidRPr="00483EBE" w:rsidRDefault="00572995" w:rsidP="00E8324D">
            <w:pPr>
              <w:pStyle w:val="Tablas"/>
              <w:rPr>
                <w:sz w:val="12"/>
                <w:szCs w:val="12"/>
              </w:rPr>
            </w:pPr>
            <w:r w:rsidRPr="00483EBE">
              <w:rPr>
                <w:sz w:val="12"/>
                <w:szCs w:val="12"/>
              </w:rPr>
              <w:t>$42,406</w:t>
            </w:r>
          </w:p>
        </w:tc>
        <w:tc>
          <w:tcPr>
            <w:tcW w:w="0" w:type="auto"/>
            <w:tcBorders>
              <w:top w:val="nil"/>
              <w:left w:val="nil"/>
              <w:bottom w:val="single" w:sz="4" w:space="0" w:color="auto"/>
              <w:right w:val="single" w:sz="4" w:space="0" w:color="auto"/>
            </w:tcBorders>
            <w:shd w:val="clear" w:color="auto" w:fill="auto"/>
            <w:vAlign w:val="center"/>
            <w:hideMark/>
          </w:tcPr>
          <w:p w14:paraId="360C0D96" w14:textId="77777777" w:rsidR="00572995" w:rsidRPr="00483EBE" w:rsidRDefault="00572995" w:rsidP="00E8324D">
            <w:pPr>
              <w:pStyle w:val="Tablas"/>
              <w:rPr>
                <w:sz w:val="12"/>
                <w:szCs w:val="12"/>
              </w:rPr>
            </w:pPr>
            <w:r w:rsidRPr="00483EBE">
              <w:rPr>
                <w:sz w:val="12"/>
                <w:szCs w:val="12"/>
              </w:rPr>
              <w:t>$2,232</w:t>
            </w:r>
          </w:p>
        </w:tc>
        <w:tc>
          <w:tcPr>
            <w:tcW w:w="0" w:type="auto"/>
            <w:tcBorders>
              <w:top w:val="nil"/>
              <w:left w:val="nil"/>
              <w:bottom w:val="single" w:sz="4" w:space="0" w:color="auto"/>
              <w:right w:val="single" w:sz="4" w:space="0" w:color="auto"/>
            </w:tcBorders>
            <w:shd w:val="clear" w:color="auto" w:fill="auto"/>
            <w:vAlign w:val="center"/>
            <w:hideMark/>
          </w:tcPr>
          <w:p w14:paraId="07720983" w14:textId="77777777" w:rsidR="00572995" w:rsidRPr="00483EBE" w:rsidRDefault="00572995" w:rsidP="00E8324D">
            <w:pPr>
              <w:pStyle w:val="Tablas"/>
              <w:rPr>
                <w:sz w:val="12"/>
                <w:szCs w:val="12"/>
              </w:rPr>
            </w:pPr>
            <w:r w:rsidRPr="00483EBE">
              <w:rPr>
                <w:sz w:val="12"/>
                <w:szCs w:val="12"/>
              </w:rPr>
              <w:t>$186</w:t>
            </w:r>
          </w:p>
        </w:tc>
        <w:tc>
          <w:tcPr>
            <w:tcW w:w="0" w:type="auto"/>
            <w:tcBorders>
              <w:top w:val="nil"/>
              <w:left w:val="nil"/>
              <w:bottom w:val="single" w:sz="4" w:space="0" w:color="auto"/>
              <w:right w:val="single" w:sz="4" w:space="0" w:color="auto"/>
            </w:tcBorders>
            <w:shd w:val="clear" w:color="auto" w:fill="auto"/>
            <w:vAlign w:val="center"/>
            <w:hideMark/>
          </w:tcPr>
          <w:p w14:paraId="3CE3AE26"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59CAD3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ACEBEB" w14:textId="77777777" w:rsidR="00572995" w:rsidRPr="00483EBE" w:rsidRDefault="00572995" w:rsidP="00E8324D">
            <w:pPr>
              <w:pStyle w:val="Tablas"/>
              <w:rPr>
                <w:sz w:val="12"/>
                <w:szCs w:val="12"/>
              </w:rPr>
            </w:pPr>
            <w:r w:rsidRPr="00483EBE">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12E37C4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C236478" w14:textId="77777777" w:rsidR="00572995" w:rsidRPr="00483EBE" w:rsidRDefault="00572995" w:rsidP="00E8324D">
            <w:pPr>
              <w:pStyle w:val="Tablas"/>
              <w:rPr>
                <w:sz w:val="12"/>
                <w:szCs w:val="12"/>
              </w:rPr>
            </w:pPr>
            <w:r w:rsidRPr="00483EBE">
              <w:rPr>
                <w:sz w:val="12"/>
                <w:szCs w:val="12"/>
              </w:rPr>
              <w:t>$9,416</w:t>
            </w:r>
          </w:p>
        </w:tc>
        <w:tc>
          <w:tcPr>
            <w:tcW w:w="0" w:type="auto"/>
            <w:tcBorders>
              <w:top w:val="nil"/>
              <w:left w:val="nil"/>
              <w:bottom w:val="single" w:sz="4" w:space="0" w:color="auto"/>
              <w:right w:val="single" w:sz="4" w:space="0" w:color="auto"/>
            </w:tcBorders>
            <w:shd w:val="clear" w:color="auto" w:fill="auto"/>
            <w:vAlign w:val="center"/>
            <w:hideMark/>
          </w:tcPr>
          <w:p w14:paraId="34D21DAC" w14:textId="77777777" w:rsidR="00572995" w:rsidRPr="00483EBE" w:rsidRDefault="00572995" w:rsidP="00E8324D">
            <w:pPr>
              <w:pStyle w:val="Tablas"/>
              <w:rPr>
                <w:sz w:val="12"/>
                <w:szCs w:val="12"/>
              </w:rPr>
            </w:pPr>
            <w:r w:rsidRPr="00483EBE">
              <w:rPr>
                <w:sz w:val="12"/>
                <w:szCs w:val="12"/>
              </w:rPr>
              <w:t>$1,046</w:t>
            </w:r>
          </w:p>
        </w:tc>
        <w:tc>
          <w:tcPr>
            <w:tcW w:w="0" w:type="auto"/>
            <w:tcBorders>
              <w:top w:val="nil"/>
              <w:left w:val="nil"/>
              <w:bottom w:val="single" w:sz="4" w:space="0" w:color="auto"/>
              <w:right w:val="single" w:sz="4" w:space="0" w:color="auto"/>
            </w:tcBorders>
            <w:shd w:val="clear" w:color="auto" w:fill="auto"/>
            <w:vAlign w:val="center"/>
            <w:hideMark/>
          </w:tcPr>
          <w:p w14:paraId="7BC90D4C"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6B101731"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35692EF" w14:textId="77777777" w:rsidR="00572995" w:rsidRPr="00483EBE" w:rsidRDefault="00572995" w:rsidP="00E8324D">
            <w:pPr>
              <w:pStyle w:val="Tablas"/>
              <w:rPr>
                <w:sz w:val="12"/>
                <w:szCs w:val="12"/>
              </w:rPr>
            </w:pPr>
            <w:r w:rsidRPr="00483EBE">
              <w:rPr>
                <w:sz w:val="12"/>
                <w:szCs w:val="12"/>
              </w:rPr>
              <w:t>SEBD</w:t>
            </w:r>
          </w:p>
        </w:tc>
      </w:tr>
      <w:tr w:rsidR="00572995" w:rsidRPr="00483EBE" w14:paraId="4C6A064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C17AC54"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033AD5BB"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032617CA" w14:textId="77777777" w:rsidR="00572995" w:rsidRPr="00483EBE" w:rsidRDefault="00572995" w:rsidP="00E8324D">
            <w:pPr>
              <w:pStyle w:val="Tablas"/>
              <w:rPr>
                <w:sz w:val="12"/>
                <w:szCs w:val="12"/>
              </w:rPr>
            </w:pPr>
            <w:r w:rsidRPr="00483EBE">
              <w:rPr>
                <w:sz w:val="12"/>
                <w:szCs w:val="12"/>
              </w:rPr>
              <w:t>$70,168</w:t>
            </w:r>
          </w:p>
        </w:tc>
        <w:tc>
          <w:tcPr>
            <w:tcW w:w="0" w:type="auto"/>
            <w:tcBorders>
              <w:top w:val="nil"/>
              <w:left w:val="nil"/>
              <w:bottom w:val="single" w:sz="4" w:space="0" w:color="auto"/>
              <w:right w:val="single" w:sz="4" w:space="0" w:color="auto"/>
            </w:tcBorders>
            <w:shd w:val="clear" w:color="auto" w:fill="auto"/>
            <w:vAlign w:val="center"/>
            <w:hideMark/>
          </w:tcPr>
          <w:p w14:paraId="676B6458" w14:textId="77777777" w:rsidR="00572995" w:rsidRPr="00483EBE" w:rsidRDefault="00572995" w:rsidP="00E8324D">
            <w:pPr>
              <w:pStyle w:val="Tablas"/>
              <w:rPr>
                <w:sz w:val="12"/>
                <w:szCs w:val="12"/>
              </w:rPr>
            </w:pPr>
            <w:r w:rsidRPr="00483EBE">
              <w:rPr>
                <w:sz w:val="12"/>
                <w:szCs w:val="12"/>
              </w:rPr>
              <w:t>$2,599</w:t>
            </w:r>
          </w:p>
        </w:tc>
        <w:tc>
          <w:tcPr>
            <w:tcW w:w="0" w:type="auto"/>
            <w:tcBorders>
              <w:top w:val="nil"/>
              <w:left w:val="nil"/>
              <w:bottom w:val="single" w:sz="4" w:space="0" w:color="auto"/>
              <w:right w:val="single" w:sz="4" w:space="0" w:color="auto"/>
            </w:tcBorders>
            <w:shd w:val="clear" w:color="auto" w:fill="auto"/>
            <w:vAlign w:val="center"/>
            <w:hideMark/>
          </w:tcPr>
          <w:p w14:paraId="1DF56B25"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6B1C1AD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03EB75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10C93F1" w14:textId="77777777" w:rsidR="00572995" w:rsidRPr="00483EBE" w:rsidRDefault="00572995" w:rsidP="00E8324D">
            <w:pPr>
              <w:pStyle w:val="Tablas"/>
              <w:rPr>
                <w:sz w:val="12"/>
                <w:szCs w:val="12"/>
              </w:rPr>
            </w:pPr>
            <w:r w:rsidRPr="00483EBE">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0A9470C0"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7BB63450" w14:textId="77777777" w:rsidR="00572995" w:rsidRPr="00483EBE" w:rsidRDefault="00572995" w:rsidP="00E8324D">
            <w:pPr>
              <w:pStyle w:val="Tablas"/>
              <w:rPr>
                <w:sz w:val="12"/>
                <w:szCs w:val="12"/>
              </w:rPr>
            </w:pPr>
            <w:r w:rsidRPr="00483EBE">
              <w:rPr>
                <w:sz w:val="12"/>
                <w:szCs w:val="12"/>
              </w:rPr>
              <w:t>$8,286</w:t>
            </w:r>
          </w:p>
        </w:tc>
        <w:tc>
          <w:tcPr>
            <w:tcW w:w="0" w:type="auto"/>
            <w:tcBorders>
              <w:top w:val="nil"/>
              <w:left w:val="nil"/>
              <w:bottom w:val="single" w:sz="4" w:space="0" w:color="auto"/>
              <w:right w:val="single" w:sz="4" w:space="0" w:color="auto"/>
            </w:tcBorders>
            <w:shd w:val="clear" w:color="auto" w:fill="auto"/>
            <w:vAlign w:val="center"/>
            <w:hideMark/>
          </w:tcPr>
          <w:p w14:paraId="1801D49B" w14:textId="77777777" w:rsidR="00572995" w:rsidRPr="00483EBE" w:rsidRDefault="00572995" w:rsidP="00E8324D">
            <w:pPr>
              <w:pStyle w:val="Tablas"/>
              <w:rPr>
                <w:sz w:val="12"/>
                <w:szCs w:val="12"/>
              </w:rPr>
            </w:pPr>
            <w:r w:rsidRPr="00483EBE">
              <w:rPr>
                <w:sz w:val="12"/>
                <w:szCs w:val="12"/>
              </w:rPr>
              <w:t>$1,036</w:t>
            </w:r>
          </w:p>
        </w:tc>
        <w:tc>
          <w:tcPr>
            <w:tcW w:w="0" w:type="auto"/>
            <w:tcBorders>
              <w:top w:val="nil"/>
              <w:left w:val="nil"/>
              <w:bottom w:val="single" w:sz="4" w:space="0" w:color="auto"/>
              <w:right w:val="single" w:sz="4" w:space="0" w:color="auto"/>
            </w:tcBorders>
            <w:shd w:val="clear" w:color="auto" w:fill="auto"/>
            <w:vAlign w:val="center"/>
            <w:hideMark/>
          </w:tcPr>
          <w:p w14:paraId="1945F562"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2BE3777C"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06BA371" w14:textId="77777777" w:rsidR="00572995" w:rsidRPr="00483EBE" w:rsidRDefault="00572995" w:rsidP="00E8324D">
            <w:pPr>
              <w:pStyle w:val="Tablas"/>
              <w:rPr>
                <w:sz w:val="12"/>
                <w:szCs w:val="12"/>
              </w:rPr>
            </w:pPr>
            <w:r w:rsidRPr="00483EBE">
              <w:rPr>
                <w:sz w:val="12"/>
                <w:szCs w:val="12"/>
              </w:rPr>
              <w:t>SEBD</w:t>
            </w:r>
          </w:p>
        </w:tc>
      </w:tr>
      <w:tr w:rsidR="00572995" w:rsidRPr="00483EBE" w14:paraId="3B3AA27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7EF483"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376F399"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556BFC4A" w14:textId="77777777" w:rsidR="00572995" w:rsidRPr="00483EBE" w:rsidRDefault="00572995" w:rsidP="00E8324D">
            <w:pPr>
              <w:pStyle w:val="Tablas"/>
              <w:rPr>
                <w:sz w:val="12"/>
                <w:szCs w:val="12"/>
              </w:rPr>
            </w:pPr>
            <w:r w:rsidRPr="00483EBE">
              <w:rPr>
                <w:sz w:val="12"/>
                <w:szCs w:val="12"/>
              </w:rPr>
              <w:t>$78,434</w:t>
            </w:r>
          </w:p>
        </w:tc>
        <w:tc>
          <w:tcPr>
            <w:tcW w:w="0" w:type="auto"/>
            <w:tcBorders>
              <w:top w:val="nil"/>
              <w:left w:val="nil"/>
              <w:bottom w:val="single" w:sz="4" w:space="0" w:color="auto"/>
              <w:right w:val="single" w:sz="4" w:space="0" w:color="auto"/>
            </w:tcBorders>
            <w:shd w:val="clear" w:color="auto" w:fill="auto"/>
            <w:vAlign w:val="center"/>
            <w:hideMark/>
          </w:tcPr>
          <w:p w14:paraId="2ABA7634" w14:textId="77777777" w:rsidR="00572995" w:rsidRPr="00483EBE" w:rsidRDefault="00572995" w:rsidP="00E8324D">
            <w:pPr>
              <w:pStyle w:val="Tablas"/>
              <w:rPr>
                <w:sz w:val="12"/>
                <w:szCs w:val="12"/>
              </w:rPr>
            </w:pPr>
            <w:r w:rsidRPr="00483EBE">
              <w:rPr>
                <w:sz w:val="12"/>
                <w:szCs w:val="12"/>
              </w:rPr>
              <w:t>$2,705</w:t>
            </w:r>
          </w:p>
        </w:tc>
        <w:tc>
          <w:tcPr>
            <w:tcW w:w="0" w:type="auto"/>
            <w:tcBorders>
              <w:top w:val="nil"/>
              <w:left w:val="nil"/>
              <w:bottom w:val="single" w:sz="4" w:space="0" w:color="auto"/>
              <w:right w:val="single" w:sz="4" w:space="0" w:color="auto"/>
            </w:tcBorders>
            <w:shd w:val="clear" w:color="auto" w:fill="auto"/>
            <w:vAlign w:val="center"/>
            <w:hideMark/>
          </w:tcPr>
          <w:p w14:paraId="4E558221" w14:textId="77777777" w:rsidR="00572995" w:rsidRPr="00483EBE" w:rsidRDefault="00572995" w:rsidP="00E8324D">
            <w:pPr>
              <w:pStyle w:val="Tablas"/>
              <w:rPr>
                <w:sz w:val="12"/>
                <w:szCs w:val="12"/>
              </w:rPr>
            </w:pPr>
            <w:r w:rsidRPr="00483EBE">
              <w:rPr>
                <w:sz w:val="12"/>
                <w:szCs w:val="12"/>
              </w:rPr>
              <w:t>$225</w:t>
            </w:r>
          </w:p>
        </w:tc>
        <w:tc>
          <w:tcPr>
            <w:tcW w:w="0" w:type="auto"/>
            <w:tcBorders>
              <w:top w:val="nil"/>
              <w:left w:val="nil"/>
              <w:bottom w:val="single" w:sz="4" w:space="0" w:color="auto"/>
              <w:right w:val="single" w:sz="4" w:space="0" w:color="auto"/>
            </w:tcBorders>
            <w:shd w:val="clear" w:color="auto" w:fill="auto"/>
            <w:vAlign w:val="center"/>
            <w:hideMark/>
          </w:tcPr>
          <w:p w14:paraId="416E12A4"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6CDF19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B95FA2" w14:textId="77777777" w:rsidR="00572995" w:rsidRPr="00483EBE" w:rsidRDefault="00572995" w:rsidP="00E8324D">
            <w:pPr>
              <w:pStyle w:val="Tablas"/>
              <w:rPr>
                <w:sz w:val="12"/>
                <w:szCs w:val="12"/>
              </w:rPr>
            </w:pPr>
            <w:r w:rsidRPr="00483EBE">
              <w:rPr>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14:paraId="03968B6B"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416F38E0" w14:textId="77777777" w:rsidR="00572995" w:rsidRPr="00483EBE" w:rsidRDefault="00572995" w:rsidP="00E8324D">
            <w:pPr>
              <w:pStyle w:val="Tablas"/>
              <w:rPr>
                <w:sz w:val="12"/>
                <w:szCs w:val="12"/>
              </w:rPr>
            </w:pPr>
            <w:r w:rsidRPr="00483EBE">
              <w:rPr>
                <w:sz w:val="12"/>
                <w:szCs w:val="12"/>
              </w:rPr>
              <w:t>$16,842</w:t>
            </w:r>
          </w:p>
        </w:tc>
        <w:tc>
          <w:tcPr>
            <w:tcW w:w="0" w:type="auto"/>
            <w:tcBorders>
              <w:top w:val="nil"/>
              <w:left w:val="nil"/>
              <w:bottom w:val="single" w:sz="4" w:space="0" w:color="auto"/>
              <w:right w:val="single" w:sz="4" w:space="0" w:color="auto"/>
            </w:tcBorders>
            <w:shd w:val="clear" w:color="auto" w:fill="auto"/>
            <w:vAlign w:val="center"/>
            <w:hideMark/>
          </w:tcPr>
          <w:p w14:paraId="62E5BB45" w14:textId="77777777" w:rsidR="00572995" w:rsidRPr="00483EBE" w:rsidRDefault="00572995" w:rsidP="00E8324D">
            <w:pPr>
              <w:pStyle w:val="Tablas"/>
              <w:rPr>
                <w:sz w:val="12"/>
                <w:szCs w:val="12"/>
              </w:rPr>
            </w:pPr>
            <w:r w:rsidRPr="00483EBE">
              <w:rPr>
                <w:sz w:val="12"/>
                <w:szCs w:val="12"/>
              </w:rPr>
              <w:t>$1,531</w:t>
            </w:r>
          </w:p>
        </w:tc>
        <w:tc>
          <w:tcPr>
            <w:tcW w:w="0" w:type="auto"/>
            <w:tcBorders>
              <w:top w:val="nil"/>
              <w:left w:val="nil"/>
              <w:bottom w:val="single" w:sz="4" w:space="0" w:color="auto"/>
              <w:right w:val="single" w:sz="4" w:space="0" w:color="auto"/>
            </w:tcBorders>
            <w:shd w:val="clear" w:color="auto" w:fill="auto"/>
            <w:vAlign w:val="center"/>
            <w:hideMark/>
          </w:tcPr>
          <w:p w14:paraId="224E345D" w14:textId="77777777" w:rsidR="00572995" w:rsidRPr="00483EBE" w:rsidRDefault="00572995" w:rsidP="00E8324D">
            <w:pPr>
              <w:pStyle w:val="Tablas"/>
              <w:rPr>
                <w:sz w:val="12"/>
                <w:szCs w:val="12"/>
              </w:rPr>
            </w:pPr>
            <w:r w:rsidRPr="00483EBE">
              <w:rPr>
                <w:sz w:val="12"/>
                <w:szCs w:val="12"/>
              </w:rPr>
              <w:t>$128</w:t>
            </w:r>
          </w:p>
        </w:tc>
        <w:tc>
          <w:tcPr>
            <w:tcW w:w="0" w:type="auto"/>
            <w:tcBorders>
              <w:top w:val="nil"/>
              <w:left w:val="nil"/>
              <w:bottom w:val="single" w:sz="4" w:space="0" w:color="auto"/>
              <w:right w:val="single" w:sz="4" w:space="0" w:color="auto"/>
            </w:tcBorders>
            <w:shd w:val="clear" w:color="auto" w:fill="auto"/>
            <w:vAlign w:val="center"/>
            <w:hideMark/>
          </w:tcPr>
          <w:p w14:paraId="2D3B95A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1E8CE2E" w14:textId="77777777" w:rsidR="00572995" w:rsidRPr="00483EBE" w:rsidRDefault="00572995" w:rsidP="00E8324D">
            <w:pPr>
              <w:pStyle w:val="Tablas"/>
              <w:rPr>
                <w:sz w:val="12"/>
                <w:szCs w:val="12"/>
              </w:rPr>
            </w:pPr>
            <w:r w:rsidRPr="00483EBE">
              <w:rPr>
                <w:sz w:val="12"/>
                <w:szCs w:val="12"/>
              </w:rPr>
              <w:t>SEBD</w:t>
            </w:r>
          </w:p>
        </w:tc>
      </w:tr>
      <w:tr w:rsidR="00572995" w:rsidRPr="00483EBE" w14:paraId="028F86A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785ED7"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4BDB383E"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34099012" w14:textId="77777777" w:rsidR="00572995" w:rsidRPr="00483EBE" w:rsidRDefault="00572995" w:rsidP="00E8324D">
            <w:pPr>
              <w:pStyle w:val="Tablas"/>
              <w:rPr>
                <w:sz w:val="12"/>
                <w:szCs w:val="12"/>
              </w:rPr>
            </w:pPr>
            <w:r w:rsidRPr="00483EBE">
              <w:rPr>
                <w:sz w:val="12"/>
                <w:szCs w:val="12"/>
              </w:rPr>
              <w:t>$57,169</w:t>
            </w:r>
          </w:p>
        </w:tc>
        <w:tc>
          <w:tcPr>
            <w:tcW w:w="0" w:type="auto"/>
            <w:tcBorders>
              <w:top w:val="nil"/>
              <w:left w:val="nil"/>
              <w:bottom w:val="single" w:sz="4" w:space="0" w:color="auto"/>
              <w:right w:val="single" w:sz="4" w:space="0" w:color="auto"/>
            </w:tcBorders>
            <w:shd w:val="clear" w:color="auto" w:fill="auto"/>
            <w:vAlign w:val="center"/>
            <w:hideMark/>
          </w:tcPr>
          <w:p w14:paraId="6DE8CB71" w14:textId="77777777" w:rsidR="00572995" w:rsidRPr="00483EBE" w:rsidRDefault="00572995" w:rsidP="00E8324D">
            <w:pPr>
              <w:pStyle w:val="Tablas"/>
              <w:rPr>
                <w:sz w:val="12"/>
                <w:szCs w:val="12"/>
              </w:rPr>
            </w:pPr>
            <w:r w:rsidRPr="00483EBE">
              <w:rPr>
                <w:sz w:val="12"/>
                <w:szCs w:val="12"/>
              </w:rPr>
              <w:t>$3,009</w:t>
            </w:r>
          </w:p>
        </w:tc>
        <w:tc>
          <w:tcPr>
            <w:tcW w:w="0" w:type="auto"/>
            <w:tcBorders>
              <w:top w:val="nil"/>
              <w:left w:val="nil"/>
              <w:bottom w:val="single" w:sz="4" w:space="0" w:color="auto"/>
              <w:right w:val="single" w:sz="4" w:space="0" w:color="auto"/>
            </w:tcBorders>
            <w:shd w:val="clear" w:color="auto" w:fill="auto"/>
            <w:vAlign w:val="center"/>
            <w:hideMark/>
          </w:tcPr>
          <w:p w14:paraId="16D1A424"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0392B6C0"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E7983A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BD1F80" w14:textId="77777777" w:rsidR="00572995" w:rsidRPr="00483EBE" w:rsidRDefault="00572995" w:rsidP="00E8324D">
            <w:pPr>
              <w:pStyle w:val="Tablas"/>
              <w:rPr>
                <w:sz w:val="12"/>
                <w:szCs w:val="12"/>
              </w:rPr>
            </w:pPr>
            <w:r w:rsidRPr="00483EBE">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206E25F4"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3CB2BAD0" w14:textId="77777777" w:rsidR="00572995" w:rsidRPr="00483EBE" w:rsidRDefault="00572995" w:rsidP="00E8324D">
            <w:pPr>
              <w:pStyle w:val="Tablas"/>
              <w:rPr>
                <w:sz w:val="12"/>
                <w:szCs w:val="12"/>
              </w:rPr>
            </w:pPr>
            <w:r w:rsidRPr="00483EBE">
              <w:rPr>
                <w:sz w:val="12"/>
                <w:szCs w:val="12"/>
              </w:rPr>
              <w:t>$13,615</w:t>
            </w:r>
          </w:p>
        </w:tc>
        <w:tc>
          <w:tcPr>
            <w:tcW w:w="0" w:type="auto"/>
            <w:tcBorders>
              <w:top w:val="nil"/>
              <w:left w:val="nil"/>
              <w:bottom w:val="single" w:sz="4" w:space="0" w:color="auto"/>
              <w:right w:val="single" w:sz="4" w:space="0" w:color="auto"/>
            </w:tcBorders>
            <w:shd w:val="clear" w:color="auto" w:fill="auto"/>
            <w:vAlign w:val="center"/>
            <w:hideMark/>
          </w:tcPr>
          <w:p w14:paraId="2FB587BE" w14:textId="77777777" w:rsidR="00572995" w:rsidRPr="00483EBE" w:rsidRDefault="00572995" w:rsidP="00E8324D">
            <w:pPr>
              <w:pStyle w:val="Tablas"/>
              <w:rPr>
                <w:sz w:val="12"/>
                <w:szCs w:val="12"/>
              </w:rPr>
            </w:pPr>
            <w:r w:rsidRPr="00483EBE">
              <w:rPr>
                <w:sz w:val="12"/>
                <w:szCs w:val="12"/>
              </w:rPr>
              <w:t>$1,047</w:t>
            </w:r>
          </w:p>
        </w:tc>
        <w:tc>
          <w:tcPr>
            <w:tcW w:w="0" w:type="auto"/>
            <w:tcBorders>
              <w:top w:val="nil"/>
              <w:left w:val="nil"/>
              <w:bottom w:val="single" w:sz="4" w:space="0" w:color="auto"/>
              <w:right w:val="single" w:sz="4" w:space="0" w:color="auto"/>
            </w:tcBorders>
            <w:shd w:val="clear" w:color="auto" w:fill="auto"/>
            <w:vAlign w:val="center"/>
            <w:hideMark/>
          </w:tcPr>
          <w:p w14:paraId="6225571E"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4D8C049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F992E3D" w14:textId="77777777" w:rsidR="00572995" w:rsidRPr="00483EBE" w:rsidRDefault="00572995" w:rsidP="00E8324D">
            <w:pPr>
              <w:pStyle w:val="Tablas"/>
              <w:rPr>
                <w:sz w:val="12"/>
                <w:szCs w:val="12"/>
              </w:rPr>
            </w:pPr>
            <w:r w:rsidRPr="00483EBE">
              <w:rPr>
                <w:sz w:val="12"/>
                <w:szCs w:val="12"/>
              </w:rPr>
              <w:t>SEBD</w:t>
            </w:r>
          </w:p>
        </w:tc>
      </w:tr>
      <w:tr w:rsidR="00572995" w:rsidRPr="00483EBE" w14:paraId="0EF567D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2E23EA"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2024A107"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38424BEE" w14:textId="77777777" w:rsidR="00572995" w:rsidRPr="00483EBE" w:rsidRDefault="00572995" w:rsidP="00E8324D">
            <w:pPr>
              <w:pStyle w:val="Tablas"/>
              <w:rPr>
                <w:sz w:val="12"/>
                <w:szCs w:val="12"/>
              </w:rPr>
            </w:pPr>
            <w:r w:rsidRPr="00483EBE">
              <w:rPr>
                <w:sz w:val="12"/>
                <w:szCs w:val="12"/>
              </w:rPr>
              <w:t>$85,309</w:t>
            </w:r>
          </w:p>
        </w:tc>
        <w:tc>
          <w:tcPr>
            <w:tcW w:w="0" w:type="auto"/>
            <w:tcBorders>
              <w:top w:val="nil"/>
              <w:left w:val="nil"/>
              <w:bottom w:val="single" w:sz="4" w:space="0" w:color="auto"/>
              <w:right w:val="single" w:sz="4" w:space="0" w:color="auto"/>
            </w:tcBorders>
            <w:shd w:val="clear" w:color="auto" w:fill="auto"/>
            <w:vAlign w:val="center"/>
            <w:hideMark/>
          </w:tcPr>
          <w:p w14:paraId="6267C0C0" w14:textId="77777777" w:rsidR="00572995" w:rsidRPr="00483EBE" w:rsidRDefault="00572995" w:rsidP="00E8324D">
            <w:pPr>
              <w:pStyle w:val="Tablas"/>
              <w:rPr>
                <w:sz w:val="12"/>
                <w:szCs w:val="12"/>
              </w:rPr>
            </w:pPr>
            <w:r w:rsidRPr="00483EBE">
              <w:rPr>
                <w:sz w:val="12"/>
                <w:szCs w:val="12"/>
              </w:rPr>
              <w:t>$2,666</w:t>
            </w:r>
          </w:p>
        </w:tc>
        <w:tc>
          <w:tcPr>
            <w:tcW w:w="0" w:type="auto"/>
            <w:tcBorders>
              <w:top w:val="nil"/>
              <w:left w:val="nil"/>
              <w:bottom w:val="single" w:sz="4" w:space="0" w:color="auto"/>
              <w:right w:val="single" w:sz="4" w:space="0" w:color="auto"/>
            </w:tcBorders>
            <w:shd w:val="clear" w:color="auto" w:fill="auto"/>
            <w:vAlign w:val="center"/>
            <w:hideMark/>
          </w:tcPr>
          <w:p w14:paraId="415A770B" w14:textId="77777777" w:rsidR="00572995" w:rsidRPr="00483EBE" w:rsidRDefault="00572995" w:rsidP="00E8324D">
            <w:pPr>
              <w:pStyle w:val="Tablas"/>
              <w:rPr>
                <w:sz w:val="12"/>
                <w:szCs w:val="12"/>
              </w:rPr>
            </w:pPr>
            <w:r w:rsidRPr="00483EBE">
              <w:rPr>
                <w:sz w:val="12"/>
                <w:szCs w:val="12"/>
              </w:rPr>
              <w:t>$222</w:t>
            </w:r>
          </w:p>
        </w:tc>
        <w:tc>
          <w:tcPr>
            <w:tcW w:w="0" w:type="auto"/>
            <w:tcBorders>
              <w:top w:val="nil"/>
              <w:left w:val="nil"/>
              <w:bottom w:val="single" w:sz="4" w:space="0" w:color="auto"/>
              <w:right w:val="single" w:sz="4" w:space="0" w:color="auto"/>
            </w:tcBorders>
            <w:shd w:val="clear" w:color="auto" w:fill="auto"/>
            <w:vAlign w:val="center"/>
            <w:hideMark/>
          </w:tcPr>
          <w:p w14:paraId="4695AD0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71C8D3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D622105" w14:textId="77777777" w:rsidR="00572995" w:rsidRPr="00483EBE" w:rsidRDefault="00572995" w:rsidP="00E8324D">
            <w:pPr>
              <w:pStyle w:val="Tablas"/>
              <w:rPr>
                <w:sz w:val="12"/>
                <w:szCs w:val="12"/>
              </w:rPr>
            </w:pPr>
            <w:r w:rsidRPr="00483EBE">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58996C8B"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10E60563" w14:textId="77777777" w:rsidR="00572995" w:rsidRPr="00483EBE" w:rsidRDefault="00572995" w:rsidP="00E8324D">
            <w:pPr>
              <w:pStyle w:val="Tablas"/>
              <w:rPr>
                <w:sz w:val="12"/>
                <w:szCs w:val="12"/>
              </w:rPr>
            </w:pPr>
            <w:r w:rsidRPr="00483EBE">
              <w:rPr>
                <w:sz w:val="12"/>
                <w:szCs w:val="12"/>
              </w:rPr>
              <w:t>$17,353</w:t>
            </w:r>
          </w:p>
        </w:tc>
        <w:tc>
          <w:tcPr>
            <w:tcW w:w="0" w:type="auto"/>
            <w:tcBorders>
              <w:top w:val="nil"/>
              <w:left w:val="nil"/>
              <w:bottom w:val="single" w:sz="4" w:space="0" w:color="auto"/>
              <w:right w:val="single" w:sz="4" w:space="0" w:color="auto"/>
            </w:tcBorders>
            <w:shd w:val="clear" w:color="auto" w:fill="auto"/>
            <w:vAlign w:val="center"/>
            <w:hideMark/>
          </w:tcPr>
          <w:p w14:paraId="6369683A" w14:textId="77777777" w:rsidR="00572995" w:rsidRPr="00483EBE" w:rsidRDefault="00572995" w:rsidP="00E8324D">
            <w:pPr>
              <w:pStyle w:val="Tablas"/>
              <w:rPr>
                <w:sz w:val="12"/>
                <w:szCs w:val="12"/>
              </w:rPr>
            </w:pPr>
            <w:r w:rsidRPr="00483EBE">
              <w:rPr>
                <w:sz w:val="12"/>
                <w:szCs w:val="12"/>
              </w:rPr>
              <w:t>$1,240</w:t>
            </w:r>
          </w:p>
        </w:tc>
        <w:tc>
          <w:tcPr>
            <w:tcW w:w="0" w:type="auto"/>
            <w:tcBorders>
              <w:top w:val="nil"/>
              <w:left w:val="nil"/>
              <w:bottom w:val="single" w:sz="4" w:space="0" w:color="auto"/>
              <w:right w:val="single" w:sz="4" w:space="0" w:color="auto"/>
            </w:tcBorders>
            <w:shd w:val="clear" w:color="auto" w:fill="auto"/>
            <w:vAlign w:val="center"/>
            <w:hideMark/>
          </w:tcPr>
          <w:p w14:paraId="5DD05AED"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1D3D187B"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BE0ED1E" w14:textId="77777777" w:rsidR="00572995" w:rsidRPr="00483EBE" w:rsidRDefault="00572995" w:rsidP="00E8324D">
            <w:pPr>
              <w:pStyle w:val="Tablas"/>
              <w:rPr>
                <w:sz w:val="12"/>
                <w:szCs w:val="12"/>
              </w:rPr>
            </w:pPr>
            <w:r w:rsidRPr="00483EBE">
              <w:rPr>
                <w:sz w:val="12"/>
                <w:szCs w:val="12"/>
              </w:rPr>
              <w:t>SEBD</w:t>
            </w:r>
          </w:p>
        </w:tc>
      </w:tr>
      <w:tr w:rsidR="00572995" w:rsidRPr="00483EBE" w14:paraId="703BBA6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9DC266"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7A37C9B3"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4941C19A" w14:textId="77777777" w:rsidR="00572995" w:rsidRPr="00483EBE" w:rsidRDefault="00572995" w:rsidP="00E8324D">
            <w:pPr>
              <w:pStyle w:val="Tablas"/>
              <w:rPr>
                <w:sz w:val="12"/>
                <w:szCs w:val="12"/>
              </w:rPr>
            </w:pPr>
            <w:r w:rsidRPr="00483EBE">
              <w:rPr>
                <w:sz w:val="12"/>
                <w:szCs w:val="12"/>
              </w:rPr>
              <w:t>$27,105</w:t>
            </w:r>
          </w:p>
        </w:tc>
        <w:tc>
          <w:tcPr>
            <w:tcW w:w="0" w:type="auto"/>
            <w:tcBorders>
              <w:top w:val="nil"/>
              <w:left w:val="nil"/>
              <w:bottom w:val="single" w:sz="4" w:space="0" w:color="auto"/>
              <w:right w:val="single" w:sz="4" w:space="0" w:color="auto"/>
            </w:tcBorders>
            <w:shd w:val="clear" w:color="auto" w:fill="auto"/>
            <w:vAlign w:val="center"/>
            <w:hideMark/>
          </w:tcPr>
          <w:p w14:paraId="7AAD083C" w14:textId="77777777" w:rsidR="00572995" w:rsidRPr="00483EBE" w:rsidRDefault="00572995" w:rsidP="00E8324D">
            <w:pPr>
              <w:pStyle w:val="Tablas"/>
              <w:rPr>
                <w:sz w:val="12"/>
                <w:szCs w:val="12"/>
              </w:rPr>
            </w:pPr>
            <w:r w:rsidRPr="00483EBE">
              <w:rPr>
                <w:sz w:val="12"/>
                <w:szCs w:val="12"/>
              </w:rPr>
              <w:t>$1,694</w:t>
            </w:r>
          </w:p>
        </w:tc>
        <w:tc>
          <w:tcPr>
            <w:tcW w:w="0" w:type="auto"/>
            <w:tcBorders>
              <w:top w:val="nil"/>
              <w:left w:val="nil"/>
              <w:bottom w:val="single" w:sz="4" w:space="0" w:color="auto"/>
              <w:right w:val="single" w:sz="4" w:space="0" w:color="auto"/>
            </w:tcBorders>
            <w:shd w:val="clear" w:color="auto" w:fill="auto"/>
            <w:vAlign w:val="center"/>
            <w:hideMark/>
          </w:tcPr>
          <w:p w14:paraId="5B21D716" w14:textId="77777777" w:rsidR="00572995" w:rsidRPr="00483EBE" w:rsidRDefault="00572995" w:rsidP="00E8324D">
            <w:pPr>
              <w:pStyle w:val="Tablas"/>
              <w:rPr>
                <w:sz w:val="12"/>
                <w:szCs w:val="12"/>
              </w:rPr>
            </w:pPr>
            <w:r w:rsidRPr="00483EBE">
              <w:rPr>
                <w:sz w:val="12"/>
                <w:szCs w:val="12"/>
              </w:rPr>
              <w:t>$141</w:t>
            </w:r>
          </w:p>
        </w:tc>
        <w:tc>
          <w:tcPr>
            <w:tcW w:w="0" w:type="auto"/>
            <w:tcBorders>
              <w:top w:val="nil"/>
              <w:left w:val="nil"/>
              <w:bottom w:val="single" w:sz="4" w:space="0" w:color="auto"/>
              <w:right w:val="single" w:sz="4" w:space="0" w:color="auto"/>
            </w:tcBorders>
            <w:shd w:val="clear" w:color="auto" w:fill="auto"/>
            <w:vAlign w:val="center"/>
            <w:hideMark/>
          </w:tcPr>
          <w:p w14:paraId="3C455969"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B83D2A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B346141" w14:textId="77777777" w:rsidR="00572995" w:rsidRPr="00483EBE" w:rsidRDefault="00572995" w:rsidP="00E8324D">
            <w:pPr>
              <w:pStyle w:val="Tablas"/>
              <w:rPr>
                <w:sz w:val="12"/>
                <w:szCs w:val="12"/>
              </w:rPr>
            </w:pPr>
            <w:r w:rsidRPr="00483EBE">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4383AA45"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2D27E0A0" w14:textId="77777777" w:rsidR="00572995" w:rsidRPr="00483EBE" w:rsidRDefault="00572995" w:rsidP="00E8324D">
            <w:pPr>
              <w:pStyle w:val="Tablas"/>
              <w:rPr>
                <w:sz w:val="12"/>
                <w:szCs w:val="12"/>
              </w:rPr>
            </w:pPr>
            <w:r w:rsidRPr="00483EBE">
              <w:rPr>
                <w:sz w:val="12"/>
                <w:szCs w:val="12"/>
              </w:rPr>
              <w:t>$14,482</w:t>
            </w:r>
          </w:p>
        </w:tc>
        <w:tc>
          <w:tcPr>
            <w:tcW w:w="0" w:type="auto"/>
            <w:tcBorders>
              <w:top w:val="nil"/>
              <w:left w:val="nil"/>
              <w:bottom w:val="single" w:sz="4" w:space="0" w:color="auto"/>
              <w:right w:val="single" w:sz="4" w:space="0" w:color="auto"/>
            </w:tcBorders>
            <w:shd w:val="clear" w:color="auto" w:fill="auto"/>
            <w:vAlign w:val="center"/>
            <w:hideMark/>
          </w:tcPr>
          <w:p w14:paraId="6DE11F82" w14:textId="77777777" w:rsidR="00572995" w:rsidRPr="00483EBE" w:rsidRDefault="00572995" w:rsidP="00E8324D">
            <w:pPr>
              <w:pStyle w:val="Tablas"/>
              <w:rPr>
                <w:sz w:val="12"/>
                <w:szCs w:val="12"/>
              </w:rPr>
            </w:pPr>
            <w:r w:rsidRPr="00483EBE">
              <w:rPr>
                <w:sz w:val="12"/>
                <w:szCs w:val="12"/>
              </w:rPr>
              <w:t>$852</w:t>
            </w:r>
          </w:p>
        </w:tc>
        <w:tc>
          <w:tcPr>
            <w:tcW w:w="0" w:type="auto"/>
            <w:tcBorders>
              <w:top w:val="nil"/>
              <w:left w:val="nil"/>
              <w:bottom w:val="single" w:sz="4" w:space="0" w:color="auto"/>
              <w:right w:val="single" w:sz="4" w:space="0" w:color="auto"/>
            </w:tcBorders>
            <w:shd w:val="clear" w:color="auto" w:fill="auto"/>
            <w:vAlign w:val="center"/>
            <w:hideMark/>
          </w:tcPr>
          <w:p w14:paraId="70829FB5"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5E35C8BB"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0629004" w14:textId="77777777" w:rsidR="00572995" w:rsidRPr="00483EBE" w:rsidRDefault="00572995" w:rsidP="00E8324D">
            <w:pPr>
              <w:pStyle w:val="Tablas"/>
              <w:rPr>
                <w:sz w:val="12"/>
                <w:szCs w:val="12"/>
              </w:rPr>
            </w:pPr>
            <w:r w:rsidRPr="00483EBE">
              <w:rPr>
                <w:sz w:val="12"/>
                <w:szCs w:val="12"/>
              </w:rPr>
              <w:t>SEBD</w:t>
            </w:r>
          </w:p>
        </w:tc>
      </w:tr>
      <w:tr w:rsidR="00572995" w:rsidRPr="00483EBE" w14:paraId="3CF1480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E69D54F"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D2908D8"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2A453BCF" w14:textId="77777777" w:rsidR="00572995" w:rsidRPr="00483EBE" w:rsidRDefault="00572995" w:rsidP="00E8324D">
            <w:pPr>
              <w:pStyle w:val="Tablas"/>
              <w:rPr>
                <w:sz w:val="12"/>
                <w:szCs w:val="12"/>
              </w:rPr>
            </w:pPr>
            <w:r w:rsidRPr="00483EBE">
              <w:rPr>
                <w:sz w:val="12"/>
                <w:szCs w:val="12"/>
              </w:rPr>
              <w:t>$61,092</w:t>
            </w:r>
          </w:p>
        </w:tc>
        <w:tc>
          <w:tcPr>
            <w:tcW w:w="0" w:type="auto"/>
            <w:tcBorders>
              <w:top w:val="nil"/>
              <w:left w:val="nil"/>
              <w:bottom w:val="single" w:sz="4" w:space="0" w:color="auto"/>
              <w:right w:val="single" w:sz="4" w:space="0" w:color="auto"/>
            </w:tcBorders>
            <w:shd w:val="clear" w:color="auto" w:fill="auto"/>
            <w:vAlign w:val="center"/>
            <w:hideMark/>
          </w:tcPr>
          <w:p w14:paraId="3D14390F" w14:textId="77777777" w:rsidR="00572995" w:rsidRPr="00483EBE" w:rsidRDefault="00572995" w:rsidP="00E8324D">
            <w:pPr>
              <w:pStyle w:val="Tablas"/>
              <w:rPr>
                <w:sz w:val="12"/>
                <w:szCs w:val="12"/>
              </w:rPr>
            </w:pPr>
            <w:r w:rsidRPr="00483EBE">
              <w:rPr>
                <w:sz w:val="12"/>
                <w:szCs w:val="12"/>
              </w:rPr>
              <w:t>$2,545</w:t>
            </w:r>
          </w:p>
        </w:tc>
        <w:tc>
          <w:tcPr>
            <w:tcW w:w="0" w:type="auto"/>
            <w:tcBorders>
              <w:top w:val="nil"/>
              <w:left w:val="nil"/>
              <w:bottom w:val="single" w:sz="4" w:space="0" w:color="auto"/>
              <w:right w:val="single" w:sz="4" w:space="0" w:color="auto"/>
            </w:tcBorders>
            <w:shd w:val="clear" w:color="auto" w:fill="auto"/>
            <w:vAlign w:val="center"/>
            <w:hideMark/>
          </w:tcPr>
          <w:p w14:paraId="4BDDCB84" w14:textId="77777777" w:rsidR="00572995" w:rsidRPr="00483EBE" w:rsidRDefault="00572995" w:rsidP="00E8324D">
            <w:pPr>
              <w:pStyle w:val="Tablas"/>
              <w:rPr>
                <w:sz w:val="12"/>
                <w:szCs w:val="12"/>
              </w:rPr>
            </w:pPr>
            <w:r w:rsidRPr="00483EBE">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16D5635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350D9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FA27B8C" w14:textId="77777777" w:rsidR="00572995" w:rsidRPr="00483EBE" w:rsidRDefault="00572995" w:rsidP="00E8324D">
            <w:pPr>
              <w:pStyle w:val="Tablas"/>
              <w:rPr>
                <w:sz w:val="12"/>
                <w:szCs w:val="12"/>
              </w:rPr>
            </w:pPr>
            <w:r w:rsidRPr="00483EBE">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376A5E76"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06B69BFA" w14:textId="77777777" w:rsidR="00572995" w:rsidRPr="00483EBE" w:rsidRDefault="00572995" w:rsidP="00E8324D">
            <w:pPr>
              <w:pStyle w:val="Tablas"/>
              <w:rPr>
                <w:sz w:val="12"/>
                <w:szCs w:val="12"/>
              </w:rPr>
            </w:pPr>
            <w:r w:rsidRPr="00483EBE">
              <w:rPr>
                <w:sz w:val="12"/>
                <w:szCs w:val="12"/>
              </w:rPr>
              <w:t>$18,007</w:t>
            </w:r>
          </w:p>
        </w:tc>
        <w:tc>
          <w:tcPr>
            <w:tcW w:w="0" w:type="auto"/>
            <w:tcBorders>
              <w:top w:val="nil"/>
              <w:left w:val="nil"/>
              <w:bottom w:val="single" w:sz="4" w:space="0" w:color="auto"/>
              <w:right w:val="single" w:sz="4" w:space="0" w:color="auto"/>
            </w:tcBorders>
            <w:shd w:val="clear" w:color="auto" w:fill="auto"/>
            <w:vAlign w:val="center"/>
            <w:hideMark/>
          </w:tcPr>
          <w:p w14:paraId="268A87C2" w14:textId="77777777" w:rsidR="00572995" w:rsidRPr="00483EBE" w:rsidRDefault="00572995" w:rsidP="00E8324D">
            <w:pPr>
              <w:pStyle w:val="Tablas"/>
              <w:rPr>
                <w:sz w:val="12"/>
                <w:szCs w:val="12"/>
              </w:rPr>
            </w:pPr>
            <w:r w:rsidRPr="00483EBE">
              <w:rPr>
                <w:sz w:val="12"/>
                <w:szCs w:val="12"/>
              </w:rPr>
              <w:t>$1,286</w:t>
            </w:r>
          </w:p>
        </w:tc>
        <w:tc>
          <w:tcPr>
            <w:tcW w:w="0" w:type="auto"/>
            <w:tcBorders>
              <w:top w:val="nil"/>
              <w:left w:val="nil"/>
              <w:bottom w:val="single" w:sz="4" w:space="0" w:color="auto"/>
              <w:right w:val="single" w:sz="4" w:space="0" w:color="auto"/>
            </w:tcBorders>
            <w:shd w:val="clear" w:color="auto" w:fill="auto"/>
            <w:vAlign w:val="center"/>
            <w:hideMark/>
          </w:tcPr>
          <w:p w14:paraId="2B86F153"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72E4BA71"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BD17138" w14:textId="77777777" w:rsidR="00572995" w:rsidRPr="00483EBE" w:rsidRDefault="00572995" w:rsidP="00E8324D">
            <w:pPr>
              <w:pStyle w:val="Tablas"/>
              <w:rPr>
                <w:sz w:val="12"/>
                <w:szCs w:val="12"/>
              </w:rPr>
            </w:pPr>
            <w:r w:rsidRPr="00483EBE">
              <w:rPr>
                <w:sz w:val="12"/>
                <w:szCs w:val="12"/>
              </w:rPr>
              <w:t>SEBD</w:t>
            </w:r>
          </w:p>
        </w:tc>
      </w:tr>
      <w:tr w:rsidR="00572995" w:rsidRPr="00483EBE" w14:paraId="0F0314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65612E"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3F4DE85E"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2AD84301" w14:textId="77777777" w:rsidR="00572995" w:rsidRPr="00483EBE" w:rsidRDefault="00572995" w:rsidP="00E8324D">
            <w:pPr>
              <w:pStyle w:val="Tablas"/>
              <w:rPr>
                <w:sz w:val="12"/>
                <w:szCs w:val="12"/>
              </w:rPr>
            </w:pPr>
            <w:r w:rsidRPr="00483EBE">
              <w:rPr>
                <w:sz w:val="12"/>
                <w:szCs w:val="12"/>
              </w:rPr>
              <w:t>$36,021</w:t>
            </w:r>
          </w:p>
        </w:tc>
        <w:tc>
          <w:tcPr>
            <w:tcW w:w="0" w:type="auto"/>
            <w:tcBorders>
              <w:top w:val="nil"/>
              <w:left w:val="nil"/>
              <w:bottom w:val="single" w:sz="4" w:space="0" w:color="auto"/>
              <w:right w:val="single" w:sz="4" w:space="0" w:color="auto"/>
            </w:tcBorders>
            <w:shd w:val="clear" w:color="auto" w:fill="auto"/>
            <w:vAlign w:val="center"/>
            <w:hideMark/>
          </w:tcPr>
          <w:p w14:paraId="458F4392" w14:textId="77777777" w:rsidR="00572995" w:rsidRPr="00483EBE" w:rsidRDefault="00572995" w:rsidP="00E8324D">
            <w:pPr>
              <w:pStyle w:val="Tablas"/>
              <w:rPr>
                <w:sz w:val="12"/>
                <w:szCs w:val="12"/>
              </w:rPr>
            </w:pPr>
            <w:r w:rsidRPr="00483EBE">
              <w:rPr>
                <w:sz w:val="12"/>
                <w:szCs w:val="12"/>
              </w:rPr>
              <w:t>$1,801</w:t>
            </w:r>
          </w:p>
        </w:tc>
        <w:tc>
          <w:tcPr>
            <w:tcW w:w="0" w:type="auto"/>
            <w:tcBorders>
              <w:top w:val="nil"/>
              <w:left w:val="nil"/>
              <w:bottom w:val="single" w:sz="4" w:space="0" w:color="auto"/>
              <w:right w:val="single" w:sz="4" w:space="0" w:color="auto"/>
            </w:tcBorders>
            <w:shd w:val="clear" w:color="auto" w:fill="auto"/>
            <w:vAlign w:val="center"/>
            <w:hideMark/>
          </w:tcPr>
          <w:p w14:paraId="24201973" w14:textId="77777777" w:rsidR="00572995" w:rsidRPr="00483EBE" w:rsidRDefault="00572995" w:rsidP="00E8324D">
            <w:pPr>
              <w:pStyle w:val="Tablas"/>
              <w:rPr>
                <w:sz w:val="12"/>
                <w:szCs w:val="12"/>
              </w:rPr>
            </w:pPr>
            <w:r w:rsidRPr="00483EBE">
              <w:rPr>
                <w:sz w:val="12"/>
                <w:szCs w:val="12"/>
              </w:rPr>
              <w:t>$150</w:t>
            </w:r>
          </w:p>
        </w:tc>
        <w:tc>
          <w:tcPr>
            <w:tcW w:w="0" w:type="auto"/>
            <w:tcBorders>
              <w:top w:val="nil"/>
              <w:left w:val="nil"/>
              <w:bottom w:val="single" w:sz="4" w:space="0" w:color="auto"/>
              <w:right w:val="single" w:sz="4" w:space="0" w:color="auto"/>
            </w:tcBorders>
            <w:shd w:val="clear" w:color="auto" w:fill="auto"/>
            <w:vAlign w:val="center"/>
            <w:hideMark/>
          </w:tcPr>
          <w:p w14:paraId="7E7D095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DDC7A7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E5401A0" w14:textId="77777777" w:rsidR="00572995" w:rsidRPr="00483EBE" w:rsidRDefault="00572995" w:rsidP="00E8324D">
            <w:pPr>
              <w:pStyle w:val="Tablas"/>
              <w:rPr>
                <w:sz w:val="12"/>
                <w:szCs w:val="12"/>
              </w:rPr>
            </w:pPr>
            <w:r w:rsidRPr="00483EBE">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67CF2666"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1100F7A4" w14:textId="77777777" w:rsidR="00572995" w:rsidRPr="00483EBE" w:rsidRDefault="00572995" w:rsidP="00E8324D">
            <w:pPr>
              <w:pStyle w:val="Tablas"/>
              <w:rPr>
                <w:sz w:val="12"/>
                <w:szCs w:val="12"/>
              </w:rPr>
            </w:pPr>
            <w:r w:rsidRPr="00483EBE">
              <w:rPr>
                <w:sz w:val="12"/>
                <w:szCs w:val="12"/>
              </w:rPr>
              <w:t>$15,984</w:t>
            </w:r>
          </w:p>
        </w:tc>
        <w:tc>
          <w:tcPr>
            <w:tcW w:w="0" w:type="auto"/>
            <w:tcBorders>
              <w:top w:val="nil"/>
              <w:left w:val="nil"/>
              <w:bottom w:val="single" w:sz="4" w:space="0" w:color="auto"/>
              <w:right w:val="single" w:sz="4" w:space="0" w:color="auto"/>
            </w:tcBorders>
            <w:shd w:val="clear" w:color="auto" w:fill="auto"/>
            <w:vAlign w:val="center"/>
            <w:hideMark/>
          </w:tcPr>
          <w:p w14:paraId="6D290739" w14:textId="77777777" w:rsidR="00572995" w:rsidRPr="00483EBE" w:rsidRDefault="00572995" w:rsidP="00E8324D">
            <w:pPr>
              <w:pStyle w:val="Tablas"/>
              <w:rPr>
                <w:sz w:val="12"/>
                <w:szCs w:val="12"/>
              </w:rPr>
            </w:pPr>
            <w:r w:rsidRPr="00483EBE">
              <w:rPr>
                <w:sz w:val="12"/>
                <w:szCs w:val="12"/>
              </w:rPr>
              <w:t>$1,066</w:t>
            </w:r>
          </w:p>
        </w:tc>
        <w:tc>
          <w:tcPr>
            <w:tcW w:w="0" w:type="auto"/>
            <w:tcBorders>
              <w:top w:val="nil"/>
              <w:left w:val="nil"/>
              <w:bottom w:val="single" w:sz="4" w:space="0" w:color="auto"/>
              <w:right w:val="single" w:sz="4" w:space="0" w:color="auto"/>
            </w:tcBorders>
            <w:shd w:val="clear" w:color="auto" w:fill="auto"/>
            <w:vAlign w:val="center"/>
            <w:hideMark/>
          </w:tcPr>
          <w:p w14:paraId="5A06FBD5"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8F80A65"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EB3B3BC" w14:textId="77777777" w:rsidR="00572995" w:rsidRPr="00483EBE" w:rsidRDefault="00572995" w:rsidP="00E8324D">
            <w:pPr>
              <w:pStyle w:val="Tablas"/>
              <w:rPr>
                <w:sz w:val="12"/>
                <w:szCs w:val="12"/>
              </w:rPr>
            </w:pPr>
            <w:r w:rsidRPr="00483EBE">
              <w:rPr>
                <w:sz w:val="12"/>
                <w:szCs w:val="12"/>
              </w:rPr>
              <w:t>SEBD</w:t>
            </w:r>
          </w:p>
        </w:tc>
      </w:tr>
      <w:tr w:rsidR="00572995" w:rsidRPr="00483EBE" w14:paraId="2A11341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357CB7"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12FE3DA4"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3E8F8928" w14:textId="77777777" w:rsidR="00572995" w:rsidRPr="00483EBE" w:rsidRDefault="00572995" w:rsidP="00E8324D">
            <w:pPr>
              <w:pStyle w:val="Tablas"/>
              <w:rPr>
                <w:sz w:val="12"/>
                <w:szCs w:val="12"/>
              </w:rPr>
            </w:pPr>
            <w:r w:rsidRPr="00483EBE">
              <w:rPr>
                <w:sz w:val="12"/>
                <w:szCs w:val="12"/>
              </w:rPr>
              <w:t>$38,380</w:t>
            </w:r>
          </w:p>
        </w:tc>
        <w:tc>
          <w:tcPr>
            <w:tcW w:w="0" w:type="auto"/>
            <w:tcBorders>
              <w:top w:val="nil"/>
              <w:left w:val="nil"/>
              <w:bottom w:val="single" w:sz="4" w:space="0" w:color="auto"/>
              <w:right w:val="single" w:sz="4" w:space="0" w:color="auto"/>
            </w:tcBorders>
            <w:shd w:val="clear" w:color="auto" w:fill="auto"/>
            <w:vAlign w:val="center"/>
            <w:hideMark/>
          </w:tcPr>
          <w:p w14:paraId="238D8F70" w14:textId="77777777" w:rsidR="00572995" w:rsidRPr="00483EBE" w:rsidRDefault="00572995" w:rsidP="00E8324D">
            <w:pPr>
              <w:pStyle w:val="Tablas"/>
              <w:rPr>
                <w:sz w:val="12"/>
                <w:szCs w:val="12"/>
              </w:rPr>
            </w:pPr>
            <w:r w:rsidRPr="00483EBE">
              <w:rPr>
                <w:sz w:val="12"/>
                <w:szCs w:val="12"/>
              </w:rPr>
              <w:t>$2,258</w:t>
            </w:r>
          </w:p>
        </w:tc>
        <w:tc>
          <w:tcPr>
            <w:tcW w:w="0" w:type="auto"/>
            <w:tcBorders>
              <w:top w:val="nil"/>
              <w:left w:val="nil"/>
              <w:bottom w:val="single" w:sz="4" w:space="0" w:color="auto"/>
              <w:right w:val="single" w:sz="4" w:space="0" w:color="auto"/>
            </w:tcBorders>
            <w:shd w:val="clear" w:color="auto" w:fill="auto"/>
            <w:vAlign w:val="center"/>
            <w:hideMark/>
          </w:tcPr>
          <w:p w14:paraId="08C46F3E" w14:textId="77777777" w:rsidR="00572995" w:rsidRPr="00483EBE" w:rsidRDefault="00572995" w:rsidP="00E8324D">
            <w:pPr>
              <w:pStyle w:val="Tablas"/>
              <w:rPr>
                <w:sz w:val="12"/>
                <w:szCs w:val="12"/>
              </w:rPr>
            </w:pPr>
            <w:r w:rsidRPr="00483EBE">
              <w:rPr>
                <w:sz w:val="12"/>
                <w:szCs w:val="12"/>
              </w:rPr>
              <w:t>$188</w:t>
            </w:r>
          </w:p>
        </w:tc>
        <w:tc>
          <w:tcPr>
            <w:tcW w:w="0" w:type="auto"/>
            <w:tcBorders>
              <w:top w:val="nil"/>
              <w:left w:val="nil"/>
              <w:bottom w:val="single" w:sz="4" w:space="0" w:color="auto"/>
              <w:right w:val="single" w:sz="4" w:space="0" w:color="auto"/>
            </w:tcBorders>
            <w:shd w:val="clear" w:color="auto" w:fill="auto"/>
            <w:vAlign w:val="center"/>
            <w:hideMark/>
          </w:tcPr>
          <w:p w14:paraId="72EC4FC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6EBE40B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3C687C7"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42538D2C"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1A5BAD73" w14:textId="77777777" w:rsidR="00572995" w:rsidRPr="00483EBE" w:rsidRDefault="00572995" w:rsidP="00E8324D">
            <w:pPr>
              <w:pStyle w:val="Tablas"/>
              <w:rPr>
                <w:sz w:val="12"/>
                <w:szCs w:val="12"/>
              </w:rPr>
            </w:pPr>
            <w:r w:rsidRPr="00483EBE">
              <w:rPr>
                <w:sz w:val="12"/>
                <w:szCs w:val="12"/>
              </w:rPr>
              <w:t>$14,804</w:t>
            </w:r>
          </w:p>
        </w:tc>
        <w:tc>
          <w:tcPr>
            <w:tcW w:w="0" w:type="auto"/>
            <w:tcBorders>
              <w:top w:val="nil"/>
              <w:left w:val="nil"/>
              <w:bottom w:val="single" w:sz="4" w:space="0" w:color="auto"/>
              <w:right w:val="single" w:sz="4" w:space="0" w:color="auto"/>
            </w:tcBorders>
            <w:shd w:val="clear" w:color="auto" w:fill="auto"/>
            <w:vAlign w:val="center"/>
            <w:hideMark/>
          </w:tcPr>
          <w:p w14:paraId="4A19CDCC" w14:textId="77777777" w:rsidR="00572995" w:rsidRPr="00483EBE" w:rsidRDefault="00572995" w:rsidP="00E8324D">
            <w:pPr>
              <w:pStyle w:val="Tablas"/>
              <w:rPr>
                <w:sz w:val="12"/>
                <w:szCs w:val="12"/>
              </w:rPr>
            </w:pPr>
            <w:r w:rsidRPr="00483EBE">
              <w:rPr>
                <w:sz w:val="12"/>
                <w:szCs w:val="12"/>
              </w:rPr>
              <w:t>$1,057</w:t>
            </w:r>
          </w:p>
        </w:tc>
        <w:tc>
          <w:tcPr>
            <w:tcW w:w="0" w:type="auto"/>
            <w:tcBorders>
              <w:top w:val="nil"/>
              <w:left w:val="nil"/>
              <w:bottom w:val="single" w:sz="4" w:space="0" w:color="auto"/>
              <w:right w:val="single" w:sz="4" w:space="0" w:color="auto"/>
            </w:tcBorders>
            <w:shd w:val="clear" w:color="auto" w:fill="auto"/>
            <w:vAlign w:val="center"/>
            <w:hideMark/>
          </w:tcPr>
          <w:p w14:paraId="5AF8EDB7"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1AC460D2"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AC31BDF" w14:textId="77777777" w:rsidR="00572995" w:rsidRPr="00483EBE" w:rsidRDefault="00572995" w:rsidP="00E8324D">
            <w:pPr>
              <w:pStyle w:val="Tablas"/>
              <w:rPr>
                <w:sz w:val="12"/>
                <w:szCs w:val="12"/>
              </w:rPr>
            </w:pPr>
            <w:r w:rsidRPr="00483EBE">
              <w:rPr>
                <w:sz w:val="12"/>
                <w:szCs w:val="12"/>
              </w:rPr>
              <w:t>SEBD</w:t>
            </w:r>
          </w:p>
        </w:tc>
      </w:tr>
      <w:tr w:rsidR="00572995" w:rsidRPr="00483EBE" w14:paraId="4B51091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1076C54"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44D3D1E5"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0D280FF1" w14:textId="77777777" w:rsidR="00572995" w:rsidRPr="00483EBE" w:rsidRDefault="00572995" w:rsidP="00E8324D">
            <w:pPr>
              <w:pStyle w:val="Tablas"/>
              <w:rPr>
                <w:sz w:val="12"/>
                <w:szCs w:val="12"/>
              </w:rPr>
            </w:pPr>
            <w:r w:rsidRPr="00483EBE">
              <w:rPr>
                <w:sz w:val="12"/>
                <w:szCs w:val="12"/>
              </w:rPr>
              <w:t>$17,955</w:t>
            </w:r>
          </w:p>
        </w:tc>
        <w:tc>
          <w:tcPr>
            <w:tcW w:w="0" w:type="auto"/>
            <w:tcBorders>
              <w:top w:val="nil"/>
              <w:left w:val="nil"/>
              <w:bottom w:val="single" w:sz="4" w:space="0" w:color="auto"/>
              <w:right w:val="single" w:sz="4" w:space="0" w:color="auto"/>
            </w:tcBorders>
            <w:shd w:val="clear" w:color="auto" w:fill="auto"/>
            <w:vAlign w:val="center"/>
            <w:hideMark/>
          </w:tcPr>
          <w:p w14:paraId="54F84A8B" w14:textId="77777777" w:rsidR="00572995" w:rsidRPr="00483EBE" w:rsidRDefault="00572995" w:rsidP="00E8324D">
            <w:pPr>
              <w:pStyle w:val="Tablas"/>
              <w:rPr>
                <w:sz w:val="12"/>
                <w:szCs w:val="12"/>
              </w:rPr>
            </w:pPr>
            <w:r w:rsidRPr="00483EBE">
              <w:rPr>
                <w:sz w:val="12"/>
                <w:szCs w:val="12"/>
              </w:rPr>
              <w:t>$2,244</w:t>
            </w:r>
          </w:p>
        </w:tc>
        <w:tc>
          <w:tcPr>
            <w:tcW w:w="0" w:type="auto"/>
            <w:tcBorders>
              <w:top w:val="nil"/>
              <w:left w:val="nil"/>
              <w:bottom w:val="single" w:sz="4" w:space="0" w:color="auto"/>
              <w:right w:val="single" w:sz="4" w:space="0" w:color="auto"/>
            </w:tcBorders>
            <w:shd w:val="clear" w:color="auto" w:fill="auto"/>
            <w:vAlign w:val="center"/>
            <w:hideMark/>
          </w:tcPr>
          <w:p w14:paraId="5450A6F6" w14:textId="77777777" w:rsidR="00572995" w:rsidRPr="00483EBE" w:rsidRDefault="00572995" w:rsidP="00E8324D">
            <w:pPr>
              <w:pStyle w:val="Tablas"/>
              <w:rPr>
                <w:sz w:val="12"/>
                <w:szCs w:val="12"/>
              </w:rPr>
            </w:pPr>
            <w:r w:rsidRPr="00483EBE">
              <w:rPr>
                <w:sz w:val="12"/>
                <w:szCs w:val="12"/>
              </w:rPr>
              <w:t>$187</w:t>
            </w:r>
          </w:p>
        </w:tc>
        <w:tc>
          <w:tcPr>
            <w:tcW w:w="0" w:type="auto"/>
            <w:tcBorders>
              <w:top w:val="nil"/>
              <w:left w:val="nil"/>
              <w:bottom w:val="single" w:sz="4" w:space="0" w:color="auto"/>
              <w:right w:val="single" w:sz="4" w:space="0" w:color="auto"/>
            </w:tcBorders>
            <w:shd w:val="clear" w:color="auto" w:fill="auto"/>
            <w:vAlign w:val="center"/>
            <w:hideMark/>
          </w:tcPr>
          <w:p w14:paraId="35221DD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8E0496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6BDA84" w14:textId="77777777" w:rsidR="00572995" w:rsidRPr="00483EBE" w:rsidRDefault="00572995" w:rsidP="00E8324D">
            <w:pPr>
              <w:pStyle w:val="Tablas"/>
              <w:rPr>
                <w:sz w:val="12"/>
                <w:szCs w:val="12"/>
              </w:rPr>
            </w:pPr>
            <w:r w:rsidRPr="00483EBE">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77AAD07E"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6F0D6A1B" w14:textId="77777777" w:rsidR="00572995" w:rsidRPr="00483EBE" w:rsidRDefault="00572995" w:rsidP="00E8324D">
            <w:pPr>
              <w:pStyle w:val="Tablas"/>
              <w:rPr>
                <w:sz w:val="12"/>
                <w:szCs w:val="12"/>
              </w:rPr>
            </w:pPr>
            <w:r w:rsidRPr="00483EBE">
              <w:rPr>
                <w:sz w:val="12"/>
                <w:szCs w:val="12"/>
              </w:rPr>
              <w:t>$13,471</w:t>
            </w:r>
          </w:p>
        </w:tc>
        <w:tc>
          <w:tcPr>
            <w:tcW w:w="0" w:type="auto"/>
            <w:tcBorders>
              <w:top w:val="nil"/>
              <w:left w:val="nil"/>
              <w:bottom w:val="single" w:sz="4" w:space="0" w:color="auto"/>
              <w:right w:val="single" w:sz="4" w:space="0" w:color="auto"/>
            </w:tcBorders>
            <w:shd w:val="clear" w:color="auto" w:fill="auto"/>
            <w:vAlign w:val="center"/>
            <w:hideMark/>
          </w:tcPr>
          <w:p w14:paraId="70AC8338" w14:textId="77777777" w:rsidR="00572995" w:rsidRPr="00483EBE" w:rsidRDefault="00572995" w:rsidP="00E8324D">
            <w:pPr>
              <w:pStyle w:val="Tablas"/>
              <w:rPr>
                <w:sz w:val="12"/>
                <w:szCs w:val="12"/>
              </w:rPr>
            </w:pPr>
            <w:r w:rsidRPr="00483EBE">
              <w:rPr>
                <w:sz w:val="12"/>
                <w:szCs w:val="12"/>
              </w:rPr>
              <w:t>$1,225</w:t>
            </w:r>
          </w:p>
        </w:tc>
        <w:tc>
          <w:tcPr>
            <w:tcW w:w="0" w:type="auto"/>
            <w:tcBorders>
              <w:top w:val="nil"/>
              <w:left w:val="nil"/>
              <w:bottom w:val="single" w:sz="4" w:space="0" w:color="auto"/>
              <w:right w:val="single" w:sz="4" w:space="0" w:color="auto"/>
            </w:tcBorders>
            <w:shd w:val="clear" w:color="auto" w:fill="auto"/>
            <w:vAlign w:val="center"/>
            <w:hideMark/>
          </w:tcPr>
          <w:p w14:paraId="2532ED76"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2DCC93EC"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C538639" w14:textId="77777777" w:rsidR="00572995" w:rsidRPr="00483EBE" w:rsidRDefault="00572995" w:rsidP="00E8324D">
            <w:pPr>
              <w:pStyle w:val="Tablas"/>
              <w:rPr>
                <w:sz w:val="12"/>
                <w:szCs w:val="12"/>
              </w:rPr>
            </w:pPr>
            <w:r w:rsidRPr="00483EBE">
              <w:rPr>
                <w:sz w:val="12"/>
                <w:szCs w:val="12"/>
              </w:rPr>
              <w:t>SEBD</w:t>
            </w:r>
          </w:p>
        </w:tc>
      </w:tr>
      <w:tr w:rsidR="00572995" w:rsidRPr="00483EBE" w14:paraId="6AB2BC6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D726D3"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1EF95A93"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5F147EDC" w14:textId="77777777" w:rsidR="00572995" w:rsidRPr="00483EBE" w:rsidRDefault="00572995" w:rsidP="00E8324D">
            <w:pPr>
              <w:pStyle w:val="Tablas"/>
              <w:rPr>
                <w:sz w:val="12"/>
                <w:szCs w:val="12"/>
              </w:rPr>
            </w:pPr>
            <w:r w:rsidRPr="00483EBE">
              <w:rPr>
                <w:sz w:val="12"/>
                <w:szCs w:val="12"/>
              </w:rPr>
              <w:t>$24,581</w:t>
            </w:r>
          </w:p>
        </w:tc>
        <w:tc>
          <w:tcPr>
            <w:tcW w:w="0" w:type="auto"/>
            <w:tcBorders>
              <w:top w:val="nil"/>
              <w:left w:val="nil"/>
              <w:bottom w:val="single" w:sz="4" w:space="0" w:color="auto"/>
              <w:right w:val="single" w:sz="4" w:space="0" w:color="auto"/>
            </w:tcBorders>
            <w:shd w:val="clear" w:color="auto" w:fill="auto"/>
            <w:vAlign w:val="center"/>
            <w:hideMark/>
          </w:tcPr>
          <w:p w14:paraId="3053A660" w14:textId="77777777" w:rsidR="00572995" w:rsidRPr="00483EBE" w:rsidRDefault="00572995" w:rsidP="00E8324D">
            <w:pPr>
              <w:pStyle w:val="Tablas"/>
              <w:rPr>
                <w:sz w:val="12"/>
                <w:szCs w:val="12"/>
              </w:rPr>
            </w:pPr>
            <w:r w:rsidRPr="00483EBE">
              <w:rPr>
                <w:sz w:val="12"/>
                <w:szCs w:val="12"/>
              </w:rPr>
              <w:t>$1,891</w:t>
            </w:r>
          </w:p>
        </w:tc>
        <w:tc>
          <w:tcPr>
            <w:tcW w:w="0" w:type="auto"/>
            <w:tcBorders>
              <w:top w:val="nil"/>
              <w:left w:val="nil"/>
              <w:bottom w:val="single" w:sz="4" w:space="0" w:color="auto"/>
              <w:right w:val="single" w:sz="4" w:space="0" w:color="auto"/>
            </w:tcBorders>
            <w:shd w:val="clear" w:color="auto" w:fill="auto"/>
            <w:vAlign w:val="center"/>
            <w:hideMark/>
          </w:tcPr>
          <w:p w14:paraId="14226C4C" w14:textId="77777777" w:rsidR="00572995" w:rsidRPr="00483EBE" w:rsidRDefault="00572995" w:rsidP="00E8324D">
            <w:pPr>
              <w:pStyle w:val="Tablas"/>
              <w:rPr>
                <w:sz w:val="12"/>
                <w:szCs w:val="12"/>
              </w:rPr>
            </w:pPr>
            <w:r w:rsidRPr="00483EBE">
              <w:rPr>
                <w:sz w:val="12"/>
                <w:szCs w:val="12"/>
              </w:rPr>
              <w:t>$158</w:t>
            </w:r>
          </w:p>
        </w:tc>
        <w:tc>
          <w:tcPr>
            <w:tcW w:w="0" w:type="auto"/>
            <w:tcBorders>
              <w:top w:val="nil"/>
              <w:left w:val="nil"/>
              <w:bottom w:val="single" w:sz="4" w:space="0" w:color="auto"/>
              <w:right w:val="single" w:sz="4" w:space="0" w:color="auto"/>
            </w:tcBorders>
            <w:shd w:val="clear" w:color="auto" w:fill="auto"/>
            <w:vAlign w:val="center"/>
            <w:hideMark/>
          </w:tcPr>
          <w:p w14:paraId="07A154AA"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339A1F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06B6D9"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4DA19F4A"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4C68A868" w14:textId="77777777" w:rsidR="00572995" w:rsidRPr="00483EBE" w:rsidRDefault="00572995" w:rsidP="00E8324D">
            <w:pPr>
              <w:pStyle w:val="Tablas"/>
              <w:rPr>
                <w:sz w:val="12"/>
                <w:szCs w:val="12"/>
              </w:rPr>
            </w:pPr>
            <w:r w:rsidRPr="00483EBE">
              <w:rPr>
                <w:sz w:val="12"/>
                <w:szCs w:val="12"/>
              </w:rPr>
              <w:t>$16,778</w:t>
            </w:r>
          </w:p>
        </w:tc>
        <w:tc>
          <w:tcPr>
            <w:tcW w:w="0" w:type="auto"/>
            <w:tcBorders>
              <w:top w:val="nil"/>
              <w:left w:val="nil"/>
              <w:bottom w:val="single" w:sz="4" w:space="0" w:color="auto"/>
              <w:right w:val="single" w:sz="4" w:space="0" w:color="auto"/>
            </w:tcBorders>
            <w:shd w:val="clear" w:color="auto" w:fill="auto"/>
            <w:vAlign w:val="center"/>
            <w:hideMark/>
          </w:tcPr>
          <w:p w14:paraId="66118568" w14:textId="77777777" w:rsidR="00572995" w:rsidRPr="00483EBE" w:rsidRDefault="00572995" w:rsidP="00E8324D">
            <w:pPr>
              <w:pStyle w:val="Tablas"/>
              <w:rPr>
                <w:sz w:val="12"/>
                <w:szCs w:val="12"/>
              </w:rPr>
            </w:pPr>
            <w:r w:rsidRPr="00483EBE">
              <w:rPr>
                <w:sz w:val="12"/>
                <w:szCs w:val="12"/>
              </w:rPr>
              <w:t>$1,198</w:t>
            </w:r>
          </w:p>
        </w:tc>
        <w:tc>
          <w:tcPr>
            <w:tcW w:w="0" w:type="auto"/>
            <w:tcBorders>
              <w:top w:val="nil"/>
              <w:left w:val="nil"/>
              <w:bottom w:val="single" w:sz="4" w:space="0" w:color="auto"/>
              <w:right w:val="single" w:sz="4" w:space="0" w:color="auto"/>
            </w:tcBorders>
            <w:shd w:val="clear" w:color="auto" w:fill="auto"/>
            <w:vAlign w:val="center"/>
            <w:hideMark/>
          </w:tcPr>
          <w:p w14:paraId="4937C8A3"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7C18F798"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4DF6F03" w14:textId="77777777" w:rsidR="00572995" w:rsidRPr="00483EBE" w:rsidRDefault="00572995" w:rsidP="00E8324D">
            <w:pPr>
              <w:pStyle w:val="Tablas"/>
              <w:rPr>
                <w:sz w:val="12"/>
                <w:szCs w:val="12"/>
              </w:rPr>
            </w:pPr>
            <w:r w:rsidRPr="00483EBE">
              <w:rPr>
                <w:sz w:val="12"/>
                <w:szCs w:val="12"/>
              </w:rPr>
              <w:t>SEBD</w:t>
            </w:r>
          </w:p>
        </w:tc>
      </w:tr>
      <w:tr w:rsidR="00572995" w:rsidRPr="00483EBE" w14:paraId="354115C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F28DFD"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253E0332"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570D584C" w14:textId="77777777" w:rsidR="00572995" w:rsidRPr="00483EBE" w:rsidRDefault="00572995" w:rsidP="00E8324D">
            <w:pPr>
              <w:pStyle w:val="Tablas"/>
              <w:rPr>
                <w:sz w:val="12"/>
                <w:szCs w:val="12"/>
              </w:rPr>
            </w:pPr>
            <w:r w:rsidRPr="00483EBE">
              <w:rPr>
                <w:sz w:val="12"/>
                <w:szCs w:val="12"/>
              </w:rPr>
              <w:t>$12,061</w:t>
            </w:r>
          </w:p>
        </w:tc>
        <w:tc>
          <w:tcPr>
            <w:tcW w:w="0" w:type="auto"/>
            <w:tcBorders>
              <w:top w:val="nil"/>
              <w:left w:val="nil"/>
              <w:bottom w:val="single" w:sz="4" w:space="0" w:color="auto"/>
              <w:right w:val="single" w:sz="4" w:space="0" w:color="auto"/>
            </w:tcBorders>
            <w:shd w:val="clear" w:color="auto" w:fill="auto"/>
            <w:vAlign w:val="center"/>
            <w:hideMark/>
          </w:tcPr>
          <w:p w14:paraId="36015239" w14:textId="77777777" w:rsidR="00572995" w:rsidRPr="00483EBE" w:rsidRDefault="00572995" w:rsidP="00E8324D">
            <w:pPr>
              <w:pStyle w:val="Tablas"/>
              <w:rPr>
                <w:sz w:val="12"/>
                <w:szCs w:val="12"/>
              </w:rPr>
            </w:pPr>
            <w:r w:rsidRPr="00483EBE">
              <w:rPr>
                <w:sz w:val="12"/>
                <w:szCs w:val="12"/>
              </w:rPr>
              <w:t>$2,010</w:t>
            </w:r>
          </w:p>
        </w:tc>
        <w:tc>
          <w:tcPr>
            <w:tcW w:w="0" w:type="auto"/>
            <w:tcBorders>
              <w:top w:val="nil"/>
              <w:left w:val="nil"/>
              <w:bottom w:val="single" w:sz="4" w:space="0" w:color="auto"/>
              <w:right w:val="single" w:sz="4" w:space="0" w:color="auto"/>
            </w:tcBorders>
            <w:shd w:val="clear" w:color="auto" w:fill="auto"/>
            <w:vAlign w:val="center"/>
            <w:hideMark/>
          </w:tcPr>
          <w:p w14:paraId="6BBC1CC9" w14:textId="77777777" w:rsidR="00572995" w:rsidRPr="00483EBE" w:rsidRDefault="00572995" w:rsidP="00E8324D">
            <w:pPr>
              <w:pStyle w:val="Tablas"/>
              <w:rPr>
                <w:sz w:val="12"/>
                <w:szCs w:val="12"/>
              </w:rPr>
            </w:pPr>
            <w:r w:rsidRPr="00483EBE">
              <w:rPr>
                <w:sz w:val="12"/>
                <w:szCs w:val="12"/>
              </w:rPr>
              <w:t>$168</w:t>
            </w:r>
          </w:p>
        </w:tc>
        <w:tc>
          <w:tcPr>
            <w:tcW w:w="0" w:type="auto"/>
            <w:tcBorders>
              <w:top w:val="nil"/>
              <w:left w:val="nil"/>
              <w:bottom w:val="single" w:sz="4" w:space="0" w:color="auto"/>
              <w:right w:val="single" w:sz="4" w:space="0" w:color="auto"/>
            </w:tcBorders>
            <w:shd w:val="clear" w:color="auto" w:fill="auto"/>
            <w:vAlign w:val="center"/>
            <w:hideMark/>
          </w:tcPr>
          <w:p w14:paraId="2AA9412F"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A366CC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4F82426"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4E8FAA6F"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788A3BFD" w14:textId="77777777" w:rsidR="00572995" w:rsidRPr="00483EBE" w:rsidRDefault="00572995" w:rsidP="00E8324D">
            <w:pPr>
              <w:pStyle w:val="Tablas"/>
              <w:rPr>
                <w:sz w:val="12"/>
                <w:szCs w:val="12"/>
              </w:rPr>
            </w:pPr>
            <w:r w:rsidRPr="00483EBE">
              <w:rPr>
                <w:sz w:val="12"/>
                <w:szCs w:val="12"/>
              </w:rPr>
              <w:t>$17,465</w:t>
            </w:r>
          </w:p>
        </w:tc>
        <w:tc>
          <w:tcPr>
            <w:tcW w:w="0" w:type="auto"/>
            <w:tcBorders>
              <w:top w:val="nil"/>
              <w:left w:val="nil"/>
              <w:bottom w:val="single" w:sz="4" w:space="0" w:color="auto"/>
              <w:right w:val="single" w:sz="4" w:space="0" w:color="auto"/>
            </w:tcBorders>
            <w:shd w:val="clear" w:color="auto" w:fill="auto"/>
            <w:vAlign w:val="center"/>
            <w:hideMark/>
          </w:tcPr>
          <w:p w14:paraId="6A2C46AE" w14:textId="77777777" w:rsidR="00572995" w:rsidRPr="00483EBE" w:rsidRDefault="00572995" w:rsidP="00E8324D">
            <w:pPr>
              <w:pStyle w:val="Tablas"/>
              <w:rPr>
                <w:sz w:val="12"/>
                <w:szCs w:val="12"/>
              </w:rPr>
            </w:pPr>
            <w:r w:rsidRPr="00483EBE">
              <w:rPr>
                <w:sz w:val="12"/>
                <w:szCs w:val="12"/>
              </w:rPr>
              <w:t>$1,092</w:t>
            </w:r>
          </w:p>
        </w:tc>
        <w:tc>
          <w:tcPr>
            <w:tcW w:w="0" w:type="auto"/>
            <w:tcBorders>
              <w:top w:val="nil"/>
              <w:left w:val="nil"/>
              <w:bottom w:val="single" w:sz="4" w:space="0" w:color="auto"/>
              <w:right w:val="single" w:sz="4" w:space="0" w:color="auto"/>
            </w:tcBorders>
            <w:shd w:val="clear" w:color="auto" w:fill="auto"/>
            <w:vAlign w:val="center"/>
            <w:hideMark/>
          </w:tcPr>
          <w:p w14:paraId="3FA05F19"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066D0C6A"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081F92E" w14:textId="77777777" w:rsidR="00572995" w:rsidRPr="00483EBE" w:rsidRDefault="00572995" w:rsidP="00E8324D">
            <w:pPr>
              <w:pStyle w:val="Tablas"/>
              <w:rPr>
                <w:sz w:val="12"/>
                <w:szCs w:val="12"/>
              </w:rPr>
            </w:pPr>
            <w:r w:rsidRPr="00483EBE">
              <w:rPr>
                <w:sz w:val="12"/>
                <w:szCs w:val="12"/>
              </w:rPr>
              <w:t>SEBD</w:t>
            </w:r>
          </w:p>
        </w:tc>
      </w:tr>
      <w:tr w:rsidR="00572995" w:rsidRPr="00483EBE" w14:paraId="1AFADCD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CEE4D3D"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7D15E8FC"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4C9804DB" w14:textId="77777777" w:rsidR="00572995" w:rsidRPr="00483EBE" w:rsidRDefault="00572995" w:rsidP="00E8324D">
            <w:pPr>
              <w:pStyle w:val="Tablas"/>
              <w:rPr>
                <w:sz w:val="12"/>
                <w:szCs w:val="12"/>
              </w:rPr>
            </w:pPr>
            <w:r w:rsidRPr="00483EBE">
              <w:rPr>
                <w:sz w:val="12"/>
                <w:szCs w:val="12"/>
              </w:rPr>
              <w:t>$22,859</w:t>
            </w:r>
          </w:p>
        </w:tc>
        <w:tc>
          <w:tcPr>
            <w:tcW w:w="0" w:type="auto"/>
            <w:tcBorders>
              <w:top w:val="nil"/>
              <w:left w:val="nil"/>
              <w:bottom w:val="single" w:sz="4" w:space="0" w:color="auto"/>
              <w:right w:val="single" w:sz="4" w:space="0" w:color="auto"/>
            </w:tcBorders>
            <w:shd w:val="clear" w:color="auto" w:fill="auto"/>
            <w:vAlign w:val="center"/>
            <w:hideMark/>
          </w:tcPr>
          <w:p w14:paraId="7EFF2264" w14:textId="77777777" w:rsidR="00572995" w:rsidRPr="00483EBE" w:rsidRDefault="00572995" w:rsidP="00E8324D">
            <w:pPr>
              <w:pStyle w:val="Tablas"/>
              <w:rPr>
                <w:sz w:val="12"/>
                <w:szCs w:val="12"/>
              </w:rPr>
            </w:pPr>
            <w:r w:rsidRPr="00483EBE">
              <w:rPr>
                <w:sz w:val="12"/>
                <w:szCs w:val="12"/>
              </w:rPr>
              <w:t>$2,078</w:t>
            </w:r>
          </w:p>
        </w:tc>
        <w:tc>
          <w:tcPr>
            <w:tcW w:w="0" w:type="auto"/>
            <w:tcBorders>
              <w:top w:val="nil"/>
              <w:left w:val="nil"/>
              <w:bottom w:val="single" w:sz="4" w:space="0" w:color="auto"/>
              <w:right w:val="single" w:sz="4" w:space="0" w:color="auto"/>
            </w:tcBorders>
            <w:shd w:val="clear" w:color="auto" w:fill="auto"/>
            <w:vAlign w:val="center"/>
            <w:hideMark/>
          </w:tcPr>
          <w:p w14:paraId="1CD7588E" w14:textId="77777777" w:rsidR="00572995" w:rsidRPr="00483EBE" w:rsidRDefault="00572995" w:rsidP="00E8324D">
            <w:pPr>
              <w:pStyle w:val="Tablas"/>
              <w:rPr>
                <w:sz w:val="12"/>
                <w:szCs w:val="12"/>
              </w:rPr>
            </w:pPr>
            <w:r w:rsidRPr="00483EBE">
              <w:rPr>
                <w:sz w:val="12"/>
                <w:szCs w:val="12"/>
              </w:rPr>
              <w:t>$173</w:t>
            </w:r>
          </w:p>
        </w:tc>
        <w:tc>
          <w:tcPr>
            <w:tcW w:w="0" w:type="auto"/>
            <w:tcBorders>
              <w:top w:val="nil"/>
              <w:left w:val="nil"/>
              <w:bottom w:val="single" w:sz="4" w:space="0" w:color="auto"/>
              <w:right w:val="single" w:sz="4" w:space="0" w:color="auto"/>
            </w:tcBorders>
            <w:shd w:val="clear" w:color="auto" w:fill="auto"/>
            <w:vAlign w:val="center"/>
            <w:hideMark/>
          </w:tcPr>
          <w:p w14:paraId="0C6D0DB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EB4D07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9AD7584"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5E820319"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3CBDAE20" w14:textId="77777777" w:rsidR="00572995" w:rsidRPr="00483EBE" w:rsidRDefault="00572995" w:rsidP="00E8324D">
            <w:pPr>
              <w:pStyle w:val="Tablas"/>
              <w:rPr>
                <w:sz w:val="12"/>
                <w:szCs w:val="12"/>
              </w:rPr>
            </w:pPr>
            <w:r w:rsidRPr="00483EBE">
              <w:rPr>
                <w:sz w:val="12"/>
                <w:szCs w:val="12"/>
              </w:rPr>
              <w:t>$8,604</w:t>
            </w:r>
          </w:p>
        </w:tc>
        <w:tc>
          <w:tcPr>
            <w:tcW w:w="0" w:type="auto"/>
            <w:tcBorders>
              <w:top w:val="nil"/>
              <w:left w:val="nil"/>
              <w:bottom w:val="single" w:sz="4" w:space="0" w:color="auto"/>
              <w:right w:val="single" w:sz="4" w:space="0" w:color="auto"/>
            </w:tcBorders>
            <w:shd w:val="clear" w:color="auto" w:fill="auto"/>
            <w:vAlign w:val="center"/>
            <w:hideMark/>
          </w:tcPr>
          <w:p w14:paraId="53CDC582" w14:textId="77777777" w:rsidR="00572995" w:rsidRPr="00483EBE" w:rsidRDefault="00572995" w:rsidP="00E8324D">
            <w:pPr>
              <w:pStyle w:val="Tablas"/>
              <w:rPr>
                <w:sz w:val="12"/>
                <w:szCs w:val="12"/>
              </w:rPr>
            </w:pPr>
            <w:r w:rsidRPr="00483EBE">
              <w:rPr>
                <w:sz w:val="12"/>
                <w:szCs w:val="12"/>
              </w:rPr>
              <w:t>$717</w:t>
            </w:r>
          </w:p>
        </w:tc>
        <w:tc>
          <w:tcPr>
            <w:tcW w:w="0" w:type="auto"/>
            <w:tcBorders>
              <w:top w:val="nil"/>
              <w:left w:val="nil"/>
              <w:bottom w:val="single" w:sz="4" w:space="0" w:color="auto"/>
              <w:right w:val="single" w:sz="4" w:space="0" w:color="auto"/>
            </w:tcBorders>
            <w:shd w:val="clear" w:color="auto" w:fill="auto"/>
            <w:vAlign w:val="center"/>
            <w:hideMark/>
          </w:tcPr>
          <w:p w14:paraId="181EFBCC"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77AE8657"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D64B183" w14:textId="77777777" w:rsidR="00572995" w:rsidRPr="00483EBE" w:rsidRDefault="00572995" w:rsidP="00E8324D">
            <w:pPr>
              <w:pStyle w:val="Tablas"/>
              <w:rPr>
                <w:sz w:val="12"/>
                <w:szCs w:val="12"/>
              </w:rPr>
            </w:pPr>
            <w:r w:rsidRPr="00483EBE">
              <w:rPr>
                <w:sz w:val="12"/>
                <w:szCs w:val="12"/>
              </w:rPr>
              <w:t>SEBD</w:t>
            </w:r>
          </w:p>
        </w:tc>
      </w:tr>
      <w:tr w:rsidR="00572995" w:rsidRPr="00483EBE" w14:paraId="6B992E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F5D288"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059A8360"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13AEB6CB" w14:textId="77777777" w:rsidR="00572995" w:rsidRPr="00483EBE" w:rsidRDefault="00572995" w:rsidP="00E8324D">
            <w:pPr>
              <w:pStyle w:val="Tablas"/>
              <w:rPr>
                <w:sz w:val="12"/>
                <w:szCs w:val="12"/>
              </w:rPr>
            </w:pPr>
            <w:r w:rsidRPr="00483EBE">
              <w:rPr>
                <w:sz w:val="12"/>
                <w:szCs w:val="12"/>
              </w:rPr>
              <w:t>$19,107</w:t>
            </w:r>
          </w:p>
        </w:tc>
        <w:tc>
          <w:tcPr>
            <w:tcW w:w="0" w:type="auto"/>
            <w:tcBorders>
              <w:top w:val="nil"/>
              <w:left w:val="nil"/>
              <w:bottom w:val="single" w:sz="4" w:space="0" w:color="auto"/>
              <w:right w:val="single" w:sz="4" w:space="0" w:color="auto"/>
            </w:tcBorders>
            <w:shd w:val="clear" w:color="auto" w:fill="auto"/>
            <w:vAlign w:val="center"/>
            <w:hideMark/>
          </w:tcPr>
          <w:p w14:paraId="30A75713" w14:textId="77777777" w:rsidR="00572995" w:rsidRPr="00483EBE" w:rsidRDefault="00572995" w:rsidP="00E8324D">
            <w:pPr>
              <w:pStyle w:val="Tablas"/>
              <w:rPr>
                <w:sz w:val="12"/>
                <w:szCs w:val="12"/>
              </w:rPr>
            </w:pPr>
            <w:r w:rsidRPr="00483EBE">
              <w:rPr>
                <w:sz w:val="12"/>
                <w:szCs w:val="12"/>
              </w:rPr>
              <w:t>$1,737</w:t>
            </w:r>
          </w:p>
        </w:tc>
        <w:tc>
          <w:tcPr>
            <w:tcW w:w="0" w:type="auto"/>
            <w:tcBorders>
              <w:top w:val="nil"/>
              <w:left w:val="nil"/>
              <w:bottom w:val="single" w:sz="4" w:space="0" w:color="auto"/>
              <w:right w:val="single" w:sz="4" w:space="0" w:color="auto"/>
            </w:tcBorders>
            <w:shd w:val="clear" w:color="auto" w:fill="auto"/>
            <w:vAlign w:val="center"/>
            <w:hideMark/>
          </w:tcPr>
          <w:p w14:paraId="1EC438C4" w14:textId="77777777" w:rsidR="00572995" w:rsidRPr="00483EBE" w:rsidRDefault="00572995" w:rsidP="00E8324D">
            <w:pPr>
              <w:pStyle w:val="Tablas"/>
              <w:rPr>
                <w:sz w:val="12"/>
                <w:szCs w:val="12"/>
              </w:rPr>
            </w:pPr>
            <w:r w:rsidRPr="00483EBE">
              <w:rPr>
                <w:sz w:val="12"/>
                <w:szCs w:val="12"/>
              </w:rPr>
              <w:t>$145</w:t>
            </w:r>
          </w:p>
        </w:tc>
        <w:tc>
          <w:tcPr>
            <w:tcW w:w="0" w:type="auto"/>
            <w:tcBorders>
              <w:top w:val="nil"/>
              <w:left w:val="nil"/>
              <w:bottom w:val="single" w:sz="4" w:space="0" w:color="auto"/>
              <w:right w:val="single" w:sz="4" w:space="0" w:color="auto"/>
            </w:tcBorders>
            <w:shd w:val="clear" w:color="auto" w:fill="auto"/>
            <w:vAlign w:val="center"/>
            <w:hideMark/>
          </w:tcPr>
          <w:p w14:paraId="68C267E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05190BA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E1778A"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60B3A97F"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677A4819" w14:textId="77777777" w:rsidR="00572995" w:rsidRPr="00483EBE" w:rsidRDefault="00572995" w:rsidP="00E8324D">
            <w:pPr>
              <w:pStyle w:val="Tablas"/>
              <w:rPr>
                <w:sz w:val="12"/>
                <w:szCs w:val="12"/>
              </w:rPr>
            </w:pPr>
            <w:r w:rsidRPr="00483EBE">
              <w:rPr>
                <w:sz w:val="12"/>
                <w:szCs w:val="12"/>
              </w:rPr>
              <w:t>$15,001</w:t>
            </w:r>
          </w:p>
        </w:tc>
        <w:tc>
          <w:tcPr>
            <w:tcW w:w="0" w:type="auto"/>
            <w:tcBorders>
              <w:top w:val="nil"/>
              <w:left w:val="nil"/>
              <w:bottom w:val="single" w:sz="4" w:space="0" w:color="auto"/>
              <w:right w:val="single" w:sz="4" w:space="0" w:color="auto"/>
            </w:tcBorders>
            <w:shd w:val="clear" w:color="auto" w:fill="auto"/>
            <w:vAlign w:val="center"/>
            <w:hideMark/>
          </w:tcPr>
          <w:p w14:paraId="592CD48D" w14:textId="77777777" w:rsidR="00572995" w:rsidRPr="00483EBE" w:rsidRDefault="00572995" w:rsidP="00E8324D">
            <w:pPr>
              <w:pStyle w:val="Tablas"/>
              <w:rPr>
                <w:sz w:val="12"/>
                <w:szCs w:val="12"/>
              </w:rPr>
            </w:pPr>
            <w:r w:rsidRPr="00483EBE">
              <w:rPr>
                <w:sz w:val="12"/>
                <w:szCs w:val="12"/>
              </w:rPr>
              <w:t>$1,250</w:t>
            </w:r>
          </w:p>
        </w:tc>
        <w:tc>
          <w:tcPr>
            <w:tcW w:w="0" w:type="auto"/>
            <w:tcBorders>
              <w:top w:val="nil"/>
              <w:left w:val="nil"/>
              <w:bottom w:val="single" w:sz="4" w:space="0" w:color="auto"/>
              <w:right w:val="single" w:sz="4" w:space="0" w:color="auto"/>
            </w:tcBorders>
            <w:shd w:val="clear" w:color="auto" w:fill="auto"/>
            <w:vAlign w:val="center"/>
            <w:hideMark/>
          </w:tcPr>
          <w:p w14:paraId="27E30D86"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4C8AA18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D637555" w14:textId="77777777" w:rsidR="00572995" w:rsidRPr="00483EBE" w:rsidRDefault="00572995" w:rsidP="00E8324D">
            <w:pPr>
              <w:pStyle w:val="Tablas"/>
              <w:rPr>
                <w:sz w:val="12"/>
                <w:szCs w:val="12"/>
              </w:rPr>
            </w:pPr>
            <w:r w:rsidRPr="00483EBE">
              <w:rPr>
                <w:sz w:val="12"/>
                <w:szCs w:val="12"/>
              </w:rPr>
              <w:t>SEBD</w:t>
            </w:r>
          </w:p>
        </w:tc>
      </w:tr>
      <w:tr w:rsidR="00572995" w:rsidRPr="00483EBE" w14:paraId="5EE8D58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88590D"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7FCD27B4"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7C791874" w14:textId="77777777" w:rsidR="00572995" w:rsidRPr="00483EBE" w:rsidRDefault="00572995" w:rsidP="00E8324D">
            <w:pPr>
              <w:pStyle w:val="Tablas"/>
              <w:rPr>
                <w:sz w:val="12"/>
                <w:szCs w:val="12"/>
              </w:rPr>
            </w:pPr>
            <w:r w:rsidRPr="00483EBE">
              <w:rPr>
                <w:sz w:val="12"/>
                <w:szCs w:val="12"/>
              </w:rPr>
              <w:t>$15,147</w:t>
            </w:r>
          </w:p>
        </w:tc>
        <w:tc>
          <w:tcPr>
            <w:tcW w:w="0" w:type="auto"/>
            <w:tcBorders>
              <w:top w:val="nil"/>
              <w:left w:val="nil"/>
              <w:bottom w:val="single" w:sz="4" w:space="0" w:color="auto"/>
              <w:right w:val="single" w:sz="4" w:space="0" w:color="auto"/>
            </w:tcBorders>
            <w:shd w:val="clear" w:color="auto" w:fill="auto"/>
            <w:vAlign w:val="center"/>
            <w:hideMark/>
          </w:tcPr>
          <w:p w14:paraId="4CAC01EA" w14:textId="77777777" w:rsidR="00572995" w:rsidRPr="00483EBE" w:rsidRDefault="00572995" w:rsidP="00E8324D">
            <w:pPr>
              <w:pStyle w:val="Tablas"/>
              <w:rPr>
                <w:sz w:val="12"/>
                <w:szCs w:val="12"/>
              </w:rPr>
            </w:pPr>
            <w:r w:rsidRPr="00483EBE">
              <w:rPr>
                <w:sz w:val="12"/>
                <w:szCs w:val="12"/>
              </w:rPr>
              <w:t>$2,164</w:t>
            </w:r>
          </w:p>
        </w:tc>
        <w:tc>
          <w:tcPr>
            <w:tcW w:w="0" w:type="auto"/>
            <w:tcBorders>
              <w:top w:val="nil"/>
              <w:left w:val="nil"/>
              <w:bottom w:val="single" w:sz="4" w:space="0" w:color="auto"/>
              <w:right w:val="single" w:sz="4" w:space="0" w:color="auto"/>
            </w:tcBorders>
            <w:shd w:val="clear" w:color="auto" w:fill="auto"/>
            <w:vAlign w:val="center"/>
            <w:hideMark/>
          </w:tcPr>
          <w:p w14:paraId="7DD25DDF" w14:textId="77777777" w:rsidR="00572995" w:rsidRPr="00483EBE" w:rsidRDefault="00572995" w:rsidP="00E8324D">
            <w:pPr>
              <w:pStyle w:val="Tablas"/>
              <w:rPr>
                <w:sz w:val="12"/>
                <w:szCs w:val="12"/>
              </w:rPr>
            </w:pPr>
            <w:r w:rsidRPr="00483EBE">
              <w:rPr>
                <w:sz w:val="12"/>
                <w:szCs w:val="12"/>
              </w:rPr>
              <w:t>$180</w:t>
            </w:r>
          </w:p>
        </w:tc>
        <w:tc>
          <w:tcPr>
            <w:tcW w:w="0" w:type="auto"/>
            <w:tcBorders>
              <w:top w:val="nil"/>
              <w:left w:val="nil"/>
              <w:bottom w:val="single" w:sz="4" w:space="0" w:color="auto"/>
              <w:right w:val="single" w:sz="4" w:space="0" w:color="auto"/>
            </w:tcBorders>
            <w:shd w:val="clear" w:color="auto" w:fill="auto"/>
            <w:vAlign w:val="center"/>
            <w:hideMark/>
          </w:tcPr>
          <w:p w14:paraId="0A683B7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BBEC71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E94674"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50409C58"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59BAAB64" w14:textId="77777777" w:rsidR="00572995" w:rsidRPr="00483EBE" w:rsidRDefault="00572995" w:rsidP="00E8324D">
            <w:pPr>
              <w:pStyle w:val="Tablas"/>
              <w:rPr>
                <w:sz w:val="12"/>
                <w:szCs w:val="12"/>
              </w:rPr>
            </w:pPr>
            <w:r w:rsidRPr="00483EBE">
              <w:rPr>
                <w:sz w:val="12"/>
                <w:szCs w:val="12"/>
              </w:rPr>
              <w:t>$11,465</w:t>
            </w:r>
          </w:p>
        </w:tc>
        <w:tc>
          <w:tcPr>
            <w:tcW w:w="0" w:type="auto"/>
            <w:tcBorders>
              <w:top w:val="nil"/>
              <w:left w:val="nil"/>
              <w:bottom w:val="single" w:sz="4" w:space="0" w:color="auto"/>
              <w:right w:val="single" w:sz="4" w:space="0" w:color="auto"/>
            </w:tcBorders>
            <w:shd w:val="clear" w:color="auto" w:fill="auto"/>
            <w:vAlign w:val="center"/>
            <w:hideMark/>
          </w:tcPr>
          <w:p w14:paraId="694E09D8" w14:textId="77777777" w:rsidR="00572995" w:rsidRPr="00483EBE" w:rsidRDefault="00572995" w:rsidP="00E8324D">
            <w:pPr>
              <w:pStyle w:val="Tablas"/>
              <w:rPr>
                <w:sz w:val="12"/>
                <w:szCs w:val="12"/>
              </w:rPr>
            </w:pPr>
            <w:r w:rsidRPr="00483EBE">
              <w:rPr>
                <w:sz w:val="12"/>
                <w:szCs w:val="12"/>
              </w:rPr>
              <w:t>$1,042</w:t>
            </w:r>
          </w:p>
        </w:tc>
        <w:tc>
          <w:tcPr>
            <w:tcW w:w="0" w:type="auto"/>
            <w:tcBorders>
              <w:top w:val="nil"/>
              <w:left w:val="nil"/>
              <w:bottom w:val="single" w:sz="4" w:space="0" w:color="auto"/>
              <w:right w:val="single" w:sz="4" w:space="0" w:color="auto"/>
            </w:tcBorders>
            <w:shd w:val="clear" w:color="auto" w:fill="auto"/>
            <w:vAlign w:val="center"/>
            <w:hideMark/>
          </w:tcPr>
          <w:p w14:paraId="71DCA099"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3809F47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0F4157A" w14:textId="77777777" w:rsidR="00572995" w:rsidRPr="00483EBE" w:rsidRDefault="00572995" w:rsidP="00E8324D">
            <w:pPr>
              <w:pStyle w:val="Tablas"/>
              <w:rPr>
                <w:sz w:val="12"/>
                <w:szCs w:val="12"/>
              </w:rPr>
            </w:pPr>
            <w:r w:rsidRPr="00483EBE">
              <w:rPr>
                <w:sz w:val="12"/>
                <w:szCs w:val="12"/>
              </w:rPr>
              <w:t>SEBD</w:t>
            </w:r>
          </w:p>
        </w:tc>
      </w:tr>
      <w:tr w:rsidR="00572995" w:rsidRPr="00483EBE" w14:paraId="521AD50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5540DE2"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24A5644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804D513" w14:textId="77777777" w:rsidR="00572995" w:rsidRPr="00483EBE" w:rsidRDefault="00572995" w:rsidP="00E8324D">
            <w:pPr>
              <w:pStyle w:val="Tablas"/>
              <w:rPr>
                <w:sz w:val="12"/>
                <w:szCs w:val="12"/>
              </w:rPr>
            </w:pPr>
            <w:r w:rsidRPr="00483EBE">
              <w:rPr>
                <w:sz w:val="12"/>
                <w:szCs w:val="12"/>
              </w:rPr>
              <w:t>$7,171</w:t>
            </w:r>
          </w:p>
        </w:tc>
        <w:tc>
          <w:tcPr>
            <w:tcW w:w="0" w:type="auto"/>
            <w:tcBorders>
              <w:top w:val="nil"/>
              <w:left w:val="nil"/>
              <w:bottom w:val="single" w:sz="4" w:space="0" w:color="auto"/>
              <w:right w:val="single" w:sz="4" w:space="0" w:color="auto"/>
            </w:tcBorders>
            <w:shd w:val="clear" w:color="auto" w:fill="auto"/>
            <w:vAlign w:val="center"/>
            <w:hideMark/>
          </w:tcPr>
          <w:p w14:paraId="6C6F3F92" w14:textId="77777777" w:rsidR="00572995" w:rsidRPr="00483EBE" w:rsidRDefault="00572995" w:rsidP="00E8324D">
            <w:pPr>
              <w:pStyle w:val="Tablas"/>
              <w:rPr>
                <w:sz w:val="12"/>
                <w:szCs w:val="12"/>
              </w:rPr>
            </w:pPr>
            <w:r w:rsidRPr="00483EBE">
              <w:rPr>
                <w:sz w:val="12"/>
                <w:szCs w:val="12"/>
              </w:rPr>
              <w:t>$3,585</w:t>
            </w:r>
          </w:p>
        </w:tc>
        <w:tc>
          <w:tcPr>
            <w:tcW w:w="0" w:type="auto"/>
            <w:tcBorders>
              <w:top w:val="nil"/>
              <w:left w:val="nil"/>
              <w:bottom w:val="single" w:sz="4" w:space="0" w:color="auto"/>
              <w:right w:val="single" w:sz="4" w:space="0" w:color="auto"/>
            </w:tcBorders>
            <w:shd w:val="clear" w:color="auto" w:fill="auto"/>
            <w:vAlign w:val="center"/>
            <w:hideMark/>
          </w:tcPr>
          <w:p w14:paraId="02E6C60B" w14:textId="77777777" w:rsidR="00572995" w:rsidRPr="00483EBE" w:rsidRDefault="00572995" w:rsidP="00E8324D">
            <w:pPr>
              <w:pStyle w:val="Tablas"/>
              <w:rPr>
                <w:sz w:val="12"/>
                <w:szCs w:val="12"/>
              </w:rPr>
            </w:pPr>
            <w:r w:rsidRPr="00483EBE">
              <w:rPr>
                <w:sz w:val="12"/>
                <w:szCs w:val="12"/>
              </w:rPr>
              <w:t>$299</w:t>
            </w:r>
          </w:p>
        </w:tc>
        <w:tc>
          <w:tcPr>
            <w:tcW w:w="0" w:type="auto"/>
            <w:tcBorders>
              <w:top w:val="nil"/>
              <w:left w:val="nil"/>
              <w:bottom w:val="single" w:sz="4" w:space="0" w:color="auto"/>
              <w:right w:val="single" w:sz="4" w:space="0" w:color="auto"/>
            </w:tcBorders>
            <w:shd w:val="clear" w:color="auto" w:fill="auto"/>
            <w:vAlign w:val="center"/>
            <w:hideMark/>
          </w:tcPr>
          <w:p w14:paraId="6A484D2A"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2C534C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878693"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744270AB"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33E943F6" w14:textId="77777777" w:rsidR="00572995" w:rsidRPr="00483EBE" w:rsidRDefault="00572995" w:rsidP="00E8324D">
            <w:pPr>
              <w:pStyle w:val="Tablas"/>
              <w:rPr>
                <w:sz w:val="12"/>
                <w:szCs w:val="12"/>
              </w:rPr>
            </w:pPr>
            <w:r w:rsidRPr="00483EBE">
              <w:rPr>
                <w:sz w:val="12"/>
                <w:szCs w:val="12"/>
              </w:rPr>
              <w:t>$21,446</w:t>
            </w:r>
          </w:p>
        </w:tc>
        <w:tc>
          <w:tcPr>
            <w:tcW w:w="0" w:type="auto"/>
            <w:tcBorders>
              <w:top w:val="nil"/>
              <w:left w:val="nil"/>
              <w:bottom w:val="single" w:sz="4" w:space="0" w:color="auto"/>
              <w:right w:val="single" w:sz="4" w:space="0" w:color="auto"/>
            </w:tcBorders>
            <w:shd w:val="clear" w:color="auto" w:fill="auto"/>
            <w:vAlign w:val="center"/>
            <w:hideMark/>
          </w:tcPr>
          <w:p w14:paraId="16E10751" w14:textId="77777777" w:rsidR="00572995" w:rsidRPr="00483EBE" w:rsidRDefault="00572995" w:rsidP="00E8324D">
            <w:pPr>
              <w:pStyle w:val="Tablas"/>
              <w:rPr>
                <w:sz w:val="12"/>
                <w:szCs w:val="12"/>
              </w:rPr>
            </w:pPr>
            <w:r w:rsidRPr="00483EBE">
              <w:rPr>
                <w:sz w:val="12"/>
                <w:szCs w:val="12"/>
              </w:rPr>
              <w:t>$1,072</w:t>
            </w:r>
          </w:p>
        </w:tc>
        <w:tc>
          <w:tcPr>
            <w:tcW w:w="0" w:type="auto"/>
            <w:tcBorders>
              <w:top w:val="nil"/>
              <w:left w:val="nil"/>
              <w:bottom w:val="single" w:sz="4" w:space="0" w:color="auto"/>
              <w:right w:val="single" w:sz="4" w:space="0" w:color="auto"/>
            </w:tcBorders>
            <w:shd w:val="clear" w:color="auto" w:fill="auto"/>
            <w:vAlign w:val="center"/>
            <w:hideMark/>
          </w:tcPr>
          <w:p w14:paraId="51E264D3"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7542C78B"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DEE17FC" w14:textId="77777777" w:rsidR="00572995" w:rsidRPr="00483EBE" w:rsidRDefault="00572995" w:rsidP="00E8324D">
            <w:pPr>
              <w:pStyle w:val="Tablas"/>
              <w:rPr>
                <w:sz w:val="12"/>
                <w:szCs w:val="12"/>
              </w:rPr>
            </w:pPr>
            <w:r w:rsidRPr="00483EBE">
              <w:rPr>
                <w:sz w:val="12"/>
                <w:szCs w:val="12"/>
              </w:rPr>
              <w:t>SEBD</w:t>
            </w:r>
          </w:p>
        </w:tc>
      </w:tr>
      <w:tr w:rsidR="00572995" w:rsidRPr="00483EBE" w14:paraId="6B7F3CA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6AFCAD"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256C6D3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4BA68DD4" w14:textId="77777777" w:rsidR="00572995" w:rsidRPr="00483EBE" w:rsidRDefault="00572995" w:rsidP="00E8324D">
            <w:pPr>
              <w:pStyle w:val="Tablas"/>
              <w:rPr>
                <w:sz w:val="12"/>
                <w:szCs w:val="12"/>
              </w:rPr>
            </w:pPr>
            <w:r w:rsidRPr="00483EBE">
              <w:rPr>
                <w:sz w:val="12"/>
                <w:szCs w:val="12"/>
              </w:rPr>
              <w:t>$7,217</w:t>
            </w:r>
          </w:p>
        </w:tc>
        <w:tc>
          <w:tcPr>
            <w:tcW w:w="0" w:type="auto"/>
            <w:tcBorders>
              <w:top w:val="nil"/>
              <w:left w:val="nil"/>
              <w:bottom w:val="single" w:sz="4" w:space="0" w:color="auto"/>
              <w:right w:val="single" w:sz="4" w:space="0" w:color="auto"/>
            </w:tcBorders>
            <w:shd w:val="clear" w:color="auto" w:fill="auto"/>
            <w:vAlign w:val="center"/>
            <w:hideMark/>
          </w:tcPr>
          <w:p w14:paraId="4F9BD65B" w14:textId="77777777" w:rsidR="00572995" w:rsidRPr="00483EBE" w:rsidRDefault="00572995" w:rsidP="00E8324D">
            <w:pPr>
              <w:pStyle w:val="Tablas"/>
              <w:rPr>
                <w:sz w:val="12"/>
                <w:szCs w:val="12"/>
              </w:rPr>
            </w:pPr>
            <w:r w:rsidRPr="00483EBE">
              <w:rPr>
                <w:sz w:val="12"/>
                <w:szCs w:val="12"/>
              </w:rPr>
              <w:t>$1,443</w:t>
            </w:r>
          </w:p>
        </w:tc>
        <w:tc>
          <w:tcPr>
            <w:tcW w:w="0" w:type="auto"/>
            <w:tcBorders>
              <w:top w:val="nil"/>
              <w:left w:val="nil"/>
              <w:bottom w:val="single" w:sz="4" w:space="0" w:color="auto"/>
              <w:right w:val="single" w:sz="4" w:space="0" w:color="auto"/>
            </w:tcBorders>
            <w:shd w:val="clear" w:color="auto" w:fill="auto"/>
            <w:vAlign w:val="center"/>
            <w:hideMark/>
          </w:tcPr>
          <w:p w14:paraId="287B40D2"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1B727103"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106646D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EB7D21C"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2D0464A0"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1C95098C" w14:textId="77777777" w:rsidR="00572995" w:rsidRPr="00483EBE" w:rsidRDefault="00572995" w:rsidP="00E8324D">
            <w:pPr>
              <w:pStyle w:val="Tablas"/>
              <w:rPr>
                <w:sz w:val="12"/>
                <w:szCs w:val="12"/>
              </w:rPr>
            </w:pPr>
            <w:r w:rsidRPr="00483EBE">
              <w:rPr>
                <w:sz w:val="12"/>
                <w:szCs w:val="12"/>
              </w:rPr>
              <w:t>$17,344</w:t>
            </w:r>
          </w:p>
        </w:tc>
        <w:tc>
          <w:tcPr>
            <w:tcW w:w="0" w:type="auto"/>
            <w:tcBorders>
              <w:top w:val="nil"/>
              <w:left w:val="nil"/>
              <w:bottom w:val="single" w:sz="4" w:space="0" w:color="auto"/>
              <w:right w:val="single" w:sz="4" w:space="0" w:color="auto"/>
            </w:tcBorders>
            <w:shd w:val="clear" w:color="auto" w:fill="auto"/>
            <w:vAlign w:val="center"/>
            <w:hideMark/>
          </w:tcPr>
          <w:p w14:paraId="1C9BF4E9" w14:textId="77777777" w:rsidR="00572995" w:rsidRPr="00483EBE" w:rsidRDefault="00572995" w:rsidP="00E8324D">
            <w:pPr>
              <w:pStyle w:val="Tablas"/>
              <w:rPr>
                <w:sz w:val="12"/>
                <w:szCs w:val="12"/>
              </w:rPr>
            </w:pPr>
            <w:r w:rsidRPr="00483EBE">
              <w:rPr>
                <w:sz w:val="12"/>
                <w:szCs w:val="12"/>
              </w:rPr>
              <w:t>$1,020</w:t>
            </w:r>
          </w:p>
        </w:tc>
        <w:tc>
          <w:tcPr>
            <w:tcW w:w="0" w:type="auto"/>
            <w:tcBorders>
              <w:top w:val="nil"/>
              <w:left w:val="nil"/>
              <w:bottom w:val="single" w:sz="4" w:space="0" w:color="auto"/>
              <w:right w:val="single" w:sz="4" w:space="0" w:color="auto"/>
            </w:tcBorders>
            <w:shd w:val="clear" w:color="auto" w:fill="auto"/>
            <w:vAlign w:val="center"/>
            <w:hideMark/>
          </w:tcPr>
          <w:p w14:paraId="260F5933"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35DDC91A"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878C08A" w14:textId="77777777" w:rsidR="00572995" w:rsidRPr="00483EBE" w:rsidRDefault="00572995" w:rsidP="00E8324D">
            <w:pPr>
              <w:pStyle w:val="Tablas"/>
              <w:rPr>
                <w:sz w:val="12"/>
                <w:szCs w:val="12"/>
              </w:rPr>
            </w:pPr>
            <w:r w:rsidRPr="00483EBE">
              <w:rPr>
                <w:sz w:val="12"/>
                <w:szCs w:val="12"/>
              </w:rPr>
              <w:t>SEBD</w:t>
            </w:r>
          </w:p>
        </w:tc>
      </w:tr>
      <w:tr w:rsidR="00572995" w:rsidRPr="00483EBE" w14:paraId="3FBB50D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B46E0A9"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39256EF7"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6C1EBCB7" w14:textId="77777777" w:rsidR="00572995" w:rsidRPr="00483EBE" w:rsidRDefault="00572995" w:rsidP="00E8324D">
            <w:pPr>
              <w:pStyle w:val="Tablas"/>
              <w:rPr>
                <w:sz w:val="12"/>
                <w:szCs w:val="12"/>
              </w:rPr>
            </w:pPr>
            <w:r w:rsidRPr="00483EBE">
              <w:rPr>
                <w:sz w:val="12"/>
                <w:szCs w:val="12"/>
              </w:rPr>
              <w:t>$15,424</w:t>
            </w:r>
          </w:p>
        </w:tc>
        <w:tc>
          <w:tcPr>
            <w:tcW w:w="0" w:type="auto"/>
            <w:tcBorders>
              <w:top w:val="nil"/>
              <w:left w:val="nil"/>
              <w:bottom w:val="single" w:sz="4" w:space="0" w:color="auto"/>
              <w:right w:val="single" w:sz="4" w:space="0" w:color="auto"/>
            </w:tcBorders>
            <w:shd w:val="clear" w:color="auto" w:fill="auto"/>
            <w:vAlign w:val="center"/>
            <w:hideMark/>
          </w:tcPr>
          <w:p w14:paraId="723AA127" w14:textId="77777777" w:rsidR="00572995" w:rsidRPr="00483EBE" w:rsidRDefault="00572995" w:rsidP="00E8324D">
            <w:pPr>
              <w:pStyle w:val="Tablas"/>
              <w:rPr>
                <w:sz w:val="12"/>
                <w:szCs w:val="12"/>
              </w:rPr>
            </w:pPr>
            <w:r w:rsidRPr="00483EBE">
              <w:rPr>
                <w:sz w:val="12"/>
                <w:szCs w:val="12"/>
              </w:rPr>
              <w:t>$1,928</w:t>
            </w:r>
          </w:p>
        </w:tc>
        <w:tc>
          <w:tcPr>
            <w:tcW w:w="0" w:type="auto"/>
            <w:tcBorders>
              <w:top w:val="nil"/>
              <w:left w:val="nil"/>
              <w:bottom w:val="single" w:sz="4" w:space="0" w:color="auto"/>
              <w:right w:val="single" w:sz="4" w:space="0" w:color="auto"/>
            </w:tcBorders>
            <w:shd w:val="clear" w:color="auto" w:fill="auto"/>
            <w:vAlign w:val="center"/>
            <w:hideMark/>
          </w:tcPr>
          <w:p w14:paraId="4E454BEE" w14:textId="77777777" w:rsidR="00572995" w:rsidRPr="00483EBE" w:rsidRDefault="00572995" w:rsidP="00E8324D">
            <w:pPr>
              <w:pStyle w:val="Tablas"/>
              <w:rPr>
                <w:sz w:val="12"/>
                <w:szCs w:val="12"/>
              </w:rPr>
            </w:pPr>
            <w:r w:rsidRPr="00483EBE">
              <w:rPr>
                <w:sz w:val="12"/>
                <w:szCs w:val="12"/>
              </w:rPr>
              <w:t>$161</w:t>
            </w:r>
          </w:p>
        </w:tc>
        <w:tc>
          <w:tcPr>
            <w:tcW w:w="0" w:type="auto"/>
            <w:tcBorders>
              <w:top w:val="nil"/>
              <w:left w:val="nil"/>
              <w:bottom w:val="single" w:sz="4" w:space="0" w:color="auto"/>
              <w:right w:val="single" w:sz="4" w:space="0" w:color="auto"/>
            </w:tcBorders>
            <w:shd w:val="clear" w:color="auto" w:fill="auto"/>
            <w:vAlign w:val="center"/>
            <w:hideMark/>
          </w:tcPr>
          <w:p w14:paraId="537EBF8D"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087791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3E0ECD"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6FCA89F7"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481BAB1C" w14:textId="77777777" w:rsidR="00572995" w:rsidRPr="00483EBE" w:rsidRDefault="00572995" w:rsidP="00E8324D">
            <w:pPr>
              <w:pStyle w:val="Tablas"/>
              <w:rPr>
                <w:sz w:val="12"/>
                <w:szCs w:val="12"/>
              </w:rPr>
            </w:pPr>
            <w:r w:rsidRPr="00483EBE">
              <w:rPr>
                <w:sz w:val="12"/>
                <w:szCs w:val="12"/>
              </w:rPr>
              <w:t>$23,988</w:t>
            </w:r>
          </w:p>
        </w:tc>
        <w:tc>
          <w:tcPr>
            <w:tcW w:w="0" w:type="auto"/>
            <w:tcBorders>
              <w:top w:val="nil"/>
              <w:left w:val="nil"/>
              <w:bottom w:val="single" w:sz="4" w:space="0" w:color="auto"/>
              <w:right w:val="single" w:sz="4" w:space="0" w:color="auto"/>
            </w:tcBorders>
            <w:shd w:val="clear" w:color="auto" w:fill="auto"/>
            <w:vAlign w:val="center"/>
            <w:hideMark/>
          </w:tcPr>
          <w:p w14:paraId="68803E0A" w14:textId="77777777" w:rsidR="00572995" w:rsidRPr="00483EBE" w:rsidRDefault="00572995" w:rsidP="00E8324D">
            <w:pPr>
              <w:pStyle w:val="Tablas"/>
              <w:rPr>
                <w:sz w:val="12"/>
                <w:szCs w:val="12"/>
              </w:rPr>
            </w:pPr>
            <w:r w:rsidRPr="00483EBE">
              <w:rPr>
                <w:sz w:val="12"/>
                <w:szCs w:val="12"/>
              </w:rPr>
              <w:t>$1,411</w:t>
            </w:r>
          </w:p>
        </w:tc>
        <w:tc>
          <w:tcPr>
            <w:tcW w:w="0" w:type="auto"/>
            <w:tcBorders>
              <w:top w:val="nil"/>
              <w:left w:val="nil"/>
              <w:bottom w:val="single" w:sz="4" w:space="0" w:color="auto"/>
              <w:right w:val="single" w:sz="4" w:space="0" w:color="auto"/>
            </w:tcBorders>
            <w:shd w:val="clear" w:color="auto" w:fill="auto"/>
            <w:vAlign w:val="center"/>
            <w:hideMark/>
          </w:tcPr>
          <w:p w14:paraId="1AD902EA"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1251997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F78FE29" w14:textId="77777777" w:rsidR="00572995" w:rsidRPr="00483EBE" w:rsidRDefault="00572995" w:rsidP="00E8324D">
            <w:pPr>
              <w:pStyle w:val="Tablas"/>
              <w:rPr>
                <w:sz w:val="12"/>
                <w:szCs w:val="12"/>
              </w:rPr>
            </w:pPr>
            <w:r w:rsidRPr="00483EBE">
              <w:rPr>
                <w:sz w:val="12"/>
                <w:szCs w:val="12"/>
              </w:rPr>
              <w:t>SEBD</w:t>
            </w:r>
          </w:p>
        </w:tc>
      </w:tr>
      <w:tr w:rsidR="00572995" w:rsidRPr="00483EBE" w14:paraId="5815396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01A5D05"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E6F52C5"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FC7341E" w14:textId="77777777" w:rsidR="00572995" w:rsidRPr="00483EBE" w:rsidRDefault="00572995" w:rsidP="00E8324D">
            <w:pPr>
              <w:pStyle w:val="Tablas"/>
              <w:rPr>
                <w:sz w:val="12"/>
                <w:szCs w:val="12"/>
              </w:rPr>
            </w:pPr>
            <w:r w:rsidRPr="00483EBE">
              <w:rPr>
                <w:sz w:val="12"/>
                <w:szCs w:val="12"/>
              </w:rPr>
              <w:t>$6,104</w:t>
            </w:r>
          </w:p>
        </w:tc>
        <w:tc>
          <w:tcPr>
            <w:tcW w:w="0" w:type="auto"/>
            <w:tcBorders>
              <w:top w:val="nil"/>
              <w:left w:val="nil"/>
              <w:bottom w:val="single" w:sz="4" w:space="0" w:color="auto"/>
              <w:right w:val="single" w:sz="4" w:space="0" w:color="auto"/>
            </w:tcBorders>
            <w:shd w:val="clear" w:color="auto" w:fill="auto"/>
            <w:vAlign w:val="center"/>
            <w:hideMark/>
          </w:tcPr>
          <w:p w14:paraId="482759F6" w14:textId="77777777" w:rsidR="00572995" w:rsidRPr="00483EBE" w:rsidRDefault="00572995" w:rsidP="00E8324D">
            <w:pPr>
              <w:pStyle w:val="Tablas"/>
              <w:rPr>
                <w:sz w:val="12"/>
                <w:szCs w:val="12"/>
              </w:rPr>
            </w:pPr>
            <w:r w:rsidRPr="00483EBE">
              <w:rPr>
                <w:sz w:val="12"/>
                <w:szCs w:val="12"/>
              </w:rPr>
              <w:t>$2,035</w:t>
            </w:r>
          </w:p>
        </w:tc>
        <w:tc>
          <w:tcPr>
            <w:tcW w:w="0" w:type="auto"/>
            <w:tcBorders>
              <w:top w:val="nil"/>
              <w:left w:val="nil"/>
              <w:bottom w:val="single" w:sz="4" w:space="0" w:color="auto"/>
              <w:right w:val="single" w:sz="4" w:space="0" w:color="auto"/>
            </w:tcBorders>
            <w:shd w:val="clear" w:color="auto" w:fill="auto"/>
            <w:vAlign w:val="center"/>
            <w:hideMark/>
          </w:tcPr>
          <w:p w14:paraId="28B2FDF9" w14:textId="77777777" w:rsidR="00572995" w:rsidRPr="00483EBE" w:rsidRDefault="00572995" w:rsidP="00E8324D">
            <w:pPr>
              <w:pStyle w:val="Tablas"/>
              <w:rPr>
                <w:sz w:val="12"/>
                <w:szCs w:val="12"/>
              </w:rPr>
            </w:pPr>
            <w:r w:rsidRPr="00483EBE">
              <w:rPr>
                <w:sz w:val="12"/>
                <w:szCs w:val="12"/>
              </w:rPr>
              <w:t>$170</w:t>
            </w:r>
          </w:p>
        </w:tc>
        <w:tc>
          <w:tcPr>
            <w:tcW w:w="0" w:type="auto"/>
            <w:tcBorders>
              <w:top w:val="nil"/>
              <w:left w:val="nil"/>
              <w:bottom w:val="single" w:sz="4" w:space="0" w:color="auto"/>
              <w:right w:val="single" w:sz="4" w:space="0" w:color="auto"/>
            </w:tcBorders>
            <w:shd w:val="clear" w:color="auto" w:fill="auto"/>
            <w:vAlign w:val="center"/>
            <w:hideMark/>
          </w:tcPr>
          <w:p w14:paraId="75C5F77F"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46B4AC4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415A30"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122DA0BB"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7B7BEFBC" w14:textId="77777777" w:rsidR="00572995" w:rsidRPr="00483EBE" w:rsidRDefault="00572995" w:rsidP="00E8324D">
            <w:pPr>
              <w:pStyle w:val="Tablas"/>
              <w:rPr>
                <w:sz w:val="12"/>
                <w:szCs w:val="12"/>
              </w:rPr>
            </w:pPr>
            <w:r w:rsidRPr="00483EBE">
              <w:rPr>
                <w:sz w:val="12"/>
                <w:szCs w:val="12"/>
              </w:rPr>
              <w:t>$13,470</w:t>
            </w:r>
          </w:p>
        </w:tc>
        <w:tc>
          <w:tcPr>
            <w:tcW w:w="0" w:type="auto"/>
            <w:tcBorders>
              <w:top w:val="nil"/>
              <w:left w:val="nil"/>
              <w:bottom w:val="single" w:sz="4" w:space="0" w:color="auto"/>
              <w:right w:val="single" w:sz="4" w:space="0" w:color="auto"/>
            </w:tcBorders>
            <w:shd w:val="clear" w:color="auto" w:fill="auto"/>
            <w:vAlign w:val="center"/>
            <w:hideMark/>
          </w:tcPr>
          <w:p w14:paraId="5CA8FC47" w14:textId="77777777" w:rsidR="00572995" w:rsidRPr="00483EBE" w:rsidRDefault="00572995" w:rsidP="00E8324D">
            <w:pPr>
              <w:pStyle w:val="Tablas"/>
              <w:rPr>
                <w:sz w:val="12"/>
                <w:szCs w:val="12"/>
              </w:rPr>
            </w:pPr>
            <w:r w:rsidRPr="00483EBE">
              <w:rPr>
                <w:sz w:val="12"/>
                <w:szCs w:val="12"/>
              </w:rPr>
              <w:t>$1,036</w:t>
            </w:r>
          </w:p>
        </w:tc>
        <w:tc>
          <w:tcPr>
            <w:tcW w:w="0" w:type="auto"/>
            <w:tcBorders>
              <w:top w:val="nil"/>
              <w:left w:val="nil"/>
              <w:bottom w:val="single" w:sz="4" w:space="0" w:color="auto"/>
              <w:right w:val="single" w:sz="4" w:space="0" w:color="auto"/>
            </w:tcBorders>
            <w:shd w:val="clear" w:color="auto" w:fill="auto"/>
            <w:vAlign w:val="center"/>
            <w:hideMark/>
          </w:tcPr>
          <w:p w14:paraId="59E308BB"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5D2DF13"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5C4C062" w14:textId="77777777" w:rsidR="00572995" w:rsidRPr="00483EBE" w:rsidRDefault="00572995" w:rsidP="00E8324D">
            <w:pPr>
              <w:pStyle w:val="Tablas"/>
              <w:rPr>
                <w:sz w:val="12"/>
                <w:szCs w:val="12"/>
              </w:rPr>
            </w:pPr>
            <w:r w:rsidRPr="00483EBE">
              <w:rPr>
                <w:sz w:val="12"/>
                <w:szCs w:val="12"/>
              </w:rPr>
              <w:t>SEBD</w:t>
            </w:r>
          </w:p>
        </w:tc>
      </w:tr>
      <w:tr w:rsidR="00572995" w:rsidRPr="00483EBE" w14:paraId="215BF30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482166"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07361F0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24FE76A" w14:textId="77777777" w:rsidR="00572995" w:rsidRPr="00483EBE" w:rsidRDefault="00572995" w:rsidP="00E8324D">
            <w:pPr>
              <w:pStyle w:val="Tablas"/>
              <w:rPr>
                <w:sz w:val="12"/>
                <w:szCs w:val="12"/>
              </w:rPr>
            </w:pPr>
            <w:r w:rsidRPr="00483EBE">
              <w:rPr>
                <w:sz w:val="12"/>
                <w:szCs w:val="12"/>
              </w:rPr>
              <w:t>$7,510</w:t>
            </w:r>
          </w:p>
        </w:tc>
        <w:tc>
          <w:tcPr>
            <w:tcW w:w="0" w:type="auto"/>
            <w:tcBorders>
              <w:top w:val="nil"/>
              <w:left w:val="nil"/>
              <w:bottom w:val="single" w:sz="4" w:space="0" w:color="auto"/>
              <w:right w:val="single" w:sz="4" w:space="0" w:color="auto"/>
            </w:tcBorders>
            <w:shd w:val="clear" w:color="auto" w:fill="auto"/>
            <w:vAlign w:val="center"/>
            <w:hideMark/>
          </w:tcPr>
          <w:p w14:paraId="0E6DB1FD" w14:textId="77777777" w:rsidR="00572995" w:rsidRPr="00483EBE" w:rsidRDefault="00572995" w:rsidP="00E8324D">
            <w:pPr>
              <w:pStyle w:val="Tablas"/>
              <w:rPr>
                <w:sz w:val="12"/>
                <w:szCs w:val="12"/>
              </w:rPr>
            </w:pPr>
            <w:r w:rsidRPr="00483EBE">
              <w:rPr>
                <w:sz w:val="12"/>
                <w:szCs w:val="12"/>
              </w:rPr>
              <w:t>$2,503</w:t>
            </w:r>
          </w:p>
        </w:tc>
        <w:tc>
          <w:tcPr>
            <w:tcW w:w="0" w:type="auto"/>
            <w:tcBorders>
              <w:top w:val="nil"/>
              <w:left w:val="nil"/>
              <w:bottom w:val="single" w:sz="4" w:space="0" w:color="auto"/>
              <w:right w:val="single" w:sz="4" w:space="0" w:color="auto"/>
            </w:tcBorders>
            <w:shd w:val="clear" w:color="auto" w:fill="auto"/>
            <w:vAlign w:val="center"/>
            <w:hideMark/>
          </w:tcPr>
          <w:p w14:paraId="215200A4" w14:textId="77777777" w:rsidR="00572995" w:rsidRPr="00483EBE" w:rsidRDefault="00572995" w:rsidP="00E8324D">
            <w:pPr>
              <w:pStyle w:val="Tablas"/>
              <w:rPr>
                <w:sz w:val="12"/>
                <w:szCs w:val="12"/>
              </w:rPr>
            </w:pPr>
            <w:r w:rsidRPr="00483EBE">
              <w:rPr>
                <w:sz w:val="12"/>
                <w:szCs w:val="12"/>
              </w:rPr>
              <w:t>$209</w:t>
            </w:r>
          </w:p>
        </w:tc>
        <w:tc>
          <w:tcPr>
            <w:tcW w:w="0" w:type="auto"/>
            <w:tcBorders>
              <w:top w:val="nil"/>
              <w:left w:val="nil"/>
              <w:bottom w:val="single" w:sz="4" w:space="0" w:color="auto"/>
              <w:right w:val="single" w:sz="4" w:space="0" w:color="auto"/>
            </w:tcBorders>
            <w:shd w:val="clear" w:color="auto" w:fill="auto"/>
            <w:vAlign w:val="center"/>
            <w:hideMark/>
          </w:tcPr>
          <w:p w14:paraId="61EF633A"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37BE852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0633C2"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3FFC5B1D"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4F4045DF" w14:textId="77777777" w:rsidR="00572995" w:rsidRPr="00483EBE" w:rsidRDefault="00572995" w:rsidP="00E8324D">
            <w:pPr>
              <w:pStyle w:val="Tablas"/>
              <w:rPr>
                <w:sz w:val="12"/>
                <w:szCs w:val="12"/>
              </w:rPr>
            </w:pPr>
            <w:r w:rsidRPr="00483EBE">
              <w:rPr>
                <w:sz w:val="12"/>
                <w:szCs w:val="12"/>
              </w:rPr>
              <w:t>$27,626</w:t>
            </w:r>
          </w:p>
        </w:tc>
        <w:tc>
          <w:tcPr>
            <w:tcW w:w="0" w:type="auto"/>
            <w:tcBorders>
              <w:top w:val="nil"/>
              <w:left w:val="nil"/>
              <w:bottom w:val="single" w:sz="4" w:space="0" w:color="auto"/>
              <w:right w:val="single" w:sz="4" w:space="0" w:color="auto"/>
            </w:tcBorders>
            <w:shd w:val="clear" w:color="auto" w:fill="auto"/>
            <w:vAlign w:val="center"/>
            <w:hideMark/>
          </w:tcPr>
          <w:p w14:paraId="6FC549C9" w14:textId="77777777" w:rsidR="00572995" w:rsidRPr="00483EBE" w:rsidRDefault="00572995" w:rsidP="00E8324D">
            <w:pPr>
              <w:pStyle w:val="Tablas"/>
              <w:rPr>
                <w:sz w:val="12"/>
                <w:szCs w:val="12"/>
              </w:rPr>
            </w:pPr>
            <w:r w:rsidRPr="00483EBE">
              <w:rPr>
                <w:sz w:val="12"/>
                <w:szCs w:val="12"/>
              </w:rPr>
              <w:t>$1,063</w:t>
            </w:r>
          </w:p>
        </w:tc>
        <w:tc>
          <w:tcPr>
            <w:tcW w:w="0" w:type="auto"/>
            <w:tcBorders>
              <w:top w:val="nil"/>
              <w:left w:val="nil"/>
              <w:bottom w:val="single" w:sz="4" w:space="0" w:color="auto"/>
              <w:right w:val="single" w:sz="4" w:space="0" w:color="auto"/>
            </w:tcBorders>
            <w:shd w:val="clear" w:color="auto" w:fill="auto"/>
            <w:vAlign w:val="center"/>
            <w:hideMark/>
          </w:tcPr>
          <w:p w14:paraId="7EAC92AF"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3D844EB7"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7CCA829" w14:textId="77777777" w:rsidR="00572995" w:rsidRPr="00483EBE" w:rsidRDefault="00572995" w:rsidP="00E8324D">
            <w:pPr>
              <w:pStyle w:val="Tablas"/>
              <w:rPr>
                <w:sz w:val="12"/>
                <w:szCs w:val="12"/>
              </w:rPr>
            </w:pPr>
            <w:r w:rsidRPr="00483EBE">
              <w:rPr>
                <w:sz w:val="12"/>
                <w:szCs w:val="12"/>
              </w:rPr>
              <w:t>SEBD</w:t>
            </w:r>
          </w:p>
        </w:tc>
      </w:tr>
      <w:tr w:rsidR="00572995" w:rsidRPr="00483EBE" w14:paraId="38FEB18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872DFB" w14:textId="77777777" w:rsidR="00572995" w:rsidRPr="00483EBE" w:rsidRDefault="00572995" w:rsidP="00E8324D">
            <w:pPr>
              <w:pStyle w:val="Tablas"/>
              <w:rPr>
                <w:sz w:val="12"/>
                <w:szCs w:val="12"/>
              </w:rPr>
            </w:pPr>
            <w:r w:rsidRPr="00483EBE">
              <w:rPr>
                <w:sz w:val="12"/>
                <w:szCs w:val="12"/>
              </w:rPr>
              <w:lastRenderedPageBreak/>
              <w:t>92</w:t>
            </w:r>
          </w:p>
        </w:tc>
        <w:tc>
          <w:tcPr>
            <w:tcW w:w="0" w:type="auto"/>
            <w:tcBorders>
              <w:top w:val="nil"/>
              <w:left w:val="nil"/>
              <w:bottom w:val="single" w:sz="4" w:space="0" w:color="auto"/>
              <w:right w:val="single" w:sz="4" w:space="0" w:color="auto"/>
            </w:tcBorders>
            <w:shd w:val="clear" w:color="auto" w:fill="auto"/>
            <w:vAlign w:val="center"/>
            <w:hideMark/>
          </w:tcPr>
          <w:p w14:paraId="5FFBD93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BC9D7F1" w14:textId="77777777" w:rsidR="00572995" w:rsidRPr="00483EBE" w:rsidRDefault="00572995" w:rsidP="00E8324D">
            <w:pPr>
              <w:pStyle w:val="Tablas"/>
              <w:rPr>
                <w:sz w:val="12"/>
                <w:szCs w:val="12"/>
              </w:rPr>
            </w:pPr>
            <w:r w:rsidRPr="00483EBE">
              <w:rPr>
                <w:sz w:val="12"/>
                <w:szCs w:val="12"/>
              </w:rPr>
              <w:t>$1,760</w:t>
            </w:r>
          </w:p>
        </w:tc>
        <w:tc>
          <w:tcPr>
            <w:tcW w:w="0" w:type="auto"/>
            <w:tcBorders>
              <w:top w:val="nil"/>
              <w:left w:val="nil"/>
              <w:bottom w:val="single" w:sz="4" w:space="0" w:color="auto"/>
              <w:right w:val="single" w:sz="4" w:space="0" w:color="auto"/>
            </w:tcBorders>
            <w:shd w:val="clear" w:color="auto" w:fill="auto"/>
            <w:vAlign w:val="center"/>
            <w:hideMark/>
          </w:tcPr>
          <w:p w14:paraId="696E3022" w14:textId="77777777" w:rsidR="00572995" w:rsidRPr="00483EBE" w:rsidRDefault="00572995" w:rsidP="00E8324D">
            <w:pPr>
              <w:pStyle w:val="Tablas"/>
              <w:rPr>
                <w:sz w:val="12"/>
                <w:szCs w:val="12"/>
              </w:rPr>
            </w:pPr>
            <w:r w:rsidRPr="00483EBE">
              <w:rPr>
                <w:sz w:val="12"/>
                <w:szCs w:val="12"/>
              </w:rPr>
              <w:t>$1,760</w:t>
            </w:r>
          </w:p>
        </w:tc>
        <w:tc>
          <w:tcPr>
            <w:tcW w:w="0" w:type="auto"/>
            <w:tcBorders>
              <w:top w:val="nil"/>
              <w:left w:val="nil"/>
              <w:bottom w:val="single" w:sz="4" w:space="0" w:color="auto"/>
              <w:right w:val="single" w:sz="4" w:space="0" w:color="auto"/>
            </w:tcBorders>
            <w:shd w:val="clear" w:color="auto" w:fill="auto"/>
            <w:vAlign w:val="center"/>
            <w:hideMark/>
          </w:tcPr>
          <w:p w14:paraId="433984A8" w14:textId="77777777" w:rsidR="00572995" w:rsidRPr="00483EBE" w:rsidRDefault="00572995" w:rsidP="00E8324D">
            <w:pPr>
              <w:pStyle w:val="Tablas"/>
              <w:rPr>
                <w:sz w:val="12"/>
                <w:szCs w:val="12"/>
              </w:rPr>
            </w:pPr>
            <w:r w:rsidRPr="00483EBE">
              <w:rPr>
                <w:sz w:val="12"/>
                <w:szCs w:val="12"/>
              </w:rPr>
              <w:t>$147</w:t>
            </w:r>
          </w:p>
        </w:tc>
        <w:tc>
          <w:tcPr>
            <w:tcW w:w="0" w:type="auto"/>
            <w:tcBorders>
              <w:top w:val="nil"/>
              <w:left w:val="nil"/>
              <w:bottom w:val="single" w:sz="4" w:space="0" w:color="auto"/>
              <w:right w:val="single" w:sz="4" w:space="0" w:color="auto"/>
            </w:tcBorders>
            <w:shd w:val="clear" w:color="auto" w:fill="auto"/>
            <w:vAlign w:val="center"/>
            <w:hideMark/>
          </w:tcPr>
          <w:p w14:paraId="10A307FC"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5976180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858BD5"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78522D70"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03A61156" w14:textId="77777777" w:rsidR="00572995" w:rsidRPr="00483EBE" w:rsidRDefault="00572995" w:rsidP="00E8324D">
            <w:pPr>
              <w:pStyle w:val="Tablas"/>
              <w:rPr>
                <w:sz w:val="12"/>
                <w:szCs w:val="12"/>
              </w:rPr>
            </w:pPr>
            <w:r w:rsidRPr="00483EBE">
              <w:rPr>
                <w:sz w:val="12"/>
                <w:szCs w:val="12"/>
              </w:rPr>
              <w:t>$34,356</w:t>
            </w:r>
          </w:p>
        </w:tc>
        <w:tc>
          <w:tcPr>
            <w:tcW w:w="0" w:type="auto"/>
            <w:tcBorders>
              <w:top w:val="nil"/>
              <w:left w:val="nil"/>
              <w:bottom w:val="single" w:sz="4" w:space="0" w:color="auto"/>
              <w:right w:val="single" w:sz="4" w:space="0" w:color="auto"/>
            </w:tcBorders>
            <w:shd w:val="clear" w:color="auto" w:fill="auto"/>
            <w:vAlign w:val="center"/>
            <w:hideMark/>
          </w:tcPr>
          <w:p w14:paraId="14F3B63C" w14:textId="77777777" w:rsidR="00572995" w:rsidRPr="00483EBE" w:rsidRDefault="00572995" w:rsidP="00E8324D">
            <w:pPr>
              <w:pStyle w:val="Tablas"/>
              <w:rPr>
                <w:sz w:val="12"/>
                <w:szCs w:val="12"/>
              </w:rPr>
            </w:pPr>
            <w:r w:rsidRPr="00483EBE">
              <w:rPr>
                <w:sz w:val="12"/>
                <w:szCs w:val="12"/>
              </w:rPr>
              <w:t>$1,145</w:t>
            </w:r>
          </w:p>
        </w:tc>
        <w:tc>
          <w:tcPr>
            <w:tcW w:w="0" w:type="auto"/>
            <w:tcBorders>
              <w:top w:val="nil"/>
              <w:left w:val="nil"/>
              <w:bottom w:val="single" w:sz="4" w:space="0" w:color="auto"/>
              <w:right w:val="single" w:sz="4" w:space="0" w:color="auto"/>
            </w:tcBorders>
            <w:shd w:val="clear" w:color="auto" w:fill="auto"/>
            <w:vAlign w:val="center"/>
            <w:hideMark/>
          </w:tcPr>
          <w:p w14:paraId="64A2D2CB"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557D9C0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ED769B2" w14:textId="77777777" w:rsidR="00572995" w:rsidRPr="00483EBE" w:rsidRDefault="00572995" w:rsidP="00E8324D">
            <w:pPr>
              <w:pStyle w:val="Tablas"/>
              <w:rPr>
                <w:sz w:val="12"/>
                <w:szCs w:val="12"/>
              </w:rPr>
            </w:pPr>
            <w:r w:rsidRPr="00483EBE">
              <w:rPr>
                <w:sz w:val="12"/>
                <w:szCs w:val="12"/>
              </w:rPr>
              <w:t>SEBD</w:t>
            </w:r>
          </w:p>
        </w:tc>
      </w:tr>
      <w:tr w:rsidR="00572995" w:rsidRPr="00483EBE" w14:paraId="741761C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DEC3B31"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0AA7896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84F6D57"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7A228788"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19B65FF3"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048BA45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C2CD79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571C29"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2BE0312E" w14:textId="77777777" w:rsidR="00572995" w:rsidRPr="00483EBE" w:rsidRDefault="00572995" w:rsidP="00E8324D">
            <w:pPr>
              <w:pStyle w:val="Tablas"/>
              <w:rPr>
                <w:sz w:val="12"/>
                <w:szCs w:val="12"/>
              </w:rPr>
            </w:pPr>
            <w:r w:rsidRPr="00483EBE">
              <w:rPr>
                <w:sz w:val="12"/>
                <w:szCs w:val="12"/>
              </w:rPr>
              <w:t xml:space="preserve">23 </w:t>
            </w:r>
          </w:p>
        </w:tc>
        <w:tc>
          <w:tcPr>
            <w:tcW w:w="0" w:type="auto"/>
            <w:tcBorders>
              <w:top w:val="nil"/>
              <w:left w:val="nil"/>
              <w:bottom w:val="single" w:sz="4" w:space="0" w:color="auto"/>
              <w:right w:val="single" w:sz="4" w:space="0" w:color="auto"/>
            </w:tcBorders>
            <w:shd w:val="clear" w:color="auto" w:fill="auto"/>
            <w:vAlign w:val="center"/>
            <w:hideMark/>
          </w:tcPr>
          <w:p w14:paraId="52CB74D9" w14:textId="77777777" w:rsidR="00572995" w:rsidRPr="00483EBE" w:rsidRDefault="00572995" w:rsidP="00E8324D">
            <w:pPr>
              <w:pStyle w:val="Tablas"/>
              <w:rPr>
                <w:sz w:val="12"/>
                <w:szCs w:val="12"/>
              </w:rPr>
            </w:pPr>
            <w:r w:rsidRPr="00483EBE">
              <w:rPr>
                <w:sz w:val="12"/>
                <w:szCs w:val="12"/>
              </w:rPr>
              <w:t>$25,896</w:t>
            </w:r>
          </w:p>
        </w:tc>
        <w:tc>
          <w:tcPr>
            <w:tcW w:w="0" w:type="auto"/>
            <w:tcBorders>
              <w:top w:val="nil"/>
              <w:left w:val="nil"/>
              <w:bottom w:val="single" w:sz="4" w:space="0" w:color="auto"/>
              <w:right w:val="single" w:sz="4" w:space="0" w:color="auto"/>
            </w:tcBorders>
            <w:shd w:val="clear" w:color="auto" w:fill="auto"/>
            <w:vAlign w:val="center"/>
            <w:hideMark/>
          </w:tcPr>
          <w:p w14:paraId="624E7914" w14:textId="77777777" w:rsidR="00572995" w:rsidRPr="00483EBE" w:rsidRDefault="00572995" w:rsidP="00E8324D">
            <w:pPr>
              <w:pStyle w:val="Tablas"/>
              <w:rPr>
                <w:sz w:val="12"/>
                <w:szCs w:val="12"/>
              </w:rPr>
            </w:pPr>
            <w:r w:rsidRPr="00483EBE">
              <w:rPr>
                <w:sz w:val="12"/>
                <w:szCs w:val="12"/>
              </w:rPr>
              <w:t>$1,126</w:t>
            </w:r>
          </w:p>
        </w:tc>
        <w:tc>
          <w:tcPr>
            <w:tcW w:w="0" w:type="auto"/>
            <w:tcBorders>
              <w:top w:val="nil"/>
              <w:left w:val="nil"/>
              <w:bottom w:val="single" w:sz="4" w:space="0" w:color="auto"/>
              <w:right w:val="single" w:sz="4" w:space="0" w:color="auto"/>
            </w:tcBorders>
            <w:shd w:val="clear" w:color="auto" w:fill="auto"/>
            <w:vAlign w:val="center"/>
            <w:hideMark/>
          </w:tcPr>
          <w:p w14:paraId="7787E2B5"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33112FEB"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5680F15" w14:textId="77777777" w:rsidR="00572995" w:rsidRPr="00483EBE" w:rsidRDefault="00572995" w:rsidP="00E8324D">
            <w:pPr>
              <w:pStyle w:val="Tablas"/>
              <w:rPr>
                <w:sz w:val="12"/>
                <w:szCs w:val="12"/>
              </w:rPr>
            </w:pPr>
            <w:r w:rsidRPr="00483EBE">
              <w:rPr>
                <w:sz w:val="12"/>
                <w:szCs w:val="12"/>
              </w:rPr>
              <w:t>SEBD</w:t>
            </w:r>
          </w:p>
        </w:tc>
      </w:tr>
      <w:tr w:rsidR="00572995" w:rsidRPr="00483EBE" w14:paraId="6BE8441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0E341B"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7BF1C78C"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5813A9A"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49B1D96C"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46EED5E8"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5390FEAB"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7C86DA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8143DE"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66158E10"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63F7E3A9" w14:textId="77777777" w:rsidR="00572995" w:rsidRPr="00483EBE" w:rsidRDefault="00572995" w:rsidP="00E8324D">
            <w:pPr>
              <w:pStyle w:val="Tablas"/>
              <w:rPr>
                <w:sz w:val="12"/>
                <w:szCs w:val="12"/>
              </w:rPr>
            </w:pPr>
            <w:r w:rsidRPr="00483EBE">
              <w:rPr>
                <w:sz w:val="12"/>
                <w:szCs w:val="12"/>
              </w:rPr>
              <w:t>$26,950</w:t>
            </w:r>
          </w:p>
        </w:tc>
        <w:tc>
          <w:tcPr>
            <w:tcW w:w="0" w:type="auto"/>
            <w:tcBorders>
              <w:top w:val="nil"/>
              <w:left w:val="nil"/>
              <w:bottom w:val="single" w:sz="4" w:space="0" w:color="auto"/>
              <w:right w:val="single" w:sz="4" w:space="0" w:color="auto"/>
            </w:tcBorders>
            <w:shd w:val="clear" w:color="auto" w:fill="auto"/>
            <w:vAlign w:val="center"/>
            <w:hideMark/>
          </w:tcPr>
          <w:p w14:paraId="37E5C128" w14:textId="77777777" w:rsidR="00572995" w:rsidRPr="00483EBE" w:rsidRDefault="00572995" w:rsidP="00E8324D">
            <w:pPr>
              <w:pStyle w:val="Tablas"/>
              <w:rPr>
                <w:sz w:val="12"/>
                <w:szCs w:val="12"/>
              </w:rPr>
            </w:pPr>
            <w:r w:rsidRPr="00483EBE">
              <w:rPr>
                <w:sz w:val="12"/>
                <w:szCs w:val="12"/>
              </w:rPr>
              <w:t>$1,123</w:t>
            </w:r>
          </w:p>
        </w:tc>
        <w:tc>
          <w:tcPr>
            <w:tcW w:w="0" w:type="auto"/>
            <w:tcBorders>
              <w:top w:val="nil"/>
              <w:left w:val="nil"/>
              <w:bottom w:val="single" w:sz="4" w:space="0" w:color="auto"/>
              <w:right w:val="single" w:sz="4" w:space="0" w:color="auto"/>
            </w:tcBorders>
            <w:shd w:val="clear" w:color="auto" w:fill="auto"/>
            <w:vAlign w:val="center"/>
            <w:hideMark/>
          </w:tcPr>
          <w:p w14:paraId="042FF18E"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3E5275C8"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C7D3F09" w14:textId="77777777" w:rsidR="00572995" w:rsidRPr="00483EBE" w:rsidRDefault="00572995" w:rsidP="00E8324D">
            <w:pPr>
              <w:pStyle w:val="Tablas"/>
              <w:rPr>
                <w:sz w:val="12"/>
                <w:szCs w:val="12"/>
              </w:rPr>
            </w:pPr>
            <w:r w:rsidRPr="00483EBE">
              <w:rPr>
                <w:sz w:val="12"/>
                <w:szCs w:val="12"/>
              </w:rPr>
              <w:t>SEBD</w:t>
            </w:r>
          </w:p>
        </w:tc>
      </w:tr>
      <w:tr w:rsidR="00572995" w:rsidRPr="00483EBE" w14:paraId="20E9B5F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889F283"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6F296DAB"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3613069" w14:textId="77777777" w:rsidR="00572995" w:rsidRPr="00483EBE" w:rsidRDefault="00572995" w:rsidP="00E8324D">
            <w:pPr>
              <w:pStyle w:val="Tablas"/>
              <w:rPr>
                <w:sz w:val="12"/>
                <w:szCs w:val="12"/>
              </w:rPr>
            </w:pPr>
            <w:r w:rsidRPr="00483EBE">
              <w:rPr>
                <w:sz w:val="12"/>
                <w:szCs w:val="12"/>
              </w:rPr>
              <w:t>$2,227</w:t>
            </w:r>
          </w:p>
        </w:tc>
        <w:tc>
          <w:tcPr>
            <w:tcW w:w="0" w:type="auto"/>
            <w:tcBorders>
              <w:top w:val="nil"/>
              <w:left w:val="nil"/>
              <w:bottom w:val="single" w:sz="4" w:space="0" w:color="auto"/>
              <w:right w:val="single" w:sz="4" w:space="0" w:color="auto"/>
            </w:tcBorders>
            <w:shd w:val="clear" w:color="auto" w:fill="auto"/>
            <w:vAlign w:val="center"/>
            <w:hideMark/>
          </w:tcPr>
          <w:p w14:paraId="628AE636" w14:textId="77777777" w:rsidR="00572995" w:rsidRPr="00483EBE" w:rsidRDefault="00572995" w:rsidP="00E8324D">
            <w:pPr>
              <w:pStyle w:val="Tablas"/>
              <w:rPr>
                <w:sz w:val="12"/>
                <w:szCs w:val="12"/>
              </w:rPr>
            </w:pPr>
            <w:r w:rsidRPr="00483EBE">
              <w:rPr>
                <w:sz w:val="12"/>
                <w:szCs w:val="12"/>
              </w:rPr>
              <w:t>$2,227</w:t>
            </w:r>
          </w:p>
        </w:tc>
        <w:tc>
          <w:tcPr>
            <w:tcW w:w="0" w:type="auto"/>
            <w:tcBorders>
              <w:top w:val="nil"/>
              <w:left w:val="nil"/>
              <w:bottom w:val="single" w:sz="4" w:space="0" w:color="auto"/>
              <w:right w:val="single" w:sz="4" w:space="0" w:color="auto"/>
            </w:tcBorders>
            <w:shd w:val="clear" w:color="auto" w:fill="auto"/>
            <w:vAlign w:val="center"/>
            <w:hideMark/>
          </w:tcPr>
          <w:p w14:paraId="05AE9D0F" w14:textId="77777777" w:rsidR="00572995" w:rsidRPr="00483EBE" w:rsidRDefault="00572995" w:rsidP="00E8324D">
            <w:pPr>
              <w:pStyle w:val="Tablas"/>
              <w:rPr>
                <w:sz w:val="12"/>
                <w:szCs w:val="12"/>
              </w:rPr>
            </w:pPr>
            <w:r w:rsidRPr="00483EBE">
              <w:rPr>
                <w:sz w:val="12"/>
                <w:szCs w:val="12"/>
              </w:rPr>
              <w:t>$186</w:t>
            </w:r>
          </w:p>
        </w:tc>
        <w:tc>
          <w:tcPr>
            <w:tcW w:w="0" w:type="auto"/>
            <w:tcBorders>
              <w:top w:val="nil"/>
              <w:left w:val="nil"/>
              <w:bottom w:val="single" w:sz="4" w:space="0" w:color="auto"/>
              <w:right w:val="single" w:sz="4" w:space="0" w:color="auto"/>
            </w:tcBorders>
            <w:shd w:val="clear" w:color="auto" w:fill="auto"/>
            <w:vAlign w:val="center"/>
            <w:hideMark/>
          </w:tcPr>
          <w:p w14:paraId="16CBEA18" w14:textId="77777777" w:rsidR="00572995" w:rsidRPr="00483EBE" w:rsidRDefault="00572995" w:rsidP="00E8324D">
            <w:pPr>
              <w:pStyle w:val="Tablas"/>
              <w:rPr>
                <w:sz w:val="12"/>
                <w:szCs w:val="12"/>
              </w:rPr>
            </w:pPr>
            <w:r w:rsidRPr="00483EBE">
              <w:rPr>
                <w:sz w:val="12"/>
                <w:szCs w:val="12"/>
              </w:rPr>
              <w:t>VIUDEZ INVALIDA</w:t>
            </w:r>
          </w:p>
        </w:tc>
        <w:tc>
          <w:tcPr>
            <w:tcW w:w="0" w:type="auto"/>
            <w:tcBorders>
              <w:top w:val="nil"/>
              <w:left w:val="nil"/>
              <w:bottom w:val="single" w:sz="4" w:space="0" w:color="auto"/>
              <w:right w:val="nil"/>
            </w:tcBorders>
            <w:shd w:val="clear" w:color="auto" w:fill="auto"/>
            <w:vAlign w:val="center"/>
            <w:hideMark/>
          </w:tcPr>
          <w:p w14:paraId="27E0638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7E0FA"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545EBEF8"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51D11C5D" w14:textId="77777777" w:rsidR="00572995" w:rsidRPr="00483EBE" w:rsidRDefault="00572995" w:rsidP="00E8324D">
            <w:pPr>
              <w:pStyle w:val="Tablas"/>
              <w:rPr>
                <w:sz w:val="12"/>
                <w:szCs w:val="12"/>
              </w:rPr>
            </w:pPr>
            <w:r w:rsidRPr="00483EBE">
              <w:rPr>
                <w:sz w:val="12"/>
                <w:szCs w:val="12"/>
              </w:rPr>
              <w:t>$46,256</w:t>
            </w:r>
          </w:p>
        </w:tc>
        <w:tc>
          <w:tcPr>
            <w:tcW w:w="0" w:type="auto"/>
            <w:tcBorders>
              <w:top w:val="nil"/>
              <w:left w:val="nil"/>
              <w:bottom w:val="single" w:sz="4" w:space="0" w:color="auto"/>
              <w:right w:val="single" w:sz="4" w:space="0" w:color="auto"/>
            </w:tcBorders>
            <w:shd w:val="clear" w:color="auto" w:fill="auto"/>
            <w:vAlign w:val="center"/>
            <w:hideMark/>
          </w:tcPr>
          <w:p w14:paraId="5E3A07AE" w14:textId="77777777" w:rsidR="00572995" w:rsidRPr="00483EBE" w:rsidRDefault="00572995" w:rsidP="00E8324D">
            <w:pPr>
              <w:pStyle w:val="Tablas"/>
              <w:rPr>
                <w:sz w:val="12"/>
                <w:szCs w:val="12"/>
              </w:rPr>
            </w:pPr>
            <w:r w:rsidRPr="00483EBE">
              <w:rPr>
                <w:sz w:val="12"/>
                <w:szCs w:val="12"/>
              </w:rPr>
              <w:t>$1,285</w:t>
            </w:r>
          </w:p>
        </w:tc>
        <w:tc>
          <w:tcPr>
            <w:tcW w:w="0" w:type="auto"/>
            <w:tcBorders>
              <w:top w:val="nil"/>
              <w:left w:val="nil"/>
              <w:bottom w:val="single" w:sz="4" w:space="0" w:color="auto"/>
              <w:right w:val="single" w:sz="4" w:space="0" w:color="auto"/>
            </w:tcBorders>
            <w:shd w:val="clear" w:color="auto" w:fill="auto"/>
            <w:vAlign w:val="center"/>
            <w:hideMark/>
          </w:tcPr>
          <w:p w14:paraId="73458DA0"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4E57372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2EB88BF" w14:textId="77777777" w:rsidR="00572995" w:rsidRPr="00483EBE" w:rsidRDefault="00572995" w:rsidP="00E8324D">
            <w:pPr>
              <w:pStyle w:val="Tablas"/>
              <w:rPr>
                <w:sz w:val="12"/>
                <w:szCs w:val="12"/>
              </w:rPr>
            </w:pPr>
            <w:r w:rsidRPr="00483EBE">
              <w:rPr>
                <w:sz w:val="12"/>
                <w:szCs w:val="12"/>
              </w:rPr>
              <w:t>SEBD</w:t>
            </w:r>
          </w:p>
        </w:tc>
      </w:tr>
      <w:tr w:rsidR="00572995" w:rsidRPr="00483EBE" w14:paraId="21A8CC6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F7AA5E" w14:textId="77777777" w:rsidR="00572995" w:rsidRPr="00483EBE" w:rsidRDefault="00572995" w:rsidP="00E8324D">
            <w:pPr>
              <w:pStyle w:val="Tablas"/>
              <w:rPr>
                <w:sz w:val="12"/>
                <w:szCs w:val="12"/>
              </w:rPr>
            </w:pPr>
            <w:r w:rsidRPr="00483EBE">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784FA18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1F3A509" w14:textId="77777777" w:rsidR="00572995" w:rsidRPr="00483EBE" w:rsidRDefault="00572995" w:rsidP="00E8324D">
            <w:pPr>
              <w:pStyle w:val="Tablas"/>
              <w:rPr>
                <w:sz w:val="12"/>
                <w:szCs w:val="12"/>
              </w:rPr>
            </w:pPr>
            <w:r w:rsidRPr="00483EBE">
              <w:rPr>
                <w:sz w:val="12"/>
                <w:szCs w:val="12"/>
              </w:rPr>
              <w:t>$1,057</w:t>
            </w:r>
          </w:p>
        </w:tc>
        <w:tc>
          <w:tcPr>
            <w:tcW w:w="0" w:type="auto"/>
            <w:tcBorders>
              <w:top w:val="nil"/>
              <w:left w:val="nil"/>
              <w:bottom w:val="single" w:sz="4" w:space="0" w:color="auto"/>
              <w:right w:val="single" w:sz="4" w:space="0" w:color="auto"/>
            </w:tcBorders>
            <w:shd w:val="clear" w:color="auto" w:fill="auto"/>
            <w:vAlign w:val="center"/>
            <w:hideMark/>
          </w:tcPr>
          <w:p w14:paraId="1B0F15BA" w14:textId="77777777" w:rsidR="00572995" w:rsidRPr="00483EBE" w:rsidRDefault="00572995" w:rsidP="00E8324D">
            <w:pPr>
              <w:pStyle w:val="Tablas"/>
              <w:rPr>
                <w:sz w:val="12"/>
                <w:szCs w:val="12"/>
              </w:rPr>
            </w:pPr>
            <w:r w:rsidRPr="00483EBE">
              <w:rPr>
                <w:sz w:val="12"/>
                <w:szCs w:val="12"/>
              </w:rPr>
              <w:t>$1,057</w:t>
            </w:r>
          </w:p>
        </w:tc>
        <w:tc>
          <w:tcPr>
            <w:tcW w:w="0" w:type="auto"/>
            <w:tcBorders>
              <w:top w:val="nil"/>
              <w:left w:val="nil"/>
              <w:bottom w:val="single" w:sz="4" w:space="0" w:color="auto"/>
              <w:right w:val="single" w:sz="4" w:space="0" w:color="auto"/>
            </w:tcBorders>
            <w:shd w:val="clear" w:color="auto" w:fill="auto"/>
            <w:vAlign w:val="center"/>
            <w:hideMark/>
          </w:tcPr>
          <w:p w14:paraId="2CC130AD"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0A7527DB"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B86A93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81686B7"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633AC4E3"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60A03153" w14:textId="77777777" w:rsidR="00572995" w:rsidRPr="00483EBE" w:rsidRDefault="00572995" w:rsidP="00E8324D">
            <w:pPr>
              <w:pStyle w:val="Tablas"/>
              <w:rPr>
                <w:sz w:val="12"/>
                <w:szCs w:val="12"/>
              </w:rPr>
            </w:pPr>
            <w:r w:rsidRPr="00483EBE">
              <w:rPr>
                <w:sz w:val="12"/>
                <w:szCs w:val="12"/>
              </w:rPr>
              <w:t>$31,971</w:t>
            </w:r>
          </w:p>
        </w:tc>
        <w:tc>
          <w:tcPr>
            <w:tcW w:w="0" w:type="auto"/>
            <w:tcBorders>
              <w:top w:val="nil"/>
              <w:left w:val="nil"/>
              <w:bottom w:val="single" w:sz="4" w:space="0" w:color="auto"/>
              <w:right w:val="single" w:sz="4" w:space="0" w:color="auto"/>
            </w:tcBorders>
            <w:shd w:val="clear" w:color="auto" w:fill="auto"/>
            <w:vAlign w:val="center"/>
            <w:hideMark/>
          </w:tcPr>
          <w:p w14:paraId="7C911677" w14:textId="77777777" w:rsidR="00572995" w:rsidRPr="00483EBE" w:rsidRDefault="00572995" w:rsidP="00E8324D">
            <w:pPr>
              <w:pStyle w:val="Tablas"/>
              <w:rPr>
                <w:sz w:val="12"/>
                <w:szCs w:val="12"/>
              </w:rPr>
            </w:pPr>
            <w:r w:rsidRPr="00483EBE">
              <w:rPr>
                <w:sz w:val="12"/>
                <w:szCs w:val="12"/>
              </w:rPr>
              <w:t>$1,142</w:t>
            </w:r>
          </w:p>
        </w:tc>
        <w:tc>
          <w:tcPr>
            <w:tcW w:w="0" w:type="auto"/>
            <w:tcBorders>
              <w:top w:val="nil"/>
              <w:left w:val="nil"/>
              <w:bottom w:val="single" w:sz="4" w:space="0" w:color="auto"/>
              <w:right w:val="single" w:sz="4" w:space="0" w:color="auto"/>
            </w:tcBorders>
            <w:shd w:val="clear" w:color="auto" w:fill="auto"/>
            <w:vAlign w:val="center"/>
            <w:hideMark/>
          </w:tcPr>
          <w:p w14:paraId="6517C0D9"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5B4E3B24"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33FCD03" w14:textId="77777777" w:rsidR="00572995" w:rsidRPr="00483EBE" w:rsidRDefault="00572995" w:rsidP="00E8324D">
            <w:pPr>
              <w:pStyle w:val="Tablas"/>
              <w:rPr>
                <w:sz w:val="12"/>
                <w:szCs w:val="12"/>
              </w:rPr>
            </w:pPr>
            <w:r w:rsidRPr="00483EBE">
              <w:rPr>
                <w:sz w:val="12"/>
                <w:szCs w:val="12"/>
              </w:rPr>
              <w:t>SEBD</w:t>
            </w:r>
          </w:p>
        </w:tc>
      </w:tr>
      <w:tr w:rsidR="00572995" w:rsidRPr="00483EBE" w14:paraId="0304E59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3B54202" w14:textId="77777777" w:rsidR="00572995" w:rsidRPr="00483EBE" w:rsidRDefault="00572995" w:rsidP="00E8324D">
            <w:pPr>
              <w:pStyle w:val="Tablas"/>
              <w:rPr>
                <w:sz w:val="12"/>
                <w:szCs w:val="12"/>
              </w:rPr>
            </w:pPr>
            <w:r w:rsidRPr="00483EBE">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BB23D57"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FE7FAB0" w14:textId="77777777" w:rsidR="00572995" w:rsidRPr="00483EBE" w:rsidRDefault="00572995" w:rsidP="00E8324D">
            <w:pPr>
              <w:pStyle w:val="Tablas"/>
              <w:rPr>
                <w:sz w:val="12"/>
                <w:szCs w:val="12"/>
              </w:rPr>
            </w:pPr>
            <w:r w:rsidRPr="00483EBE">
              <w:rPr>
                <w:sz w:val="12"/>
                <w:szCs w:val="12"/>
              </w:rPr>
              <w:t>$2,355</w:t>
            </w:r>
          </w:p>
        </w:tc>
        <w:tc>
          <w:tcPr>
            <w:tcW w:w="0" w:type="auto"/>
            <w:tcBorders>
              <w:top w:val="nil"/>
              <w:left w:val="nil"/>
              <w:bottom w:val="single" w:sz="4" w:space="0" w:color="auto"/>
              <w:right w:val="single" w:sz="4" w:space="0" w:color="auto"/>
            </w:tcBorders>
            <w:shd w:val="clear" w:color="auto" w:fill="auto"/>
            <w:vAlign w:val="center"/>
            <w:hideMark/>
          </w:tcPr>
          <w:p w14:paraId="418901BD" w14:textId="77777777" w:rsidR="00572995" w:rsidRPr="00483EBE" w:rsidRDefault="00572995" w:rsidP="00E8324D">
            <w:pPr>
              <w:pStyle w:val="Tablas"/>
              <w:rPr>
                <w:sz w:val="12"/>
                <w:szCs w:val="12"/>
              </w:rPr>
            </w:pPr>
            <w:r w:rsidRPr="00483EBE">
              <w:rPr>
                <w:sz w:val="12"/>
                <w:szCs w:val="12"/>
              </w:rPr>
              <w:t>$1,178</w:t>
            </w:r>
          </w:p>
        </w:tc>
        <w:tc>
          <w:tcPr>
            <w:tcW w:w="0" w:type="auto"/>
            <w:tcBorders>
              <w:top w:val="nil"/>
              <w:left w:val="nil"/>
              <w:bottom w:val="single" w:sz="4" w:space="0" w:color="auto"/>
              <w:right w:val="single" w:sz="4" w:space="0" w:color="auto"/>
            </w:tcBorders>
            <w:shd w:val="clear" w:color="auto" w:fill="auto"/>
            <w:vAlign w:val="center"/>
            <w:hideMark/>
          </w:tcPr>
          <w:p w14:paraId="4014744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6BBE49C5"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7E20F35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12341DE"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50A2BA96"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0DDCFDA3" w14:textId="77777777" w:rsidR="00572995" w:rsidRPr="00483EBE" w:rsidRDefault="00572995" w:rsidP="00E8324D">
            <w:pPr>
              <w:pStyle w:val="Tablas"/>
              <w:rPr>
                <w:sz w:val="12"/>
                <w:szCs w:val="12"/>
              </w:rPr>
            </w:pPr>
            <w:r w:rsidRPr="00483EBE">
              <w:rPr>
                <w:sz w:val="12"/>
                <w:szCs w:val="12"/>
              </w:rPr>
              <w:t>$35,347</w:t>
            </w:r>
          </w:p>
        </w:tc>
        <w:tc>
          <w:tcPr>
            <w:tcW w:w="0" w:type="auto"/>
            <w:tcBorders>
              <w:top w:val="nil"/>
              <w:left w:val="nil"/>
              <w:bottom w:val="single" w:sz="4" w:space="0" w:color="auto"/>
              <w:right w:val="single" w:sz="4" w:space="0" w:color="auto"/>
            </w:tcBorders>
            <w:shd w:val="clear" w:color="auto" w:fill="auto"/>
            <w:vAlign w:val="center"/>
            <w:hideMark/>
          </w:tcPr>
          <w:p w14:paraId="71FB1454" w14:textId="77777777" w:rsidR="00572995" w:rsidRPr="00483EBE" w:rsidRDefault="00572995" w:rsidP="00E8324D">
            <w:pPr>
              <w:pStyle w:val="Tablas"/>
              <w:rPr>
                <w:sz w:val="12"/>
                <w:szCs w:val="12"/>
              </w:rPr>
            </w:pPr>
            <w:r w:rsidRPr="00483EBE">
              <w:rPr>
                <w:sz w:val="12"/>
                <w:szCs w:val="12"/>
              </w:rPr>
              <w:t>$1,359</w:t>
            </w:r>
          </w:p>
        </w:tc>
        <w:tc>
          <w:tcPr>
            <w:tcW w:w="0" w:type="auto"/>
            <w:tcBorders>
              <w:top w:val="nil"/>
              <w:left w:val="nil"/>
              <w:bottom w:val="single" w:sz="4" w:space="0" w:color="auto"/>
              <w:right w:val="single" w:sz="4" w:space="0" w:color="auto"/>
            </w:tcBorders>
            <w:shd w:val="clear" w:color="auto" w:fill="auto"/>
            <w:vAlign w:val="center"/>
            <w:hideMark/>
          </w:tcPr>
          <w:p w14:paraId="4847CA9C"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05349253"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CDE30D9" w14:textId="77777777" w:rsidR="00572995" w:rsidRPr="00483EBE" w:rsidRDefault="00572995" w:rsidP="00E8324D">
            <w:pPr>
              <w:pStyle w:val="Tablas"/>
              <w:rPr>
                <w:sz w:val="12"/>
                <w:szCs w:val="12"/>
              </w:rPr>
            </w:pPr>
            <w:r w:rsidRPr="00483EBE">
              <w:rPr>
                <w:sz w:val="12"/>
                <w:szCs w:val="12"/>
              </w:rPr>
              <w:t>SEBD</w:t>
            </w:r>
          </w:p>
        </w:tc>
      </w:tr>
      <w:tr w:rsidR="00572995" w:rsidRPr="00483EBE" w14:paraId="7F33C2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DE90694" w14:textId="77777777" w:rsidR="00572995" w:rsidRPr="00483EBE" w:rsidRDefault="00572995" w:rsidP="00E8324D">
            <w:pPr>
              <w:pStyle w:val="Tablas"/>
              <w:rPr>
                <w:sz w:val="12"/>
                <w:szCs w:val="12"/>
              </w:rPr>
            </w:pPr>
            <w:r w:rsidRPr="00483EBE">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1FAE6078"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7FB79A01" w14:textId="77777777" w:rsidR="00572995" w:rsidRPr="00483EBE" w:rsidRDefault="00572995" w:rsidP="00E8324D">
            <w:pPr>
              <w:pStyle w:val="Tablas"/>
              <w:rPr>
                <w:sz w:val="12"/>
                <w:szCs w:val="12"/>
              </w:rPr>
            </w:pPr>
            <w:r w:rsidRPr="00483EBE">
              <w:rPr>
                <w:sz w:val="12"/>
                <w:szCs w:val="12"/>
              </w:rPr>
              <w:t>$28,070</w:t>
            </w:r>
          </w:p>
        </w:tc>
        <w:tc>
          <w:tcPr>
            <w:tcW w:w="0" w:type="auto"/>
            <w:tcBorders>
              <w:top w:val="nil"/>
              <w:left w:val="nil"/>
              <w:bottom w:val="single" w:sz="4" w:space="0" w:color="auto"/>
              <w:right w:val="single" w:sz="4" w:space="0" w:color="auto"/>
            </w:tcBorders>
            <w:shd w:val="clear" w:color="auto" w:fill="auto"/>
            <w:vAlign w:val="center"/>
            <w:hideMark/>
          </w:tcPr>
          <w:p w14:paraId="419C2454" w14:textId="77777777" w:rsidR="00572995" w:rsidRPr="00483EBE" w:rsidRDefault="00572995" w:rsidP="00E8324D">
            <w:pPr>
              <w:pStyle w:val="Tablas"/>
              <w:rPr>
                <w:sz w:val="12"/>
                <w:szCs w:val="12"/>
              </w:rPr>
            </w:pPr>
            <w:r w:rsidRPr="00483EBE">
              <w:rPr>
                <w:sz w:val="12"/>
                <w:szCs w:val="12"/>
              </w:rPr>
              <w:t>$1,276</w:t>
            </w:r>
          </w:p>
        </w:tc>
        <w:tc>
          <w:tcPr>
            <w:tcW w:w="0" w:type="auto"/>
            <w:tcBorders>
              <w:top w:val="nil"/>
              <w:left w:val="nil"/>
              <w:bottom w:val="single" w:sz="4" w:space="0" w:color="auto"/>
              <w:right w:val="single" w:sz="4" w:space="0" w:color="auto"/>
            </w:tcBorders>
            <w:shd w:val="clear" w:color="auto" w:fill="auto"/>
            <w:vAlign w:val="center"/>
            <w:hideMark/>
          </w:tcPr>
          <w:p w14:paraId="1E2A900C"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61E4D48E"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22BB2E4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EAC903"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272E378E"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331616A9" w14:textId="77777777" w:rsidR="00572995" w:rsidRPr="00483EBE" w:rsidRDefault="00572995" w:rsidP="00E8324D">
            <w:pPr>
              <w:pStyle w:val="Tablas"/>
              <w:rPr>
                <w:sz w:val="12"/>
                <w:szCs w:val="12"/>
              </w:rPr>
            </w:pPr>
            <w:r w:rsidRPr="00483EBE">
              <w:rPr>
                <w:sz w:val="12"/>
                <w:szCs w:val="12"/>
              </w:rPr>
              <w:t>$45,812</w:t>
            </w:r>
          </w:p>
        </w:tc>
        <w:tc>
          <w:tcPr>
            <w:tcW w:w="0" w:type="auto"/>
            <w:tcBorders>
              <w:top w:val="nil"/>
              <w:left w:val="nil"/>
              <w:bottom w:val="single" w:sz="4" w:space="0" w:color="auto"/>
              <w:right w:val="single" w:sz="4" w:space="0" w:color="auto"/>
            </w:tcBorders>
            <w:shd w:val="clear" w:color="auto" w:fill="auto"/>
            <w:vAlign w:val="center"/>
            <w:hideMark/>
          </w:tcPr>
          <w:p w14:paraId="7170143A" w14:textId="77777777" w:rsidR="00572995" w:rsidRPr="00483EBE" w:rsidRDefault="00572995" w:rsidP="00E8324D">
            <w:pPr>
              <w:pStyle w:val="Tablas"/>
              <w:rPr>
                <w:sz w:val="12"/>
                <w:szCs w:val="12"/>
              </w:rPr>
            </w:pPr>
            <w:r w:rsidRPr="00483EBE">
              <w:rPr>
                <w:sz w:val="12"/>
                <w:szCs w:val="12"/>
              </w:rPr>
              <w:t>$1,347</w:t>
            </w:r>
          </w:p>
        </w:tc>
        <w:tc>
          <w:tcPr>
            <w:tcW w:w="0" w:type="auto"/>
            <w:tcBorders>
              <w:top w:val="nil"/>
              <w:left w:val="nil"/>
              <w:bottom w:val="single" w:sz="4" w:space="0" w:color="auto"/>
              <w:right w:val="single" w:sz="4" w:space="0" w:color="auto"/>
            </w:tcBorders>
            <w:shd w:val="clear" w:color="auto" w:fill="auto"/>
            <w:vAlign w:val="center"/>
            <w:hideMark/>
          </w:tcPr>
          <w:p w14:paraId="73C4F62B" w14:textId="77777777" w:rsidR="00572995" w:rsidRPr="00483EBE" w:rsidRDefault="00572995" w:rsidP="00E8324D">
            <w:pPr>
              <w:pStyle w:val="Tablas"/>
              <w:rPr>
                <w:sz w:val="12"/>
                <w:szCs w:val="12"/>
              </w:rPr>
            </w:pPr>
            <w:r w:rsidRPr="00483EBE">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6624CE9F"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D17A578" w14:textId="77777777" w:rsidR="00572995" w:rsidRPr="00483EBE" w:rsidRDefault="00572995" w:rsidP="00E8324D">
            <w:pPr>
              <w:pStyle w:val="Tablas"/>
              <w:rPr>
                <w:sz w:val="12"/>
                <w:szCs w:val="12"/>
              </w:rPr>
            </w:pPr>
            <w:r w:rsidRPr="00483EBE">
              <w:rPr>
                <w:sz w:val="12"/>
                <w:szCs w:val="12"/>
              </w:rPr>
              <w:t>SEBD</w:t>
            </w:r>
          </w:p>
        </w:tc>
      </w:tr>
      <w:tr w:rsidR="00572995" w:rsidRPr="00483EBE" w14:paraId="11AEF1A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AC895D" w14:textId="77777777" w:rsidR="00572995" w:rsidRPr="00483EBE" w:rsidRDefault="00572995" w:rsidP="00E8324D">
            <w:pPr>
              <w:pStyle w:val="Tablas"/>
              <w:rPr>
                <w:sz w:val="12"/>
                <w:szCs w:val="12"/>
              </w:rPr>
            </w:pPr>
            <w:r w:rsidRPr="00483EBE">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191EB956"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4AB8D828" w14:textId="77777777" w:rsidR="00572995" w:rsidRPr="00483EBE" w:rsidRDefault="00572995" w:rsidP="00E8324D">
            <w:pPr>
              <w:pStyle w:val="Tablas"/>
              <w:rPr>
                <w:sz w:val="12"/>
                <w:szCs w:val="12"/>
              </w:rPr>
            </w:pPr>
            <w:r w:rsidRPr="00483EBE">
              <w:rPr>
                <w:sz w:val="12"/>
                <w:szCs w:val="12"/>
              </w:rPr>
              <w:t>$25,988</w:t>
            </w:r>
          </w:p>
        </w:tc>
        <w:tc>
          <w:tcPr>
            <w:tcW w:w="0" w:type="auto"/>
            <w:tcBorders>
              <w:top w:val="nil"/>
              <w:left w:val="nil"/>
              <w:bottom w:val="single" w:sz="4" w:space="0" w:color="auto"/>
              <w:right w:val="single" w:sz="4" w:space="0" w:color="auto"/>
            </w:tcBorders>
            <w:shd w:val="clear" w:color="auto" w:fill="auto"/>
            <w:vAlign w:val="center"/>
            <w:hideMark/>
          </w:tcPr>
          <w:p w14:paraId="30494E0C" w14:textId="77777777" w:rsidR="00572995" w:rsidRPr="00483EBE" w:rsidRDefault="00572995" w:rsidP="00E8324D">
            <w:pPr>
              <w:pStyle w:val="Tablas"/>
              <w:rPr>
                <w:sz w:val="12"/>
                <w:szCs w:val="12"/>
              </w:rPr>
            </w:pPr>
            <w:r w:rsidRPr="00483EBE">
              <w:rPr>
                <w:sz w:val="12"/>
                <w:szCs w:val="12"/>
              </w:rPr>
              <w:t>$1,083</w:t>
            </w:r>
          </w:p>
        </w:tc>
        <w:tc>
          <w:tcPr>
            <w:tcW w:w="0" w:type="auto"/>
            <w:tcBorders>
              <w:top w:val="nil"/>
              <w:left w:val="nil"/>
              <w:bottom w:val="single" w:sz="4" w:space="0" w:color="auto"/>
              <w:right w:val="single" w:sz="4" w:space="0" w:color="auto"/>
            </w:tcBorders>
            <w:shd w:val="clear" w:color="auto" w:fill="auto"/>
            <w:vAlign w:val="center"/>
            <w:hideMark/>
          </w:tcPr>
          <w:p w14:paraId="07440232"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714F7DA"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A754F2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6B10D1"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637106DA"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0220CCBD" w14:textId="77777777" w:rsidR="00572995" w:rsidRPr="00483EBE" w:rsidRDefault="00572995" w:rsidP="00E8324D">
            <w:pPr>
              <w:pStyle w:val="Tablas"/>
              <w:rPr>
                <w:sz w:val="12"/>
                <w:szCs w:val="12"/>
              </w:rPr>
            </w:pPr>
            <w:r w:rsidRPr="00483EBE">
              <w:rPr>
                <w:sz w:val="12"/>
                <w:szCs w:val="12"/>
              </w:rPr>
              <w:t>$39,472</w:t>
            </w:r>
          </w:p>
        </w:tc>
        <w:tc>
          <w:tcPr>
            <w:tcW w:w="0" w:type="auto"/>
            <w:tcBorders>
              <w:top w:val="nil"/>
              <w:left w:val="nil"/>
              <w:bottom w:val="single" w:sz="4" w:space="0" w:color="auto"/>
              <w:right w:val="single" w:sz="4" w:space="0" w:color="auto"/>
            </w:tcBorders>
            <w:shd w:val="clear" w:color="auto" w:fill="auto"/>
            <w:vAlign w:val="center"/>
            <w:hideMark/>
          </w:tcPr>
          <w:p w14:paraId="3F5B2595" w14:textId="77777777" w:rsidR="00572995" w:rsidRPr="00483EBE" w:rsidRDefault="00572995" w:rsidP="00E8324D">
            <w:pPr>
              <w:pStyle w:val="Tablas"/>
              <w:rPr>
                <w:sz w:val="12"/>
                <w:szCs w:val="12"/>
              </w:rPr>
            </w:pPr>
            <w:r w:rsidRPr="00483EBE">
              <w:rPr>
                <w:sz w:val="12"/>
                <w:szCs w:val="12"/>
              </w:rPr>
              <w:t>$1,067</w:t>
            </w:r>
          </w:p>
        </w:tc>
        <w:tc>
          <w:tcPr>
            <w:tcW w:w="0" w:type="auto"/>
            <w:tcBorders>
              <w:top w:val="nil"/>
              <w:left w:val="nil"/>
              <w:bottom w:val="single" w:sz="4" w:space="0" w:color="auto"/>
              <w:right w:val="single" w:sz="4" w:space="0" w:color="auto"/>
            </w:tcBorders>
            <w:shd w:val="clear" w:color="auto" w:fill="auto"/>
            <w:vAlign w:val="center"/>
            <w:hideMark/>
          </w:tcPr>
          <w:p w14:paraId="26BDA471"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45A4F54"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7A21FE9" w14:textId="77777777" w:rsidR="00572995" w:rsidRPr="00483EBE" w:rsidRDefault="00572995" w:rsidP="00E8324D">
            <w:pPr>
              <w:pStyle w:val="Tablas"/>
              <w:rPr>
                <w:sz w:val="12"/>
                <w:szCs w:val="12"/>
              </w:rPr>
            </w:pPr>
            <w:r w:rsidRPr="00483EBE">
              <w:rPr>
                <w:sz w:val="12"/>
                <w:szCs w:val="12"/>
              </w:rPr>
              <w:t>SEBD</w:t>
            </w:r>
          </w:p>
        </w:tc>
      </w:tr>
      <w:tr w:rsidR="00572995" w:rsidRPr="00483EBE" w14:paraId="0669C36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7A7759" w14:textId="77777777" w:rsidR="00572995" w:rsidRPr="00483EBE" w:rsidRDefault="00572995" w:rsidP="00E8324D">
            <w:pPr>
              <w:pStyle w:val="Tablas"/>
              <w:rPr>
                <w:sz w:val="12"/>
                <w:szCs w:val="12"/>
              </w:rPr>
            </w:pPr>
            <w:r w:rsidRPr="00483EBE">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18419B0E"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27E6162B" w14:textId="77777777" w:rsidR="00572995" w:rsidRPr="00483EBE" w:rsidRDefault="00572995" w:rsidP="00E8324D">
            <w:pPr>
              <w:pStyle w:val="Tablas"/>
              <w:rPr>
                <w:sz w:val="12"/>
                <w:szCs w:val="12"/>
              </w:rPr>
            </w:pPr>
            <w:r w:rsidRPr="00483EBE">
              <w:rPr>
                <w:sz w:val="12"/>
                <w:szCs w:val="12"/>
              </w:rPr>
              <w:t>$37,489</w:t>
            </w:r>
          </w:p>
        </w:tc>
        <w:tc>
          <w:tcPr>
            <w:tcW w:w="0" w:type="auto"/>
            <w:tcBorders>
              <w:top w:val="nil"/>
              <w:left w:val="nil"/>
              <w:bottom w:val="single" w:sz="4" w:space="0" w:color="auto"/>
              <w:right w:val="single" w:sz="4" w:space="0" w:color="auto"/>
            </w:tcBorders>
            <w:shd w:val="clear" w:color="auto" w:fill="auto"/>
            <w:vAlign w:val="center"/>
            <w:hideMark/>
          </w:tcPr>
          <w:p w14:paraId="40ED3E4C" w14:textId="77777777" w:rsidR="00572995" w:rsidRPr="00483EBE" w:rsidRDefault="00572995" w:rsidP="00E8324D">
            <w:pPr>
              <w:pStyle w:val="Tablas"/>
              <w:rPr>
                <w:sz w:val="12"/>
                <w:szCs w:val="12"/>
              </w:rPr>
            </w:pPr>
            <w:r w:rsidRPr="00483EBE">
              <w:rPr>
                <w:sz w:val="12"/>
                <w:szCs w:val="12"/>
              </w:rPr>
              <w:t>$1,136</w:t>
            </w:r>
          </w:p>
        </w:tc>
        <w:tc>
          <w:tcPr>
            <w:tcW w:w="0" w:type="auto"/>
            <w:tcBorders>
              <w:top w:val="nil"/>
              <w:left w:val="nil"/>
              <w:bottom w:val="single" w:sz="4" w:space="0" w:color="auto"/>
              <w:right w:val="single" w:sz="4" w:space="0" w:color="auto"/>
            </w:tcBorders>
            <w:shd w:val="clear" w:color="auto" w:fill="auto"/>
            <w:vAlign w:val="center"/>
            <w:hideMark/>
          </w:tcPr>
          <w:p w14:paraId="687BB8CE"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6D6DB6D0"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250B2CB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BE6821"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7BAD8E0E"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4C2FA7A5" w14:textId="77777777" w:rsidR="00572995" w:rsidRPr="00483EBE" w:rsidRDefault="00572995" w:rsidP="00E8324D">
            <w:pPr>
              <w:pStyle w:val="Tablas"/>
              <w:rPr>
                <w:sz w:val="12"/>
                <w:szCs w:val="12"/>
              </w:rPr>
            </w:pPr>
            <w:r w:rsidRPr="00483EBE">
              <w:rPr>
                <w:sz w:val="12"/>
                <w:szCs w:val="12"/>
              </w:rPr>
              <w:t>$34,170</w:t>
            </w:r>
          </w:p>
        </w:tc>
        <w:tc>
          <w:tcPr>
            <w:tcW w:w="0" w:type="auto"/>
            <w:tcBorders>
              <w:top w:val="nil"/>
              <w:left w:val="nil"/>
              <w:bottom w:val="single" w:sz="4" w:space="0" w:color="auto"/>
              <w:right w:val="single" w:sz="4" w:space="0" w:color="auto"/>
            </w:tcBorders>
            <w:shd w:val="clear" w:color="auto" w:fill="auto"/>
            <w:vAlign w:val="center"/>
            <w:hideMark/>
          </w:tcPr>
          <w:p w14:paraId="5B3F48D2" w14:textId="77777777" w:rsidR="00572995" w:rsidRPr="00483EBE" w:rsidRDefault="00572995" w:rsidP="00E8324D">
            <w:pPr>
              <w:pStyle w:val="Tablas"/>
              <w:rPr>
                <w:sz w:val="12"/>
                <w:szCs w:val="12"/>
              </w:rPr>
            </w:pPr>
            <w:r w:rsidRPr="00483EBE">
              <w:rPr>
                <w:sz w:val="12"/>
                <w:szCs w:val="12"/>
              </w:rPr>
              <w:t>$1,139</w:t>
            </w:r>
          </w:p>
        </w:tc>
        <w:tc>
          <w:tcPr>
            <w:tcW w:w="0" w:type="auto"/>
            <w:tcBorders>
              <w:top w:val="nil"/>
              <w:left w:val="nil"/>
              <w:bottom w:val="single" w:sz="4" w:space="0" w:color="auto"/>
              <w:right w:val="single" w:sz="4" w:space="0" w:color="auto"/>
            </w:tcBorders>
            <w:shd w:val="clear" w:color="auto" w:fill="auto"/>
            <w:vAlign w:val="center"/>
            <w:hideMark/>
          </w:tcPr>
          <w:p w14:paraId="25D97F00"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3E9ED42"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03FB0AD" w14:textId="77777777" w:rsidR="00572995" w:rsidRPr="00483EBE" w:rsidRDefault="00572995" w:rsidP="00E8324D">
            <w:pPr>
              <w:pStyle w:val="Tablas"/>
              <w:rPr>
                <w:sz w:val="12"/>
                <w:szCs w:val="12"/>
              </w:rPr>
            </w:pPr>
            <w:r w:rsidRPr="00483EBE">
              <w:rPr>
                <w:sz w:val="12"/>
                <w:szCs w:val="12"/>
              </w:rPr>
              <w:t>SEBD</w:t>
            </w:r>
          </w:p>
        </w:tc>
      </w:tr>
      <w:tr w:rsidR="00572995" w:rsidRPr="00483EBE" w14:paraId="4F77EE4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27AF9A0" w14:textId="77777777" w:rsidR="00572995" w:rsidRPr="00483EBE" w:rsidRDefault="00572995" w:rsidP="00E8324D">
            <w:pPr>
              <w:pStyle w:val="Tablas"/>
              <w:rPr>
                <w:sz w:val="12"/>
                <w:szCs w:val="12"/>
              </w:rPr>
            </w:pPr>
            <w:r w:rsidRPr="00483EBE">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62C73E79" w14:textId="77777777" w:rsidR="00572995" w:rsidRPr="00483EBE" w:rsidRDefault="00572995" w:rsidP="00E8324D">
            <w:pPr>
              <w:pStyle w:val="Tablas"/>
              <w:rPr>
                <w:sz w:val="12"/>
                <w:szCs w:val="12"/>
              </w:rPr>
            </w:pPr>
            <w:r w:rsidRPr="00483EBE">
              <w:rPr>
                <w:sz w:val="12"/>
                <w:szCs w:val="12"/>
              </w:rPr>
              <w:t xml:space="preserve">48 </w:t>
            </w:r>
          </w:p>
        </w:tc>
        <w:tc>
          <w:tcPr>
            <w:tcW w:w="0" w:type="auto"/>
            <w:tcBorders>
              <w:top w:val="nil"/>
              <w:left w:val="nil"/>
              <w:bottom w:val="single" w:sz="4" w:space="0" w:color="auto"/>
              <w:right w:val="single" w:sz="4" w:space="0" w:color="auto"/>
            </w:tcBorders>
            <w:shd w:val="clear" w:color="auto" w:fill="auto"/>
            <w:vAlign w:val="center"/>
            <w:hideMark/>
          </w:tcPr>
          <w:p w14:paraId="10B48F83" w14:textId="77777777" w:rsidR="00572995" w:rsidRPr="00483EBE" w:rsidRDefault="00572995" w:rsidP="00E8324D">
            <w:pPr>
              <w:pStyle w:val="Tablas"/>
              <w:rPr>
                <w:sz w:val="12"/>
                <w:szCs w:val="12"/>
              </w:rPr>
            </w:pPr>
            <w:r w:rsidRPr="00483EBE">
              <w:rPr>
                <w:sz w:val="12"/>
                <w:szCs w:val="12"/>
              </w:rPr>
              <w:t>$61,894</w:t>
            </w:r>
          </w:p>
        </w:tc>
        <w:tc>
          <w:tcPr>
            <w:tcW w:w="0" w:type="auto"/>
            <w:tcBorders>
              <w:top w:val="nil"/>
              <w:left w:val="nil"/>
              <w:bottom w:val="single" w:sz="4" w:space="0" w:color="auto"/>
              <w:right w:val="single" w:sz="4" w:space="0" w:color="auto"/>
            </w:tcBorders>
            <w:shd w:val="clear" w:color="auto" w:fill="auto"/>
            <w:vAlign w:val="center"/>
            <w:hideMark/>
          </w:tcPr>
          <w:p w14:paraId="79F2491D" w14:textId="77777777" w:rsidR="00572995" w:rsidRPr="00483EBE" w:rsidRDefault="00572995" w:rsidP="00E8324D">
            <w:pPr>
              <w:pStyle w:val="Tablas"/>
              <w:rPr>
                <w:sz w:val="12"/>
                <w:szCs w:val="12"/>
              </w:rPr>
            </w:pPr>
            <w:r w:rsidRPr="00483EBE">
              <w:rPr>
                <w:sz w:val="12"/>
                <w:szCs w:val="12"/>
              </w:rPr>
              <w:t>$1,289</w:t>
            </w:r>
          </w:p>
        </w:tc>
        <w:tc>
          <w:tcPr>
            <w:tcW w:w="0" w:type="auto"/>
            <w:tcBorders>
              <w:top w:val="nil"/>
              <w:left w:val="nil"/>
              <w:bottom w:val="single" w:sz="4" w:space="0" w:color="auto"/>
              <w:right w:val="single" w:sz="4" w:space="0" w:color="auto"/>
            </w:tcBorders>
            <w:shd w:val="clear" w:color="auto" w:fill="auto"/>
            <w:vAlign w:val="center"/>
            <w:hideMark/>
          </w:tcPr>
          <w:p w14:paraId="5EEBC409"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15CC79B2"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60654EC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8BC2BF"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71BAD16E"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27016412" w14:textId="77777777" w:rsidR="00572995" w:rsidRPr="00483EBE" w:rsidRDefault="00572995" w:rsidP="00E8324D">
            <w:pPr>
              <w:pStyle w:val="Tablas"/>
              <w:rPr>
                <w:sz w:val="12"/>
                <w:szCs w:val="12"/>
              </w:rPr>
            </w:pPr>
            <w:r w:rsidRPr="00483EBE">
              <w:rPr>
                <w:sz w:val="12"/>
                <w:szCs w:val="12"/>
              </w:rPr>
              <w:t>$40,147</w:t>
            </w:r>
          </w:p>
        </w:tc>
        <w:tc>
          <w:tcPr>
            <w:tcW w:w="0" w:type="auto"/>
            <w:tcBorders>
              <w:top w:val="nil"/>
              <w:left w:val="nil"/>
              <w:bottom w:val="single" w:sz="4" w:space="0" w:color="auto"/>
              <w:right w:val="single" w:sz="4" w:space="0" w:color="auto"/>
            </w:tcBorders>
            <w:shd w:val="clear" w:color="auto" w:fill="auto"/>
            <w:vAlign w:val="center"/>
            <w:hideMark/>
          </w:tcPr>
          <w:p w14:paraId="7B68CACC" w14:textId="77777777" w:rsidR="00572995" w:rsidRPr="00483EBE" w:rsidRDefault="00572995" w:rsidP="00E8324D">
            <w:pPr>
              <w:pStyle w:val="Tablas"/>
              <w:rPr>
                <w:sz w:val="12"/>
                <w:szCs w:val="12"/>
              </w:rPr>
            </w:pPr>
            <w:r w:rsidRPr="00483EBE">
              <w:rPr>
                <w:sz w:val="12"/>
                <w:szCs w:val="12"/>
              </w:rPr>
              <w:t>$1,181</w:t>
            </w:r>
          </w:p>
        </w:tc>
        <w:tc>
          <w:tcPr>
            <w:tcW w:w="0" w:type="auto"/>
            <w:tcBorders>
              <w:top w:val="nil"/>
              <w:left w:val="nil"/>
              <w:bottom w:val="single" w:sz="4" w:space="0" w:color="auto"/>
              <w:right w:val="single" w:sz="4" w:space="0" w:color="auto"/>
            </w:tcBorders>
            <w:shd w:val="clear" w:color="auto" w:fill="auto"/>
            <w:vAlign w:val="center"/>
            <w:hideMark/>
          </w:tcPr>
          <w:p w14:paraId="7E38E027"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66FC35AC"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4A3EAE9" w14:textId="77777777" w:rsidR="00572995" w:rsidRPr="00483EBE" w:rsidRDefault="00572995" w:rsidP="00E8324D">
            <w:pPr>
              <w:pStyle w:val="Tablas"/>
              <w:rPr>
                <w:sz w:val="12"/>
                <w:szCs w:val="12"/>
              </w:rPr>
            </w:pPr>
            <w:r w:rsidRPr="00483EBE">
              <w:rPr>
                <w:sz w:val="12"/>
                <w:szCs w:val="12"/>
              </w:rPr>
              <w:t>SEBD</w:t>
            </w:r>
          </w:p>
        </w:tc>
      </w:tr>
      <w:tr w:rsidR="00572995" w:rsidRPr="00483EBE" w14:paraId="6E01CCE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6FCB032" w14:textId="77777777" w:rsidR="00572995" w:rsidRPr="00483EBE" w:rsidRDefault="00572995" w:rsidP="00E8324D">
            <w:pPr>
              <w:pStyle w:val="Tablas"/>
              <w:rPr>
                <w:sz w:val="12"/>
                <w:szCs w:val="12"/>
              </w:rPr>
            </w:pPr>
            <w:r w:rsidRPr="00483EBE">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670053EA" w14:textId="77777777" w:rsidR="00572995" w:rsidRPr="00483EBE" w:rsidRDefault="00572995" w:rsidP="00E8324D">
            <w:pPr>
              <w:pStyle w:val="Tablas"/>
              <w:rPr>
                <w:sz w:val="12"/>
                <w:szCs w:val="12"/>
              </w:rPr>
            </w:pPr>
            <w:r w:rsidRPr="00483EBE">
              <w:rPr>
                <w:sz w:val="12"/>
                <w:szCs w:val="12"/>
              </w:rPr>
              <w:t xml:space="preserve">73 </w:t>
            </w:r>
          </w:p>
        </w:tc>
        <w:tc>
          <w:tcPr>
            <w:tcW w:w="0" w:type="auto"/>
            <w:tcBorders>
              <w:top w:val="nil"/>
              <w:left w:val="nil"/>
              <w:bottom w:val="single" w:sz="4" w:space="0" w:color="auto"/>
              <w:right w:val="single" w:sz="4" w:space="0" w:color="auto"/>
            </w:tcBorders>
            <w:shd w:val="clear" w:color="auto" w:fill="auto"/>
            <w:vAlign w:val="center"/>
            <w:hideMark/>
          </w:tcPr>
          <w:p w14:paraId="12A02B7A" w14:textId="77777777" w:rsidR="00572995" w:rsidRPr="00483EBE" w:rsidRDefault="00572995" w:rsidP="00E8324D">
            <w:pPr>
              <w:pStyle w:val="Tablas"/>
              <w:rPr>
                <w:sz w:val="12"/>
                <w:szCs w:val="12"/>
              </w:rPr>
            </w:pPr>
            <w:r w:rsidRPr="00483EBE">
              <w:rPr>
                <w:sz w:val="12"/>
                <w:szCs w:val="12"/>
              </w:rPr>
              <w:t>$80,931</w:t>
            </w:r>
          </w:p>
        </w:tc>
        <w:tc>
          <w:tcPr>
            <w:tcW w:w="0" w:type="auto"/>
            <w:tcBorders>
              <w:top w:val="nil"/>
              <w:left w:val="nil"/>
              <w:bottom w:val="single" w:sz="4" w:space="0" w:color="auto"/>
              <w:right w:val="single" w:sz="4" w:space="0" w:color="auto"/>
            </w:tcBorders>
            <w:shd w:val="clear" w:color="auto" w:fill="auto"/>
            <w:vAlign w:val="center"/>
            <w:hideMark/>
          </w:tcPr>
          <w:p w14:paraId="25B09747" w14:textId="77777777" w:rsidR="00572995" w:rsidRPr="00483EBE" w:rsidRDefault="00572995" w:rsidP="00E8324D">
            <w:pPr>
              <w:pStyle w:val="Tablas"/>
              <w:rPr>
                <w:sz w:val="12"/>
                <w:szCs w:val="12"/>
              </w:rPr>
            </w:pPr>
            <w:r w:rsidRPr="00483EBE">
              <w:rPr>
                <w:sz w:val="12"/>
                <w:szCs w:val="12"/>
              </w:rPr>
              <w:t>$1,109</w:t>
            </w:r>
          </w:p>
        </w:tc>
        <w:tc>
          <w:tcPr>
            <w:tcW w:w="0" w:type="auto"/>
            <w:tcBorders>
              <w:top w:val="nil"/>
              <w:left w:val="nil"/>
              <w:bottom w:val="single" w:sz="4" w:space="0" w:color="auto"/>
              <w:right w:val="single" w:sz="4" w:space="0" w:color="auto"/>
            </w:tcBorders>
            <w:shd w:val="clear" w:color="auto" w:fill="auto"/>
            <w:vAlign w:val="center"/>
            <w:hideMark/>
          </w:tcPr>
          <w:p w14:paraId="02A83BDD"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0B0D4230"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16B0E80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BC34FE6"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2EDCE796" w14:textId="77777777" w:rsidR="00572995" w:rsidRPr="00483EBE" w:rsidRDefault="00572995" w:rsidP="00E8324D">
            <w:pPr>
              <w:pStyle w:val="Tablas"/>
              <w:rPr>
                <w:sz w:val="12"/>
                <w:szCs w:val="12"/>
              </w:rPr>
            </w:pPr>
            <w:r w:rsidRPr="00483EBE">
              <w:rPr>
                <w:sz w:val="12"/>
                <w:szCs w:val="12"/>
              </w:rPr>
              <w:t xml:space="preserve">45 </w:t>
            </w:r>
          </w:p>
        </w:tc>
        <w:tc>
          <w:tcPr>
            <w:tcW w:w="0" w:type="auto"/>
            <w:tcBorders>
              <w:top w:val="nil"/>
              <w:left w:val="nil"/>
              <w:bottom w:val="single" w:sz="4" w:space="0" w:color="auto"/>
              <w:right w:val="single" w:sz="4" w:space="0" w:color="auto"/>
            </w:tcBorders>
            <w:shd w:val="clear" w:color="auto" w:fill="auto"/>
            <w:vAlign w:val="center"/>
            <w:hideMark/>
          </w:tcPr>
          <w:p w14:paraId="6BAD2A16" w14:textId="77777777" w:rsidR="00572995" w:rsidRPr="00483EBE" w:rsidRDefault="00572995" w:rsidP="00E8324D">
            <w:pPr>
              <w:pStyle w:val="Tablas"/>
              <w:rPr>
                <w:sz w:val="12"/>
                <w:szCs w:val="12"/>
              </w:rPr>
            </w:pPr>
            <w:r w:rsidRPr="00483EBE">
              <w:rPr>
                <w:sz w:val="12"/>
                <w:szCs w:val="12"/>
              </w:rPr>
              <w:t>$61,947</w:t>
            </w:r>
          </w:p>
        </w:tc>
        <w:tc>
          <w:tcPr>
            <w:tcW w:w="0" w:type="auto"/>
            <w:tcBorders>
              <w:top w:val="nil"/>
              <w:left w:val="nil"/>
              <w:bottom w:val="single" w:sz="4" w:space="0" w:color="auto"/>
              <w:right w:val="single" w:sz="4" w:space="0" w:color="auto"/>
            </w:tcBorders>
            <w:shd w:val="clear" w:color="auto" w:fill="auto"/>
            <w:vAlign w:val="center"/>
            <w:hideMark/>
          </w:tcPr>
          <w:p w14:paraId="6D348636" w14:textId="77777777" w:rsidR="00572995" w:rsidRPr="00483EBE" w:rsidRDefault="00572995" w:rsidP="00E8324D">
            <w:pPr>
              <w:pStyle w:val="Tablas"/>
              <w:rPr>
                <w:sz w:val="12"/>
                <w:szCs w:val="12"/>
              </w:rPr>
            </w:pPr>
            <w:r w:rsidRPr="00483EBE">
              <w:rPr>
                <w:sz w:val="12"/>
                <w:szCs w:val="12"/>
              </w:rPr>
              <w:t>$1,377</w:t>
            </w:r>
          </w:p>
        </w:tc>
        <w:tc>
          <w:tcPr>
            <w:tcW w:w="0" w:type="auto"/>
            <w:tcBorders>
              <w:top w:val="nil"/>
              <w:left w:val="nil"/>
              <w:bottom w:val="single" w:sz="4" w:space="0" w:color="auto"/>
              <w:right w:val="single" w:sz="4" w:space="0" w:color="auto"/>
            </w:tcBorders>
            <w:shd w:val="clear" w:color="auto" w:fill="auto"/>
            <w:vAlign w:val="center"/>
            <w:hideMark/>
          </w:tcPr>
          <w:p w14:paraId="130DC3B9" w14:textId="77777777" w:rsidR="00572995" w:rsidRPr="00483EBE" w:rsidRDefault="00572995" w:rsidP="00E8324D">
            <w:pPr>
              <w:pStyle w:val="Tablas"/>
              <w:rPr>
                <w:sz w:val="12"/>
                <w:szCs w:val="12"/>
              </w:rPr>
            </w:pPr>
            <w:r w:rsidRPr="00483EBE">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121A5EA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8AE33B1" w14:textId="77777777" w:rsidR="00572995" w:rsidRPr="00483EBE" w:rsidRDefault="00572995" w:rsidP="00E8324D">
            <w:pPr>
              <w:pStyle w:val="Tablas"/>
              <w:rPr>
                <w:sz w:val="12"/>
                <w:szCs w:val="12"/>
              </w:rPr>
            </w:pPr>
            <w:r w:rsidRPr="00483EBE">
              <w:rPr>
                <w:sz w:val="12"/>
                <w:szCs w:val="12"/>
              </w:rPr>
              <w:t>SEBD</w:t>
            </w:r>
          </w:p>
        </w:tc>
      </w:tr>
      <w:tr w:rsidR="00572995" w:rsidRPr="00483EBE" w14:paraId="4124663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1F0F03" w14:textId="77777777" w:rsidR="00572995" w:rsidRPr="00483EBE" w:rsidRDefault="00572995" w:rsidP="00E8324D">
            <w:pPr>
              <w:pStyle w:val="Tablas"/>
              <w:rPr>
                <w:sz w:val="12"/>
                <w:szCs w:val="12"/>
              </w:rPr>
            </w:pPr>
            <w:r w:rsidRPr="00483EBE">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008FD669" w14:textId="77777777" w:rsidR="00572995" w:rsidRPr="00483EBE" w:rsidRDefault="00572995" w:rsidP="00E8324D">
            <w:pPr>
              <w:pStyle w:val="Tablas"/>
              <w:rPr>
                <w:sz w:val="12"/>
                <w:szCs w:val="12"/>
              </w:rPr>
            </w:pPr>
            <w:r w:rsidRPr="00483EBE">
              <w:rPr>
                <w:sz w:val="12"/>
                <w:szCs w:val="12"/>
              </w:rPr>
              <w:t xml:space="preserve">85 </w:t>
            </w:r>
          </w:p>
        </w:tc>
        <w:tc>
          <w:tcPr>
            <w:tcW w:w="0" w:type="auto"/>
            <w:tcBorders>
              <w:top w:val="nil"/>
              <w:left w:val="nil"/>
              <w:bottom w:val="single" w:sz="4" w:space="0" w:color="auto"/>
              <w:right w:val="single" w:sz="4" w:space="0" w:color="auto"/>
            </w:tcBorders>
            <w:shd w:val="clear" w:color="auto" w:fill="auto"/>
            <w:vAlign w:val="center"/>
            <w:hideMark/>
          </w:tcPr>
          <w:p w14:paraId="29213856" w14:textId="77777777" w:rsidR="00572995" w:rsidRPr="00483EBE" w:rsidRDefault="00572995" w:rsidP="00E8324D">
            <w:pPr>
              <w:pStyle w:val="Tablas"/>
              <w:rPr>
                <w:sz w:val="12"/>
                <w:szCs w:val="12"/>
              </w:rPr>
            </w:pPr>
            <w:r w:rsidRPr="00483EBE">
              <w:rPr>
                <w:sz w:val="12"/>
                <w:szCs w:val="12"/>
              </w:rPr>
              <w:t>$84,649</w:t>
            </w:r>
          </w:p>
        </w:tc>
        <w:tc>
          <w:tcPr>
            <w:tcW w:w="0" w:type="auto"/>
            <w:tcBorders>
              <w:top w:val="nil"/>
              <w:left w:val="nil"/>
              <w:bottom w:val="single" w:sz="4" w:space="0" w:color="auto"/>
              <w:right w:val="single" w:sz="4" w:space="0" w:color="auto"/>
            </w:tcBorders>
            <w:shd w:val="clear" w:color="auto" w:fill="auto"/>
            <w:vAlign w:val="center"/>
            <w:hideMark/>
          </w:tcPr>
          <w:p w14:paraId="7A7B0BF0" w14:textId="77777777" w:rsidR="00572995" w:rsidRPr="00483EBE" w:rsidRDefault="00572995" w:rsidP="00E8324D">
            <w:pPr>
              <w:pStyle w:val="Tablas"/>
              <w:rPr>
                <w:sz w:val="12"/>
                <w:szCs w:val="12"/>
              </w:rPr>
            </w:pPr>
            <w:r w:rsidRPr="00483EBE">
              <w:rPr>
                <w:sz w:val="12"/>
                <w:szCs w:val="12"/>
              </w:rPr>
              <w:t>$996</w:t>
            </w:r>
          </w:p>
        </w:tc>
        <w:tc>
          <w:tcPr>
            <w:tcW w:w="0" w:type="auto"/>
            <w:tcBorders>
              <w:top w:val="nil"/>
              <w:left w:val="nil"/>
              <w:bottom w:val="single" w:sz="4" w:space="0" w:color="auto"/>
              <w:right w:val="single" w:sz="4" w:space="0" w:color="auto"/>
            </w:tcBorders>
            <w:shd w:val="clear" w:color="auto" w:fill="auto"/>
            <w:vAlign w:val="center"/>
            <w:hideMark/>
          </w:tcPr>
          <w:p w14:paraId="5D85F394"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76DE60E2"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C37C26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2AA10C"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08710DD9" w14:textId="77777777" w:rsidR="00572995" w:rsidRPr="00483EBE" w:rsidRDefault="00572995" w:rsidP="00E8324D">
            <w:pPr>
              <w:pStyle w:val="Tablas"/>
              <w:rPr>
                <w:sz w:val="12"/>
                <w:szCs w:val="12"/>
              </w:rPr>
            </w:pPr>
            <w:r w:rsidRPr="00483EBE">
              <w:rPr>
                <w:sz w:val="12"/>
                <w:szCs w:val="12"/>
              </w:rPr>
              <w:t xml:space="preserve">52 </w:t>
            </w:r>
          </w:p>
        </w:tc>
        <w:tc>
          <w:tcPr>
            <w:tcW w:w="0" w:type="auto"/>
            <w:tcBorders>
              <w:top w:val="nil"/>
              <w:left w:val="nil"/>
              <w:bottom w:val="single" w:sz="4" w:space="0" w:color="auto"/>
              <w:right w:val="single" w:sz="4" w:space="0" w:color="auto"/>
            </w:tcBorders>
            <w:shd w:val="clear" w:color="auto" w:fill="auto"/>
            <w:vAlign w:val="center"/>
            <w:hideMark/>
          </w:tcPr>
          <w:p w14:paraId="742CF20E" w14:textId="77777777" w:rsidR="00572995" w:rsidRPr="00483EBE" w:rsidRDefault="00572995" w:rsidP="00E8324D">
            <w:pPr>
              <w:pStyle w:val="Tablas"/>
              <w:rPr>
                <w:sz w:val="12"/>
                <w:szCs w:val="12"/>
              </w:rPr>
            </w:pPr>
            <w:r w:rsidRPr="00483EBE">
              <w:rPr>
                <w:sz w:val="12"/>
                <w:szCs w:val="12"/>
              </w:rPr>
              <w:t>$61,315</w:t>
            </w:r>
          </w:p>
        </w:tc>
        <w:tc>
          <w:tcPr>
            <w:tcW w:w="0" w:type="auto"/>
            <w:tcBorders>
              <w:top w:val="nil"/>
              <w:left w:val="nil"/>
              <w:bottom w:val="single" w:sz="4" w:space="0" w:color="auto"/>
              <w:right w:val="single" w:sz="4" w:space="0" w:color="auto"/>
            </w:tcBorders>
            <w:shd w:val="clear" w:color="auto" w:fill="auto"/>
            <w:vAlign w:val="center"/>
            <w:hideMark/>
          </w:tcPr>
          <w:p w14:paraId="7B4EF413" w14:textId="77777777" w:rsidR="00572995" w:rsidRPr="00483EBE" w:rsidRDefault="00572995" w:rsidP="00E8324D">
            <w:pPr>
              <w:pStyle w:val="Tablas"/>
              <w:rPr>
                <w:sz w:val="12"/>
                <w:szCs w:val="12"/>
              </w:rPr>
            </w:pPr>
            <w:r w:rsidRPr="00483EBE">
              <w:rPr>
                <w:sz w:val="12"/>
                <w:szCs w:val="12"/>
              </w:rPr>
              <w:t>$1,179</w:t>
            </w:r>
          </w:p>
        </w:tc>
        <w:tc>
          <w:tcPr>
            <w:tcW w:w="0" w:type="auto"/>
            <w:tcBorders>
              <w:top w:val="nil"/>
              <w:left w:val="nil"/>
              <w:bottom w:val="single" w:sz="4" w:space="0" w:color="auto"/>
              <w:right w:val="single" w:sz="4" w:space="0" w:color="auto"/>
            </w:tcBorders>
            <w:shd w:val="clear" w:color="auto" w:fill="auto"/>
            <w:vAlign w:val="center"/>
            <w:hideMark/>
          </w:tcPr>
          <w:p w14:paraId="1EF679CF"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70ABCC3E"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9C762C2" w14:textId="77777777" w:rsidR="00572995" w:rsidRPr="00483EBE" w:rsidRDefault="00572995" w:rsidP="00E8324D">
            <w:pPr>
              <w:pStyle w:val="Tablas"/>
              <w:rPr>
                <w:sz w:val="12"/>
                <w:szCs w:val="12"/>
              </w:rPr>
            </w:pPr>
            <w:r w:rsidRPr="00483EBE">
              <w:rPr>
                <w:sz w:val="12"/>
                <w:szCs w:val="12"/>
              </w:rPr>
              <w:t>SEBD</w:t>
            </w:r>
          </w:p>
        </w:tc>
      </w:tr>
      <w:tr w:rsidR="00572995" w:rsidRPr="00483EBE" w14:paraId="26E4BDB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735A73" w14:textId="77777777" w:rsidR="00572995" w:rsidRPr="00483EBE" w:rsidRDefault="00572995" w:rsidP="00E8324D">
            <w:pPr>
              <w:pStyle w:val="Tablas"/>
              <w:rPr>
                <w:sz w:val="12"/>
                <w:szCs w:val="12"/>
              </w:rPr>
            </w:pPr>
            <w:r w:rsidRPr="00483EBE">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6061C644" w14:textId="77777777" w:rsidR="00572995" w:rsidRPr="00483EBE" w:rsidRDefault="00572995" w:rsidP="00E8324D">
            <w:pPr>
              <w:pStyle w:val="Tablas"/>
              <w:rPr>
                <w:sz w:val="12"/>
                <w:szCs w:val="12"/>
              </w:rPr>
            </w:pPr>
            <w:r w:rsidRPr="00483EBE">
              <w:rPr>
                <w:sz w:val="12"/>
                <w:szCs w:val="12"/>
              </w:rPr>
              <w:t xml:space="preserve">123 </w:t>
            </w:r>
          </w:p>
        </w:tc>
        <w:tc>
          <w:tcPr>
            <w:tcW w:w="0" w:type="auto"/>
            <w:tcBorders>
              <w:top w:val="nil"/>
              <w:left w:val="nil"/>
              <w:bottom w:val="single" w:sz="4" w:space="0" w:color="auto"/>
              <w:right w:val="single" w:sz="4" w:space="0" w:color="auto"/>
            </w:tcBorders>
            <w:shd w:val="clear" w:color="auto" w:fill="auto"/>
            <w:vAlign w:val="center"/>
            <w:hideMark/>
          </w:tcPr>
          <w:p w14:paraId="22000C66" w14:textId="77777777" w:rsidR="00572995" w:rsidRPr="00483EBE" w:rsidRDefault="00572995" w:rsidP="00E8324D">
            <w:pPr>
              <w:pStyle w:val="Tablas"/>
              <w:rPr>
                <w:sz w:val="12"/>
                <w:szCs w:val="12"/>
              </w:rPr>
            </w:pPr>
            <w:r w:rsidRPr="00483EBE">
              <w:rPr>
                <w:sz w:val="12"/>
                <w:szCs w:val="12"/>
              </w:rPr>
              <w:t>$131,769</w:t>
            </w:r>
          </w:p>
        </w:tc>
        <w:tc>
          <w:tcPr>
            <w:tcW w:w="0" w:type="auto"/>
            <w:tcBorders>
              <w:top w:val="nil"/>
              <w:left w:val="nil"/>
              <w:bottom w:val="single" w:sz="4" w:space="0" w:color="auto"/>
              <w:right w:val="single" w:sz="4" w:space="0" w:color="auto"/>
            </w:tcBorders>
            <w:shd w:val="clear" w:color="auto" w:fill="auto"/>
            <w:vAlign w:val="center"/>
            <w:hideMark/>
          </w:tcPr>
          <w:p w14:paraId="76E87BE5" w14:textId="77777777" w:rsidR="00572995" w:rsidRPr="00483EBE" w:rsidRDefault="00572995" w:rsidP="00E8324D">
            <w:pPr>
              <w:pStyle w:val="Tablas"/>
              <w:rPr>
                <w:sz w:val="12"/>
                <w:szCs w:val="12"/>
              </w:rPr>
            </w:pPr>
            <w:r w:rsidRPr="00483EBE">
              <w:rPr>
                <w:sz w:val="12"/>
                <w:szCs w:val="12"/>
              </w:rPr>
              <w:t>$1,071</w:t>
            </w:r>
          </w:p>
        </w:tc>
        <w:tc>
          <w:tcPr>
            <w:tcW w:w="0" w:type="auto"/>
            <w:tcBorders>
              <w:top w:val="nil"/>
              <w:left w:val="nil"/>
              <w:bottom w:val="single" w:sz="4" w:space="0" w:color="auto"/>
              <w:right w:val="single" w:sz="4" w:space="0" w:color="auto"/>
            </w:tcBorders>
            <w:shd w:val="clear" w:color="auto" w:fill="auto"/>
            <w:vAlign w:val="center"/>
            <w:hideMark/>
          </w:tcPr>
          <w:p w14:paraId="4FE5EE09"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42E9B433"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1AB2D5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BD37AD"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4B0DC728"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6A9E252B" w14:textId="77777777" w:rsidR="00572995" w:rsidRPr="00483EBE" w:rsidRDefault="00572995" w:rsidP="00E8324D">
            <w:pPr>
              <w:pStyle w:val="Tablas"/>
              <w:rPr>
                <w:sz w:val="12"/>
                <w:szCs w:val="12"/>
              </w:rPr>
            </w:pPr>
            <w:r w:rsidRPr="00483EBE">
              <w:rPr>
                <w:sz w:val="12"/>
                <w:szCs w:val="12"/>
              </w:rPr>
              <w:t>$50,457</w:t>
            </w:r>
          </w:p>
        </w:tc>
        <w:tc>
          <w:tcPr>
            <w:tcW w:w="0" w:type="auto"/>
            <w:tcBorders>
              <w:top w:val="nil"/>
              <w:left w:val="nil"/>
              <w:bottom w:val="single" w:sz="4" w:space="0" w:color="auto"/>
              <w:right w:val="single" w:sz="4" w:space="0" w:color="auto"/>
            </w:tcBorders>
            <w:shd w:val="clear" w:color="auto" w:fill="auto"/>
            <w:vAlign w:val="center"/>
            <w:hideMark/>
          </w:tcPr>
          <w:p w14:paraId="5004C214" w14:textId="77777777" w:rsidR="00572995" w:rsidRPr="00483EBE" w:rsidRDefault="00572995" w:rsidP="00E8324D">
            <w:pPr>
              <w:pStyle w:val="Tablas"/>
              <w:rPr>
                <w:sz w:val="12"/>
                <w:szCs w:val="12"/>
              </w:rPr>
            </w:pPr>
            <w:r w:rsidRPr="00483EBE">
              <w:rPr>
                <w:sz w:val="12"/>
                <w:szCs w:val="12"/>
              </w:rPr>
              <w:t>$1,201</w:t>
            </w:r>
          </w:p>
        </w:tc>
        <w:tc>
          <w:tcPr>
            <w:tcW w:w="0" w:type="auto"/>
            <w:tcBorders>
              <w:top w:val="nil"/>
              <w:left w:val="nil"/>
              <w:bottom w:val="single" w:sz="4" w:space="0" w:color="auto"/>
              <w:right w:val="single" w:sz="4" w:space="0" w:color="auto"/>
            </w:tcBorders>
            <w:shd w:val="clear" w:color="auto" w:fill="auto"/>
            <w:vAlign w:val="center"/>
            <w:hideMark/>
          </w:tcPr>
          <w:p w14:paraId="619662D6"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615AA952"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E1E991C" w14:textId="77777777" w:rsidR="00572995" w:rsidRPr="00483EBE" w:rsidRDefault="00572995" w:rsidP="00E8324D">
            <w:pPr>
              <w:pStyle w:val="Tablas"/>
              <w:rPr>
                <w:sz w:val="12"/>
                <w:szCs w:val="12"/>
              </w:rPr>
            </w:pPr>
            <w:r w:rsidRPr="00483EBE">
              <w:rPr>
                <w:sz w:val="12"/>
                <w:szCs w:val="12"/>
              </w:rPr>
              <w:t>SEBD</w:t>
            </w:r>
          </w:p>
        </w:tc>
      </w:tr>
      <w:tr w:rsidR="00572995" w:rsidRPr="00483EBE" w14:paraId="6C95860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4EB062" w14:textId="77777777" w:rsidR="00572995" w:rsidRPr="00483EBE" w:rsidRDefault="00572995" w:rsidP="00E8324D">
            <w:pPr>
              <w:pStyle w:val="Tablas"/>
              <w:rPr>
                <w:sz w:val="12"/>
                <w:szCs w:val="12"/>
              </w:rPr>
            </w:pPr>
            <w:r w:rsidRPr="00483EBE">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55D15B18" w14:textId="77777777" w:rsidR="00572995" w:rsidRPr="00483EBE" w:rsidRDefault="00572995" w:rsidP="00E8324D">
            <w:pPr>
              <w:pStyle w:val="Tablas"/>
              <w:rPr>
                <w:sz w:val="12"/>
                <w:szCs w:val="12"/>
              </w:rPr>
            </w:pPr>
            <w:r w:rsidRPr="00483EBE">
              <w:rPr>
                <w:sz w:val="12"/>
                <w:szCs w:val="12"/>
              </w:rPr>
              <w:t xml:space="preserve">134 </w:t>
            </w:r>
          </w:p>
        </w:tc>
        <w:tc>
          <w:tcPr>
            <w:tcW w:w="0" w:type="auto"/>
            <w:tcBorders>
              <w:top w:val="nil"/>
              <w:left w:val="nil"/>
              <w:bottom w:val="single" w:sz="4" w:space="0" w:color="auto"/>
              <w:right w:val="single" w:sz="4" w:space="0" w:color="auto"/>
            </w:tcBorders>
            <w:shd w:val="clear" w:color="auto" w:fill="auto"/>
            <w:vAlign w:val="center"/>
            <w:hideMark/>
          </w:tcPr>
          <w:p w14:paraId="5BA08A19" w14:textId="77777777" w:rsidR="00572995" w:rsidRPr="00483EBE" w:rsidRDefault="00572995" w:rsidP="00E8324D">
            <w:pPr>
              <w:pStyle w:val="Tablas"/>
              <w:rPr>
                <w:sz w:val="12"/>
                <w:szCs w:val="12"/>
              </w:rPr>
            </w:pPr>
            <w:r w:rsidRPr="00483EBE">
              <w:rPr>
                <w:sz w:val="12"/>
                <w:szCs w:val="12"/>
              </w:rPr>
              <w:t>$140,878</w:t>
            </w:r>
          </w:p>
        </w:tc>
        <w:tc>
          <w:tcPr>
            <w:tcW w:w="0" w:type="auto"/>
            <w:tcBorders>
              <w:top w:val="nil"/>
              <w:left w:val="nil"/>
              <w:bottom w:val="single" w:sz="4" w:space="0" w:color="auto"/>
              <w:right w:val="single" w:sz="4" w:space="0" w:color="auto"/>
            </w:tcBorders>
            <w:shd w:val="clear" w:color="auto" w:fill="auto"/>
            <w:vAlign w:val="center"/>
            <w:hideMark/>
          </w:tcPr>
          <w:p w14:paraId="38DECDE1" w14:textId="77777777" w:rsidR="00572995" w:rsidRPr="00483EBE" w:rsidRDefault="00572995" w:rsidP="00E8324D">
            <w:pPr>
              <w:pStyle w:val="Tablas"/>
              <w:rPr>
                <w:sz w:val="12"/>
                <w:szCs w:val="12"/>
              </w:rPr>
            </w:pPr>
            <w:r w:rsidRPr="00483EBE">
              <w:rPr>
                <w:sz w:val="12"/>
                <w:szCs w:val="12"/>
              </w:rPr>
              <w:t>$1,051</w:t>
            </w:r>
          </w:p>
        </w:tc>
        <w:tc>
          <w:tcPr>
            <w:tcW w:w="0" w:type="auto"/>
            <w:tcBorders>
              <w:top w:val="nil"/>
              <w:left w:val="nil"/>
              <w:bottom w:val="single" w:sz="4" w:space="0" w:color="auto"/>
              <w:right w:val="single" w:sz="4" w:space="0" w:color="auto"/>
            </w:tcBorders>
            <w:shd w:val="clear" w:color="auto" w:fill="auto"/>
            <w:vAlign w:val="center"/>
            <w:hideMark/>
          </w:tcPr>
          <w:p w14:paraId="568D00B0"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7A603281"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77E858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D4B5CD"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1A4F50B1"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6FD75A42" w14:textId="77777777" w:rsidR="00572995" w:rsidRPr="00483EBE" w:rsidRDefault="00572995" w:rsidP="00E8324D">
            <w:pPr>
              <w:pStyle w:val="Tablas"/>
              <w:rPr>
                <w:sz w:val="12"/>
                <w:szCs w:val="12"/>
              </w:rPr>
            </w:pPr>
            <w:r w:rsidRPr="00483EBE">
              <w:rPr>
                <w:sz w:val="12"/>
                <w:szCs w:val="12"/>
              </w:rPr>
              <w:t>$44,790</w:t>
            </w:r>
          </w:p>
        </w:tc>
        <w:tc>
          <w:tcPr>
            <w:tcW w:w="0" w:type="auto"/>
            <w:tcBorders>
              <w:top w:val="nil"/>
              <w:left w:val="nil"/>
              <w:bottom w:val="single" w:sz="4" w:space="0" w:color="auto"/>
              <w:right w:val="single" w:sz="4" w:space="0" w:color="auto"/>
            </w:tcBorders>
            <w:shd w:val="clear" w:color="auto" w:fill="auto"/>
            <w:vAlign w:val="center"/>
            <w:hideMark/>
          </w:tcPr>
          <w:p w14:paraId="33AE8C84" w14:textId="77777777" w:rsidR="00572995" w:rsidRPr="00483EBE" w:rsidRDefault="00572995" w:rsidP="00E8324D">
            <w:pPr>
              <w:pStyle w:val="Tablas"/>
              <w:rPr>
                <w:sz w:val="12"/>
                <w:szCs w:val="12"/>
              </w:rPr>
            </w:pPr>
            <w:r w:rsidRPr="00483EBE">
              <w:rPr>
                <w:sz w:val="12"/>
                <w:szCs w:val="12"/>
              </w:rPr>
              <w:t>$1,317</w:t>
            </w:r>
          </w:p>
        </w:tc>
        <w:tc>
          <w:tcPr>
            <w:tcW w:w="0" w:type="auto"/>
            <w:tcBorders>
              <w:top w:val="nil"/>
              <w:left w:val="nil"/>
              <w:bottom w:val="single" w:sz="4" w:space="0" w:color="auto"/>
              <w:right w:val="single" w:sz="4" w:space="0" w:color="auto"/>
            </w:tcBorders>
            <w:shd w:val="clear" w:color="auto" w:fill="auto"/>
            <w:vAlign w:val="center"/>
            <w:hideMark/>
          </w:tcPr>
          <w:p w14:paraId="4A516537"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2FA4D0D7"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0EC841F" w14:textId="77777777" w:rsidR="00572995" w:rsidRPr="00483EBE" w:rsidRDefault="00572995" w:rsidP="00E8324D">
            <w:pPr>
              <w:pStyle w:val="Tablas"/>
              <w:rPr>
                <w:sz w:val="12"/>
                <w:szCs w:val="12"/>
              </w:rPr>
            </w:pPr>
            <w:r w:rsidRPr="00483EBE">
              <w:rPr>
                <w:sz w:val="12"/>
                <w:szCs w:val="12"/>
              </w:rPr>
              <w:t>SEBD</w:t>
            </w:r>
          </w:p>
        </w:tc>
      </w:tr>
      <w:tr w:rsidR="00572995" w:rsidRPr="00483EBE" w14:paraId="692B5AB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44BD66" w14:textId="77777777" w:rsidR="00572995" w:rsidRPr="00483EBE" w:rsidRDefault="00572995" w:rsidP="00E8324D">
            <w:pPr>
              <w:pStyle w:val="Tablas"/>
              <w:rPr>
                <w:sz w:val="12"/>
                <w:szCs w:val="12"/>
              </w:rPr>
            </w:pPr>
            <w:r w:rsidRPr="00483EBE">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4B22C4B3" w14:textId="77777777" w:rsidR="00572995" w:rsidRPr="00483EBE" w:rsidRDefault="00572995" w:rsidP="00E8324D">
            <w:pPr>
              <w:pStyle w:val="Tablas"/>
              <w:rPr>
                <w:sz w:val="12"/>
                <w:szCs w:val="12"/>
              </w:rPr>
            </w:pPr>
            <w:r w:rsidRPr="00483EBE">
              <w:rPr>
                <w:sz w:val="12"/>
                <w:szCs w:val="12"/>
              </w:rPr>
              <w:t xml:space="preserve">211 </w:t>
            </w:r>
          </w:p>
        </w:tc>
        <w:tc>
          <w:tcPr>
            <w:tcW w:w="0" w:type="auto"/>
            <w:tcBorders>
              <w:top w:val="nil"/>
              <w:left w:val="nil"/>
              <w:bottom w:val="single" w:sz="4" w:space="0" w:color="auto"/>
              <w:right w:val="single" w:sz="4" w:space="0" w:color="auto"/>
            </w:tcBorders>
            <w:shd w:val="clear" w:color="auto" w:fill="auto"/>
            <w:vAlign w:val="center"/>
            <w:hideMark/>
          </w:tcPr>
          <w:p w14:paraId="0FE0EE48" w14:textId="77777777" w:rsidR="00572995" w:rsidRPr="00483EBE" w:rsidRDefault="00572995" w:rsidP="00E8324D">
            <w:pPr>
              <w:pStyle w:val="Tablas"/>
              <w:rPr>
                <w:sz w:val="12"/>
                <w:szCs w:val="12"/>
              </w:rPr>
            </w:pPr>
            <w:r w:rsidRPr="00483EBE">
              <w:rPr>
                <w:sz w:val="12"/>
                <w:szCs w:val="12"/>
              </w:rPr>
              <w:t>$216,994</w:t>
            </w:r>
          </w:p>
        </w:tc>
        <w:tc>
          <w:tcPr>
            <w:tcW w:w="0" w:type="auto"/>
            <w:tcBorders>
              <w:top w:val="nil"/>
              <w:left w:val="nil"/>
              <w:bottom w:val="single" w:sz="4" w:space="0" w:color="auto"/>
              <w:right w:val="single" w:sz="4" w:space="0" w:color="auto"/>
            </w:tcBorders>
            <w:shd w:val="clear" w:color="auto" w:fill="auto"/>
            <w:vAlign w:val="center"/>
            <w:hideMark/>
          </w:tcPr>
          <w:p w14:paraId="4321FF2C" w14:textId="77777777" w:rsidR="00572995" w:rsidRPr="00483EBE" w:rsidRDefault="00572995" w:rsidP="00E8324D">
            <w:pPr>
              <w:pStyle w:val="Tablas"/>
              <w:rPr>
                <w:sz w:val="12"/>
                <w:szCs w:val="12"/>
              </w:rPr>
            </w:pPr>
            <w:r w:rsidRPr="00483EBE">
              <w:rPr>
                <w:sz w:val="12"/>
                <w:szCs w:val="12"/>
              </w:rPr>
              <w:t>$1,028</w:t>
            </w:r>
          </w:p>
        </w:tc>
        <w:tc>
          <w:tcPr>
            <w:tcW w:w="0" w:type="auto"/>
            <w:tcBorders>
              <w:top w:val="nil"/>
              <w:left w:val="nil"/>
              <w:bottom w:val="single" w:sz="4" w:space="0" w:color="auto"/>
              <w:right w:val="single" w:sz="4" w:space="0" w:color="auto"/>
            </w:tcBorders>
            <w:shd w:val="clear" w:color="auto" w:fill="auto"/>
            <w:vAlign w:val="center"/>
            <w:hideMark/>
          </w:tcPr>
          <w:p w14:paraId="0A470B9C"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6295243B"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E9BCCF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13F2C9"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3A55B993" w14:textId="77777777" w:rsidR="00572995" w:rsidRPr="00483EBE" w:rsidRDefault="00572995" w:rsidP="00E8324D">
            <w:pPr>
              <w:pStyle w:val="Tablas"/>
              <w:rPr>
                <w:sz w:val="12"/>
                <w:szCs w:val="12"/>
              </w:rPr>
            </w:pPr>
            <w:r w:rsidRPr="00483EBE">
              <w:rPr>
                <w:sz w:val="12"/>
                <w:szCs w:val="12"/>
              </w:rPr>
              <w:t xml:space="preserve">49 </w:t>
            </w:r>
          </w:p>
        </w:tc>
        <w:tc>
          <w:tcPr>
            <w:tcW w:w="0" w:type="auto"/>
            <w:tcBorders>
              <w:top w:val="nil"/>
              <w:left w:val="nil"/>
              <w:bottom w:val="single" w:sz="4" w:space="0" w:color="auto"/>
              <w:right w:val="single" w:sz="4" w:space="0" w:color="auto"/>
            </w:tcBorders>
            <w:shd w:val="clear" w:color="auto" w:fill="auto"/>
            <w:vAlign w:val="center"/>
            <w:hideMark/>
          </w:tcPr>
          <w:p w14:paraId="05BD0ADB" w14:textId="77777777" w:rsidR="00572995" w:rsidRPr="00483EBE" w:rsidRDefault="00572995" w:rsidP="00E8324D">
            <w:pPr>
              <w:pStyle w:val="Tablas"/>
              <w:rPr>
                <w:sz w:val="12"/>
                <w:szCs w:val="12"/>
              </w:rPr>
            </w:pPr>
            <w:r w:rsidRPr="00483EBE">
              <w:rPr>
                <w:sz w:val="12"/>
                <w:szCs w:val="12"/>
              </w:rPr>
              <w:t>$80,529</w:t>
            </w:r>
          </w:p>
        </w:tc>
        <w:tc>
          <w:tcPr>
            <w:tcW w:w="0" w:type="auto"/>
            <w:tcBorders>
              <w:top w:val="nil"/>
              <w:left w:val="nil"/>
              <w:bottom w:val="single" w:sz="4" w:space="0" w:color="auto"/>
              <w:right w:val="single" w:sz="4" w:space="0" w:color="auto"/>
            </w:tcBorders>
            <w:shd w:val="clear" w:color="auto" w:fill="auto"/>
            <w:vAlign w:val="center"/>
            <w:hideMark/>
          </w:tcPr>
          <w:p w14:paraId="40562DDA" w14:textId="77777777" w:rsidR="00572995" w:rsidRPr="00483EBE" w:rsidRDefault="00572995" w:rsidP="00E8324D">
            <w:pPr>
              <w:pStyle w:val="Tablas"/>
              <w:rPr>
                <w:sz w:val="12"/>
                <w:szCs w:val="12"/>
              </w:rPr>
            </w:pPr>
            <w:r w:rsidRPr="00483EBE">
              <w:rPr>
                <w:sz w:val="12"/>
                <w:szCs w:val="12"/>
              </w:rPr>
              <w:t>$1,643</w:t>
            </w:r>
          </w:p>
        </w:tc>
        <w:tc>
          <w:tcPr>
            <w:tcW w:w="0" w:type="auto"/>
            <w:tcBorders>
              <w:top w:val="nil"/>
              <w:left w:val="nil"/>
              <w:bottom w:val="single" w:sz="4" w:space="0" w:color="auto"/>
              <w:right w:val="single" w:sz="4" w:space="0" w:color="auto"/>
            </w:tcBorders>
            <w:shd w:val="clear" w:color="auto" w:fill="auto"/>
            <w:vAlign w:val="center"/>
            <w:hideMark/>
          </w:tcPr>
          <w:p w14:paraId="4529EA2C" w14:textId="77777777" w:rsidR="00572995" w:rsidRPr="00483EBE" w:rsidRDefault="00572995" w:rsidP="00E8324D">
            <w:pPr>
              <w:pStyle w:val="Tablas"/>
              <w:rPr>
                <w:sz w:val="12"/>
                <w:szCs w:val="12"/>
              </w:rPr>
            </w:pPr>
            <w:r w:rsidRPr="00483EBE">
              <w:rPr>
                <w:sz w:val="12"/>
                <w:szCs w:val="12"/>
              </w:rPr>
              <w:t>$137</w:t>
            </w:r>
          </w:p>
        </w:tc>
        <w:tc>
          <w:tcPr>
            <w:tcW w:w="0" w:type="auto"/>
            <w:tcBorders>
              <w:top w:val="nil"/>
              <w:left w:val="nil"/>
              <w:bottom w:val="single" w:sz="4" w:space="0" w:color="auto"/>
              <w:right w:val="single" w:sz="4" w:space="0" w:color="auto"/>
            </w:tcBorders>
            <w:shd w:val="clear" w:color="auto" w:fill="auto"/>
            <w:vAlign w:val="center"/>
            <w:hideMark/>
          </w:tcPr>
          <w:p w14:paraId="74097BF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AE6893B" w14:textId="77777777" w:rsidR="00572995" w:rsidRPr="00483EBE" w:rsidRDefault="00572995" w:rsidP="00E8324D">
            <w:pPr>
              <w:pStyle w:val="Tablas"/>
              <w:rPr>
                <w:sz w:val="12"/>
                <w:szCs w:val="12"/>
              </w:rPr>
            </w:pPr>
            <w:r w:rsidRPr="00483EBE">
              <w:rPr>
                <w:sz w:val="12"/>
                <w:szCs w:val="12"/>
              </w:rPr>
              <w:t>SEBD</w:t>
            </w:r>
          </w:p>
        </w:tc>
      </w:tr>
      <w:tr w:rsidR="00572995" w:rsidRPr="00483EBE" w14:paraId="4A252DF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435CB2" w14:textId="77777777" w:rsidR="00572995" w:rsidRPr="00483EBE" w:rsidRDefault="00572995" w:rsidP="00E8324D">
            <w:pPr>
              <w:pStyle w:val="Tablas"/>
              <w:rPr>
                <w:sz w:val="12"/>
                <w:szCs w:val="12"/>
              </w:rPr>
            </w:pPr>
            <w:r w:rsidRPr="00483EBE">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1647E013" w14:textId="77777777" w:rsidR="00572995" w:rsidRPr="00483EBE" w:rsidRDefault="00572995" w:rsidP="00E8324D">
            <w:pPr>
              <w:pStyle w:val="Tablas"/>
              <w:rPr>
                <w:sz w:val="12"/>
                <w:szCs w:val="12"/>
              </w:rPr>
            </w:pPr>
            <w:r w:rsidRPr="00483EBE">
              <w:rPr>
                <w:sz w:val="12"/>
                <w:szCs w:val="12"/>
              </w:rPr>
              <w:t xml:space="preserve">196 </w:t>
            </w:r>
          </w:p>
        </w:tc>
        <w:tc>
          <w:tcPr>
            <w:tcW w:w="0" w:type="auto"/>
            <w:tcBorders>
              <w:top w:val="nil"/>
              <w:left w:val="nil"/>
              <w:bottom w:val="single" w:sz="4" w:space="0" w:color="auto"/>
              <w:right w:val="single" w:sz="4" w:space="0" w:color="auto"/>
            </w:tcBorders>
            <w:shd w:val="clear" w:color="auto" w:fill="auto"/>
            <w:vAlign w:val="center"/>
            <w:hideMark/>
          </w:tcPr>
          <w:p w14:paraId="5E6BF059" w14:textId="77777777" w:rsidR="00572995" w:rsidRPr="00483EBE" w:rsidRDefault="00572995" w:rsidP="00E8324D">
            <w:pPr>
              <w:pStyle w:val="Tablas"/>
              <w:rPr>
                <w:sz w:val="12"/>
                <w:szCs w:val="12"/>
              </w:rPr>
            </w:pPr>
            <w:r w:rsidRPr="00483EBE">
              <w:rPr>
                <w:sz w:val="12"/>
                <w:szCs w:val="12"/>
              </w:rPr>
              <w:t>$194,759</w:t>
            </w:r>
          </w:p>
        </w:tc>
        <w:tc>
          <w:tcPr>
            <w:tcW w:w="0" w:type="auto"/>
            <w:tcBorders>
              <w:top w:val="nil"/>
              <w:left w:val="nil"/>
              <w:bottom w:val="single" w:sz="4" w:space="0" w:color="auto"/>
              <w:right w:val="single" w:sz="4" w:space="0" w:color="auto"/>
            </w:tcBorders>
            <w:shd w:val="clear" w:color="auto" w:fill="auto"/>
            <w:vAlign w:val="center"/>
            <w:hideMark/>
          </w:tcPr>
          <w:p w14:paraId="6DF0700E" w14:textId="77777777" w:rsidR="00572995" w:rsidRPr="00483EBE" w:rsidRDefault="00572995" w:rsidP="00E8324D">
            <w:pPr>
              <w:pStyle w:val="Tablas"/>
              <w:rPr>
                <w:sz w:val="12"/>
                <w:szCs w:val="12"/>
              </w:rPr>
            </w:pPr>
            <w:r w:rsidRPr="00483EBE">
              <w:rPr>
                <w:sz w:val="12"/>
                <w:szCs w:val="12"/>
              </w:rPr>
              <w:t>$994</w:t>
            </w:r>
          </w:p>
        </w:tc>
        <w:tc>
          <w:tcPr>
            <w:tcW w:w="0" w:type="auto"/>
            <w:tcBorders>
              <w:top w:val="nil"/>
              <w:left w:val="nil"/>
              <w:bottom w:val="single" w:sz="4" w:space="0" w:color="auto"/>
              <w:right w:val="single" w:sz="4" w:space="0" w:color="auto"/>
            </w:tcBorders>
            <w:shd w:val="clear" w:color="auto" w:fill="auto"/>
            <w:vAlign w:val="center"/>
            <w:hideMark/>
          </w:tcPr>
          <w:p w14:paraId="3C07AE3D"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0DB43C65"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67DA73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D83B4A1"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30B55650"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37BCFC07" w14:textId="77777777" w:rsidR="00572995" w:rsidRPr="00483EBE" w:rsidRDefault="00572995" w:rsidP="00E8324D">
            <w:pPr>
              <w:pStyle w:val="Tablas"/>
              <w:rPr>
                <w:sz w:val="12"/>
                <w:szCs w:val="12"/>
              </w:rPr>
            </w:pPr>
            <w:r w:rsidRPr="00483EBE">
              <w:rPr>
                <w:sz w:val="12"/>
                <w:szCs w:val="12"/>
              </w:rPr>
              <w:t>$52,176</w:t>
            </w:r>
          </w:p>
        </w:tc>
        <w:tc>
          <w:tcPr>
            <w:tcW w:w="0" w:type="auto"/>
            <w:tcBorders>
              <w:top w:val="nil"/>
              <w:left w:val="nil"/>
              <w:bottom w:val="single" w:sz="4" w:space="0" w:color="auto"/>
              <w:right w:val="single" w:sz="4" w:space="0" w:color="auto"/>
            </w:tcBorders>
            <w:shd w:val="clear" w:color="auto" w:fill="auto"/>
            <w:vAlign w:val="center"/>
            <w:hideMark/>
          </w:tcPr>
          <w:p w14:paraId="681D5E86" w14:textId="77777777" w:rsidR="00572995" w:rsidRPr="00483EBE" w:rsidRDefault="00572995" w:rsidP="00E8324D">
            <w:pPr>
              <w:pStyle w:val="Tablas"/>
              <w:rPr>
                <w:sz w:val="12"/>
                <w:szCs w:val="12"/>
              </w:rPr>
            </w:pPr>
            <w:r w:rsidRPr="00483EBE">
              <w:rPr>
                <w:sz w:val="12"/>
                <w:szCs w:val="12"/>
              </w:rPr>
              <w:t>$1,373</w:t>
            </w:r>
          </w:p>
        </w:tc>
        <w:tc>
          <w:tcPr>
            <w:tcW w:w="0" w:type="auto"/>
            <w:tcBorders>
              <w:top w:val="nil"/>
              <w:left w:val="nil"/>
              <w:bottom w:val="single" w:sz="4" w:space="0" w:color="auto"/>
              <w:right w:val="single" w:sz="4" w:space="0" w:color="auto"/>
            </w:tcBorders>
            <w:shd w:val="clear" w:color="auto" w:fill="auto"/>
            <w:vAlign w:val="center"/>
            <w:hideMark/>
          </w:tcPr>
          <w:p w14:paraId="49C02D8B"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6CA018CA"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4E401C8" w14:textId="77777777" w:rsidR="00572995" w:rsidRPr="00483EBE" w:rsidRDefault="00572995" w:rsidP="00E8324D">
            <w:pPr>
              <w:pStyle w:val="Tablas"/>
              <w:rPr>
                <w:sz w:val="12"/>
                <w:szCs w:val="12"/>
              </w:rPr>
            </w:pPr>
            <w:r w:rsidRPr="00483EBE">
              <w:rPr>
                <w:sz w:val="12"/>
                <w:szCs w:val="12"/>
              </w:rPr>
              <w:t>SEBD</w:t>
            </w:r>
          </w:p>
        </w:tc>
      </w:tr>
      <w:tr w:rsidR="00572995" w:rsidRPr="00483EBE" w14:paraId="675ED26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626F66" w14:textId="77777777" w:rsidR="00572995" w:rsidRPr="00483EBE" w:rsidRDefault="00572995" w:rsidP="00E8324D">
            <w:pPr>
              <w:pStyle w:val="Tablas"/>
              <w:rPr>
                <w:sz w:val="12"/>
                <w:szCs w:val="12"/>
              </w:rPr>
            </w:pPr>
            <w:r w:rsidRPr="00483EBE">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4E5854C6" w14:textId="77777777" w:rsidR="00572995" w:rsidRPr="00483EBE" w:rsidRDefault="00572995" w:rsidP="00E8324D">
            <w:pPr>
              <w:pStyle w:val="Tablas"/>
              <w:rPr>
                <w:sz w:val="12"/>
                <w:szCs w:val="12"/>
              </w:rPr>
            </w:pPr>
            <w:r w:rsidRPr="00483EBE">
              <w:rPr>
                <w:sz w:val="12"/>
                <w:szCs w:val="12"/>
              </w:rPr>
              <w:t xml:space="preserve">247 </w:t>
            </w:r>
          </w:p>
        </w:tc>
        <w:tc>
          <w:tcPr>
            <w:tcW w:w="0" w:type="auto"/>
            <w:tcBorders>
              <w:top w:val="nil"/>
              <w:left w:val="nil"/>
              <w:bottom w:val="single" w:sz="4" w:space="0" w:color="auto"/>
              <w:right w:val="single" w:sz="4" w:space="0" w:color="auto"/>
            </w:tcBorders>
            <w:shd w:val="clear" w:color="auto" w:fill="auto"/>
            <w:vAlign w:val="center"/>
            <w:hideMark/>
          </w:tcPr>
          <w:p w14:paraId="2DB91D07" w14:textId="77777777" w:rsidR="00572995" w:rsidRPr="00483EBE" w:rsidRDefault="00572995" w:rsidP="00E8324D">
            <w:pPr>
              <w:pStyle w:val="Tablas"/>
              <w:rPr>
                <w:sz w:val="12"/>
                <w:szCs w:val="12"/>
              </w:rPr>
            </w:pPr>
            <w:r w:rsidRPr="00483EBE">
              <w:rPr>
                <w:sz w:val="12"/>
                <w:szCs w:val="12"/>
              </w:rPr>
              <w:t>$251,684</w:t>
            </w:r>
          </w:p>
        </w:tc>
        <w:tc>
          <w:tcPr>
            <w:tcW w:w="0" w:type="auto"/>
            <w:tcBorders>
              <w:top w:val="nil"/>
              <w:left w:val="nil"/>
              <w:bottom w:val="single" w:sz="4" w:space="0" w:color="auto"/>
              <w:right w:val="single" w:sz="4" w:space="0" w:color="auto"/>
            </w:tcBorders>
            <w:shd w:val="clear" w:color="auto" w:fill="auto"/>
            <w:vAlign w:val="center"/>
            <w:hideMark/>
          </w:tcPr>
          <w:p w14:paraId="319B5B01" w14:textId="77777777" w:rsidR="00572995" w:rsidRPr="00483EBE" w:rsidRDefault="00572995" w:rsidP="00E8324D">
            <w:pPr>
              <w:pStyle w:val="Tablas"/>
              <w:rPr>
                <w:sz w:val="12"/>
                <w:szCs w:val="12"/>
              </w:rPr>
            </w:pPr>
            <w:r w:rsidRPr="00483EBE">
              <w:rPr>
                <w:sz w:val="12"/>
                <w:szCs w:val="12"/>
              </w:rPr>
              <w:t>$1,019</w:t>
            </w:r>
          </w:p>
        </w:tc>
        <w:tc>
          <w:tcPr>
            <w:tcW w:w="0" w:type="auto"/>
            <w:tcBorders>
              <w:top w:val="nil"/>
              <w:left w:val="nil"/>
              <w:bottom w:val="single" w:sz="4" w:space="0" w:color="auto"/>
              <w:right w:val="single" w:sz="4" w:space="0" w:color="auto"/>
            </w:tcBorders>
            <w:shd w:val="clear" w:color="auto" w:fill="auto"/>
            <w:vAlign w:val="center"/>
            <w:hideMark/>
          </w:tcPr>
          <w:p w14:paraId="2FFEF774"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6367D88F"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21EBC15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C65D756"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1A02F42F" w14:textId="77777777" w:rsidR="00572995" w:rsidRPr="00483EBE" w:rsidRDefault="00572995" w:rsidP="00E8324D">
            <w:pPr>
              <w:pStyle w:val="Tablas"/>
              <w:rPr>
                <w:sz w:val="12"/>
                <w:szCs w:val="12"/>
              </w:rPr>
            </w:pPr>
            <w:r w:rsidRPr="00483EBE">
              <w:rPr>
                <w:sz w:val="12"/>
                <w:szCs w:val="12"/>
              </w:rPr>
              <w:t xml:space="preserve">44 </w:t>
            </w:r>
          </w:p>
        </w:tc>
        <w:tc>
          <w:tcPr>
            <w:tcW w:w="0" w:type="auto"/>
            <w:tcBorders>
              <w:top w:val="nil"/>
              <w:left w:val="nil"/>
              <w:bottom w:val="single" w:sz="4" w:space="0" w:color="auto"/>
              <w:right w:val="single" w:sz="4" w:space="0" w:color="auto"/>
            </w:tcBorders>
            <w:shd w:val="clear" w:color="auto" w:fill="auto"/>
            <w:vAlign w:val="center"/>
            <w:hideMark/>
          </w:tcPr>
          <w:p w14:paraId="7E5E5EF3" w14:textId="77777777" w:rsidR="00572995" w:rsidRPr="00483EBE" w:rsidRDefault="00572995" w:rsidP="00E8324D">
            <w:pPr>
              <w:pStyle w:val="Tablas"/>
              <w:rPr>
                <w:sz w:val="12"/>
                <w:szCs w:val="12"/>
              </w:rPr>
            </w:pPr>
            <w:r w:rsidRPr="00483EBE">
              <w:rPr>
                <w:sz w:val="12"/>
                <w:szCs w:val="12"/>
              </w:rPr>
              <w:t>$62,652</w:t>
            </w:r>
          </w:p>
        </w:tc>
        <w:tc>
          <w:tcPr>
            <w:tcW w:w="0" w:type="auto"/>
            <w:tcBorders>
              <w:top w:val="nil"/>
              <w:left w:val="nil"/>
              <w:bottom w:val="single" w:sz="4" w:space="0" w:color="auto"/>
              <w:right w:val="single" w:sz="4" w:space="0" w:color="auto"/>
            </w:tcBorders>
            <w:shd w:val="clear" w:color="auto" w:fill="auto"/>
            <w:vAlign w:val="center"/>
            <w:hideMark/>
          </w:tcPr>
          <w:p w14:paraId="056D931B" w14:textId="77777777" w:rsidR="00572995" w:rsidRPr="00483EBE" w:rsidRDefault="00572995" w:rsidP="00E8324D">
            <w:pPr>
              <w:pStyle w:val="Tablas"/>
              <w:rPr>
                <w:sz w:val="12"/>
                <w:szCs w:val="12"/>
              </w:rPr>
            </w:pPr>
            <w:r w:rsidRPr="00483EBE">
              <w:rPr>
                <w:sz w:val="12"/>
                <w:szCs w:val="12"/>
              </w:rPr>
              <w:t>$1,424</w:t>
            </w:r>
          </w:p>
        </w:tc>
        <w:tc>
          <w:tcPr>
            <w:tcW w:w="0" w:type="auto"/>
            <w:tcBorders>
              <w:top w:val="nil"/>
              <w:left w:val="nil"/>
              <w:bottom w:val="single" w:sz="4" w:space="0" w:color="auto"/>
              <w:right w:val="single" w:sz="4" w:space="0" w:color="auto"/>
            </w:tcBorders>
            <w:shd w:val="clear" w:color="auto" w:fill="auto"/>
            <w:vAlign w:val="center"/>
            <w:hideMark/>
          </w:tcPr>
          <w:p w14:paraId="57B12BFA"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42F1065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38DF0E2" w14:textId="77777777" w:rsidR="00572995" w:rsidRPr="00483EBE" w:rsidRDefault="00572995" w:rsidP="00E8324D">
            <w:pPr>
              <w:pStyle w:val="Tablas"/>
              <w:rPr>
                <w:sz w:val="12"/>
                <w:szCs w:val="12"/>
              </w:rPr>
            </w:pPr>
            <w:r w:rsidRPr="00483EBE">
              <w:rPr>
                <w:sz w:val="12"/>
                <w:szCs w:val="12"/>
              </w:rPr>
              <w:t>SEBD</w:t>
            </w:r>
          </w:p>
        </w:tc>
      </w:tr>
      <w:tr w:rsidR="00572995" w:rsidRPr="00483EBE" w14:paraId="3344064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BBBDF57" w14:textId="77777777" w:rsidR="00572995" w:rsidRPr="00483EBE" w:rsidRDefault="00572995" w:rsidP="00E8324D">
            <w:pPr>
              <w:pStyle w:val="Tablas"/>
              <w:rPr>
                <w:sz w:val="12"/>
                <w:szCs w:val="12"/>
              </w:rPr>
            </w:pPr>
            <w:r w:rsidRPr="00483EBE">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3173DF7A" w14:textId="77777777" w:rsidR="00572995" w:rsidRPr="00483EBE" w:rsidRDefault="00572995" w:rsidP="00E8324D">
            <w:pPr>
              <w:pStyle w:val="Tablas"/>
              <w:rPr>
                <w:sz w:val="12"/>
                <w:szCs w:val="12"/>
              </w:rPr>
            </w:pPr>
            <w:r w:rsidRPr="00483EBE">
              <w:rPr>
                <w:sz w:val="12"/>
                <w:szCs w:val="12"/>
              </w:rPr>
              <w:t xml:space="preserve">284 </w:t>
            </w:r>
          </w:p>
        </w:tc>
        <w:tc>
          <w:tcPr>
            <w:tcW w:w="0" w:type="auto"/>
            <w:tcBorders>
              <w:top w:val="nil"/>
              <w:left w:val="nil"/>
              <w:bottom w:val="single" w:sz="4" w:space="0" w:color="auto"/>
              <w:right w:val="single" w:sz="4" w:space="0" w:color="auto"/>
            </w:tcBorders>
            <w:shd w:val="clear" w:color="auto" w:fill="auto"/>
            <w:vAlign w:val="center"/>
            <w:hideMark/>
          </w:tcPr>
          <w:p w14:paraId="4551211D" w14:textId="77777777" w:rsidR="00572995" w:rsidRPr="00483EBE" w:rsidRDefault="00572995" w:rsidP="00E8324D">
            <w:pPr>
              <w:pStyle w:val="Tablas"/>
              <w:rPr>
                <w:sz w:val="12"/>
                <w:szCs w:val="12"/>
              </w:rPr>
            </w:pPr>
            <w:r w:rsidRPr="00483EBE">
              <w:rPr>
                <w:sz w:val="12"/>
                <w:szCs w:val="12"/>
              </w:rPr>
              <w:t>$317,885</w:t>
            </w:r>
          </w:p>
        </w:tc>
        <w:tc>
          <w:tcPr>
            <w:tcW w:w="0" w:type="auto"/>
            <w:tcBorders>
              <w:top w:val="nil"/>
              <w:left w:val="nil"/>
              <w:bottom w:val="single" w:sz="4" w:space="0" w:color="auto"/>
              <w:right w:val="single" w:sz="4" w:space="0" w:color="auto"/>
            </w:tcBorders>
            <w:shd w:val="clear" w:color="auto" w:fill="auto"/>
            <w:vAlign w:val="center"/>
            <w:hideMark/>
          </w:tcPr>
          <w:p w14:paraId="54702E8D" w14:textId="77777777" w:rsidR="00572995" w:rsidRPr="00483EBE" w:rsidRDefault="00572995" w:rsidP="00E8324D">
            <w:pPr>
              <w:pStyle w:val="Tablas"/>
              <w:rPr>
                <w:sz w:val="12"/>
                <w:szCs w:val="12"/>
              </w:rPr>
            </w:pPr>
            <w:r w:rsidRPr="00483EBE">
              <w:rPr>
                <w:sz w:val="12"/>
                <w:szCs w:val="12"/>
              </w:rPr>
              <w:t>$1,119</w:t>
            </w:r>
          </w:p>
        </w:tc>
        <w:tc>
          <w:tcPr>
            <w:tcW w:w="0" w:type="auto"/>
            <w:tcBorders>
              <w:top w:val="nil"/>
              <w:left w:val="nil"/>
              <w:bottom w:val="single" w:sz="4" w:space="0" w:color="auto"/>
              <w:right w:val="single" w:sz="4" w:space="0" w:color="auto"/>
            </w:tcBorders>
            <w:shd w:val="clear" w:color="auto" w:fill="auto"/>
            <w:vAlign w:val="center"/>
            <w:hideMark/>
          </w:tcPr>
          <w:p w14:paraId="6EB6A8F8"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07D1273"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939B66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171AD6"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3F6D2490" w14:textId="77777777" w:rsidR="00572995" w:rsidRPr="00483EBE" w:rsidRDefault="00572995" w:rsidP="00E8324D">
            <w:pPr>
              <w:pStyle w:val="Tablas"/>
              <w:rPr>
                <w:sz w:val="12"/>
                <w:szCs w:val="12"/>
              </w:rPr>
            </w:pPr>
            <w:r w:rsidRPr="00483EBE">
              <w:rPr>
                <w:sz w:val="12"/>
                <w:szCs w:val="12"/>
              </w:rPr>
              <w:t xml:space="preserve">44 </w:t>
            </w:r>
          </w:p>
        </w:tc>
        <w:tc>
          <w:tcPr>
            <w:tcW w:w="0" w:type="auto"/>
            <w:tcBorders>
              <w:top w:val="nil"/>
              <w:left w:val="nil"/>
              <w:bottom w:val="single" w:sz="4" w:space="0" w:color="auto"/>
              <w:right w:val="single" w:sz="4" w:space="0" w:color="auto"/>
            </w:tcBorders>
            <w:shd w:val="clear" w:color="auto" w:fill="auto"/>
            <w:vAlign w:val="center"/>
            <w:hideMark/>
          </w:tcPr>
          <w:p w14:paraId="59207137" w14:textId="77777777" w:rsidR="00572995" w:rsidRPr="00483EBE" w:rsidRDefault="00572995" w:rsidP="00E8324D">
            <w:pPr>
              <w:pStyle w:val="Tablas"/>
              <w:rPr>
                <w:sz w:val="12"/>
                <w:szCs w:val="12"/>
              </w:rPr>
            </w:pPr>
            <w:r w:rsidRPr="00483EBE">
              <w:rPr>
                <w:sz w:val="12"/>
                <w:szCs w:val="12"/>
              </w:rPr>
              <w:t>$62,583</w:t>
            </w:r>
          </w:p>
        </w:tc>
        <w:tc>
          <w:tcPr>
            <w:tcW w:w="0" w:type="auto"/>
            <w:tcBorders>
              <w:top w:val="nil"/>
              <w:left w:val="nil"/>
              <w:bottom w:val="single" w:sz="4" w:space="0" w:color="auto"/>
              <w:right w:val="single" w:sz="4" w:space="0" w:color="auto"/>
            </w:tcBorders>
            <w:shd w:val="clear" w:color="auto" w:fill="auto"/>
            <w:vAlign w:val="center"/>
            <w:hideMark/>
          </w:tcPr>
          <w:p w14:paraId="4CA44111" w14:textId="77777777" w:rsidR="00572995" w:rsidRPr="00483EBE" w:rsidRDefault="00572995" w:rsidP="00E8324D">
            <w:pPr>
              <w:pStyle w:val="Tablas"/>
              <w:rPr>
                <w:sz w:val="12"/>
                <w:szCs w:val="12"/>
              </w:rPr>
            </w:pPr>
            <w:r w:rsidRPr="00483EBE">
              <w:rPr>
                <w:sz w:val="12"/>
                <w:szCs w:val="12"/>
              </w:rPr>
              <w:t>$1,422</w:t>
            </w:r>
          </w:p>
        </w:tc>
        <w:tc>
          <w:tcPr>
            <w:tcW w:w="0" w:type="auto"/>
            <w:tcBorders>
              <w:top w:val="nil"/>
              <w:left w:val="nil"/>
              <w:bottom w:val="single" w:sz="4" w:space="0" w:color="auto"/>
              <w:right w:val="single" w:sz="4" w:space="0" w:color="auto"/>
            </w:tcBorders>
            <w:shd w:val="clear" w:color="auto" w:fill="auto"/>
            <w:vAlign w:val="center"/>
            <w:hideMark/>
          </w:tcPr>
          <w:p w14:paraId="54610D34"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2A44708A"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E9E2026" w14:textId="77777777" w:rsidR="00572995" w:rsidRPr="00483EBE" w:rsidRDefault="00572995" w:rsidP="00E8324D">
            <w:pPr>
              <w:pStyle w:val="Tablas"/>
              <w:rPr>
                <w:sz w:val="12"/>
                <w:szCs w:val="12"/>
              </w:rPr>
            </w:pPr>
            <w:r w:rsidRPr="00483EBE">
              <w:rPr>
                <w:sz w:val="12"/>
                <w:szCs w:val="12"/>
              </w:rPr>
              <w:t>SEBD</w:t>
            </w:r>
          </w:p>
        </w:tc>
      </w:tr>
      <w:tr w:rsidR="00572995" w:rsidRPr="00483EBE" w14:paraId="0CB1C55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B0CB25" w14:textId="77777777" w:rsidR="00572995" w:rsidRPr="00483EBE" w:rsidRDefault="00572995" w:rsidP="00E8324D">
            <w:pPr>
              <w:pStyle w:val="Tablas"/>
              <w:rPr>
                <w:sz w:val="12"/>
                <w:szCs w:val="12"/>
              </w:rPr>
            </w:pPr>
            <w:r w:rsidRPr="00483EBE">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406E3AFC" w14:textId="77777777" w:rsidR="00572995" w:rsidRPr="00483EBE" w:rsidRDefault="00572995" w:rsidP="00E8324D">
            <w:pPr>
              <w:pStyle w:val="Tablas"/>
              <w:rPr>
                <w:sz w:val="12"/>
                <w:szCs w:val="12"/>
              </w:rPr>
            </w:pPr>
            <w:r w:rsidRPr="00483EBE">
              <w:rPr>
                <w:sz w:val="12"/>
                <w:szCs w:val="12"/>
              </w:rPr>
              <w:t xml:space="preserve">341 </w:t>
            </w:r>
          </w:p>
        </w:tc>
        <w:tc>
          <w:tcPr>
            <w:tcW w:w="0" w:type="auto"/>
            <w:tcBorders>
              <w:top w:val="nil"/>
              <w:left w:val="nil"/>
              <w:bottom w:val="single" w:sz="4" w:space="0" w:color="auto"/>
              <w:right w:val="single" w:sz="4" w:space="0" w:color="auto"/>
            </w:tcBorders>
            <w:shd w:val="clear" w:color="auto" w:fill="auto"/>
            <w:vAlign w:val="center"/>
            <w:hideMark/>
          </w:tcPr>
          <w:p w14:paraId="5FD9A8A4" w14:textId="77777777" w:rsidR="00572995" w:rsidRPr="00483EBE" w:rsidRDefault="00572995" w:rsidP="00E8324D">
            <w:pPr>
              <w:pStyle w:val="Tablas"/>
              <w:rPr>
                <w:sz w:val="12"/>
                <w:szCs w:val="12"/>
              </w:rPr>
            </w:pPr>
            <w:r w:rsidRPr="00483EBE">
              <w:rPr>
                <w:sz w:val="12"/>
                <w:szCs w:val="12"/>
              </w:rPr>
              <w:t>$366,515</w:t>
            </w:r>
          </w:p>
        </w:tc>
        <w:tc>
          <w:tcPr>
            <w:tcW w:w="0" w:type="auto"/>
            <w:tcBorders>
              <w:top w:val="nil"/>
              <w:left w:val="nil"/>
              <w:bottom w:val="single" w:sz="4" w:space="0" w:color="auto"/>
              <w:right w:val="single" w:sz="4" w:space="0" w:color="auto"/>
            </w:tcBorders>
            <w:shd w:val="clear" w:color="auto" w:fill="auto"/>
            <w:vAlign w:val="center"/>
            <w:hideMark/>
          </w:tcPr>
          <w:p w14:paraId="3C278647" w14:textId="77777777" w:rsidR="00572995" w:rsidRPr="00483EBE" w:rsidRDefault="00572995" w:rsidP="00E8324D">
            <w:pPr>
              <w:pStyle w:val="Tablas"/>
              <w:rPr>
                <w:sz w:val="12"/>
                <w:szCs w:val="12"/>
              </w:rPr>
            </w:pPr>
            <w:r w:rsidRPr="00483EBE">
              <w:rPr>
                <w:sz w:val="12"/>
                <w:szCs w:val="12"/>
              </w:rPr>
              <w:t>$1,075</w:t>
            </w:r>
          </w:p>
        </w:tc>
        <w:tc>
          <w:tcPr>
            <w:tcW w:w="0" w:type="auto"/>
            <w:tcBorders>
              <w:top w:val="nil"/>
              <w:left w:val="nil"/>
              <w:bottom w:val="single" w:sz="4" w:space="0" w:color="auto"/>
              <w:right w:val="single" w:sz="4" w:space="0" w:color="auto"/>
            </w:tcBorders>
            <w:shd w:val="clear" w:color="auto" w:fill="auto"/>
            <w:vAlign w:val="center"/>
            <w:hideMark/>
          </w:tcPr>
          <w:p w14:paraId="53571E72"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037CE49"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7F19C5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B068213"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23B90B04"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0CE85273" w14:textId="77777777" w:rsidR="00572995" w:rsidRPr="00483EBE" w:rsidRDefault="00572995" w:rsidP="00E8324D">
            <w:pPr>
              <w:pStyle w:val="Tablas"/>
              <w:rPr>
                <w:sz w:val="12"/>
                <w:szCs w:val="12"/>
              </w:rPr>
            </w:pPr>
            <w:r w:rsidRPr="00483EBE">
              <w:rPr>
                <w:sz w:val="12"/>
                <w:szCs w:val="12"/>
              </w:rPr>
              <w:t>$40,525</w:t>
            </w:r>
          </w:p>
        </w:tc>
        <w:tc>
          <w:tcPr>
            <w:tcW w:w="0" w:type="auto"/>
            <w:tcBorders>
              <w:top w:val="nil"/>
              <w:left w:val="nil"/>
              <w:bottom w:val="single" w:sz="4" w:space="0" w:color="auto"/>
              <w:right w:val="single" w:sz="4" w:space="0" w:color="auto"/>
            </w:tcBorders>
            <w:shd w:val="clear" w:color="auto" w:fill="auto"/>
            <w:vAlign w:val="center"/>
            <w:hideMark/>
          </w:tcPr>
          <w:p w14:paraId="47AFCFE2" w14:textId="77777777" w:rsidR="00572995" w:rsidRPr="00483EBE" w:rsidRDefault="00572995" w:rsidP="00E8324D">
            <w:pPr>
              <w:pStyle w:val="Tablas"/>
              <w:rPr>
                <w:sz w:val="12"/>
                <w:szCs w:val="12"/>
              </w:rPr>
            </w:pPr>
            <w:r w:rsidRPr="00483EBE">
              <w:rPr>
                <w:sz w:val="12"/>
                <w:szCs w:val="12"/>
              </w:rPr>
              <w:t>$1,158</w:t>
            </w:r>
          </w:p>
        </w:tc>
        <w:tc>
          <w:tcPr>
            <w:tcW w:w="0" w:type="auto"/>
            <w:tcBorders>
              <w:top w:val="nil"/>
              <w:left w:val="nil"/>
              <w:bottom w:val="single" w:sz="4" w:space="0" w:color="auto"/>
              <w:right w:val="single" w:sz="4" w:space="0" w:color="auto"/>
            </w:tcBorders>
            <w:shd w:val="clear" w:color="auto" w:fill="auto"/>
            <w:vAlign w:val="center"/>
            <w:hideMark/>
          </w:tcPr>
          <w:p w14:paraId="3EC6DD3B"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E21E8E3"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5F03F1B" w14:textId="77777777" w:rsidR="00572995" w:rsidRPr="00483EBE" w:rsidRDefault="00572995" w:rsidP="00E8324D">
            <w:pPr>
              <w:pStyle w:val="Tablas"/>
              <w:rPr>
                <w:sz w:val="12"/>
                <w:szCs w:val="12"/>
              </w:rPr>
            </w:pPr>
            <w:r w:rsidRPr="00483EBE">
              <w:rPr>
                <w:sz w:val="12"/>
                <w:szCs w:val="12"/>
              </w:rPr>
              <w:t>SEBD</w:t>
            </w:r>
          </w:p>
        </w:tc>
      </w:tr>
      <w:tr w:rsidR="00572995" w:rsidRPr="00483EBE" w14:paraId="3B83F44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ECDFAB" w14:textId="77777777" w:rsidR="00572995" w:rsidRPr="00483EBE" w:rsidRDefault="00572995" w:rsidP="00E8324D">
            <w:pPr>
              <w:pStyle w:val="Tablas"/>
              <w:rPr>
                <w:sz w:val="12"/>
                <w:szCs w:val="12"/>
              </w:rPr>
            </w:pPr>
            <w:r w:rsidRPr="00483EBE">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0C4D7206" w14:textId="77777777" w:rsidR="00572995" w:rsidRPr="00483EBE" w:rsidRDefault="00572995" w:rsidP="00E8324D">
            <w:pPr>
              <w:pStyle w:val="Tablas"/>
              <w:rPr>
                <w:sz w:val="12"/>
                <w:szCs w:val="12"/>
              </w:rPr>
            </w:pPr>
            <w:r w:rsidRPr="00483EBE">
              <w:rPr>
                <w:sz w:val="12"/>
                <w:szCs w:val="12"/>
              </w:rPr>
              <w:t xml:space="preserve">425 </w:t>
            </w:r>
          </w:p>
        </w:tc>
        <w:tc>
          <w:tcPr>
            <w:tcW w:w="0" w:type="auto"/>
            <w:tcBorders>
              <w:top w:val="nil"/>
              <w:left w:val="nil"/>
              <w:bottom w:val="single" w:sz="4" w:space="0" w:color="auto"/>
              <w:right w:val="single" w:sz="4" w:space="0" w:color="auto"/>
            </w:tcBorders>
            <w:shd w:val="clear" w:color="auto" w:fill="auto"/>
            <w:vAlign w:val="center"/>
            <w:hideMark/>
          </w:tcPr>
          <w:p w14:paraId="121C0DEC" w14:textId="77777777" w:rsidR="00572995" w:rsidRPr="00483EBE" w:rsidRDefault="00572995" w:rsidP="00E8324D">
            <w:pPr>
              <w:pStyle w:val="Tablas"/>
              <w:rPr>
                <w:sz w:val="12"/>
                <w:szCs w:val="12"/>
              </w:rPr>
            </w:pPr>
            <w:r w:rsidRPr="00483EBE">
              <w:rPr>
                <w:sz w:val="12"/>
                <w:szCs w:val="12"/>
              </w:rPr>
              <w:t>$452,070</w:t>
            </w:r>
          </w:p>
        </w:tc>
        <w:tc>
          <w:tcPr>
            <w:tcW w:w="0" w:type="auto"/>
            <w:tcBorders>
              <w:top w:val="nil"/>
              <w:left w:val="nil"/>
              <w:bottom w:val="single" w:sz="4" w:space="0" w:color="auto"/>
              <w:right w:val="single" w:sz="4" w:space="0" w:color="auto"/>
            </w:tcBorders>
            <w:shd w:val="clear" w:color="auto" w:fill="auto"/>
            <w:vAlign w:val="center"/>
            <w:hideMark/>
          </w:tcPr>
          <w:p w14:paraId="594EE3FC" w14:textId="77777777" w:rsidR="00572995" w:rsidRPr="00483EBE" w:rsidRDefault="00572995" w:rsidP="00E8324D">
            <w:pPr>
              <w:pStyle w:val="Tablas"/>
              <w:rPr>
                <w:sz w:val="12"/>
                <w:szCs w:val="12"/>
              </w:rPr>
            </w:pPr>
            <w:r w:rsidRPr="00483EBE">
              <w:rPr>
                <w:sz w:val="12"/>
                <w:szCs w:val="12"/>
              </w:rPr>
              <w:t>$1,064</w:t>
            </w:r>
          </w:p>
        </w:tc>
        <w:tc>
          <w:tcPr>
            <w:tcW w:w="0" w:type="auto"/>
            <w:tcBorders>
              <w:top w:val="nil"/>
              <w:left w:val="nil"/>
              <w:bottom w:val="single" w:sz="4" w:space="0" w:color="auto"/>
              <w:right w:val="single" w:sz="4" w:space="0" w:color="auto"/>
            </w:tcBorders>
            <w:shd w:val="clear" w:color="auto" w:fill="auto"/>
            <w:vAlign w:val="center"/>
            <w:hideMark/>
          </w:tcPr>
          <w:p w14:paraId="428D1ECD"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3AE379A9"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3BF246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6E485B9"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57EAB8D0"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62C0DCA7" w14:textId="77777777" w:rsidR="00572995" w:rsidRPr="00483EBE" w:rsidRDefault="00572995" w:rsidP="00E8324D">
            <w:pPr>
              <w:pStyle w:val="Tablas"/>
              <w:rPr>
                <w:sz w:val="12"/>
                <w:szCs w:val="12"/>
              </w:rPr>
            </w:pPr>
            <w:r w:rsidRPr="00483EBE">
              <w:rPr>
                <w:sz w:val="12"/>
                <w:szCs w:val="12"/>
              </w:rPr>
              <w:t>$46,487</w:t>
            </w:r>
          </w:p>
        </w:tc>
        <w:tc>
          <w:tcPr>
            <w:tcW w:w="0" w:type="auto"/>
            <w:tcBorders>
              <w:top w:val="nil"/>
              <w:left w:val="nil"/>
              <w:bottom w:val="single" w:sz="4" w:space="0" w:color="auto"/>
              <w:right w:val="single" w:sz="4" w:space="0" w:color="auto"/>
            </w:tcBorders>
            <w:shd w:val="clear" w:color="auto" w:fill="auto"/>
            <w:vAlign w:val="center"/>
            <w:hideMark/>
          </w:tcPr>
          <w:p w14:paraId="1BDDCB63" w14:textId="77777777" w:rsidR="00572995" w:rsidRPr="00483EBE" w:rsidRDefault="00572995" w:rsidP="00E8324D">
            <w:pPr>
              <w:pStyle w:val="Tablas"/>
              <w:rPr>
                <w:sz w:val="12"/>
                <w:szCs w:val="12"/>
              </w:rPr>
            </w:pPr>
            <w:r w:rsidRPr="00483EBE">
              <w:rPr>
                <w:sz w:val="12"/>
                <w:szCs w:val="12"/>
              </w:rPr>
              <w:t>$1,291</w:t>
            </w:r>
          </w:p>
        </w:tc>
        <w:tc>
          <w:tcPr>
            <w:tcW w:w="0" w:type="auto"/>
            <w:tcBorders>
              <w:top w:val="nil"/>
              <w:left w:val="nil"/>
              <w:bottom w:val="single" w:sz="4" w:space="0" w:color="auto"/>
              <w:right w:val="single" w:sz="4" w:space="0" w:color="auto"/>
            </w:tcBorders>
            <w:shd w:val="clear" w:color="auto" w:fill="auto"/>
            <w:vAlign w:val="center"/>
            <w:hideMark/>
          </w:tcPr>
          <w:p w14:paraId="26D04AD7"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1FD3E49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1EF5171A" w14:textId="77777777" w:rsidR="00572995" w:rsidRPr="00483EBE" w:rsidRDefault="00572995" w:rsidP="00E8324D">
            <w:pPr>
              <w:pStyle w:val="Tablas"/>
              <w:rPr>
                <w:sz w:val="12"/>
                <w:szCs w:val="12"/>
              </w:rPr>
            </w:pPr>
            <w:r w:rsidRPr="00483EBE">
              <w:rPr>
                <w:sz w:val="12"/>
                <w:szCs w:val="12"/>
              </w:rPr>
              <w:t>SEBD</w:t>
            </w:r>
          </w:p>
        </w:tc>
      </w:tr>
      <w:tr w:rsidR="00572995" w:rsidRPr="00483EBE" w14:paraId="23A47D2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03FD5C2" w14:textId="77777777" w:rsidR="00572995" w:rsidRPr="00483EBE" w:rsidRDefault="00572995" w:rsidP="00E8324D">
            <w:pPr>
              <w:pStyle w:val="Tablas"/>
              <w:rPr>
                <w:sz w:val="12"/>
                <w:szCs w:val="12"/>
              </w:rPr>
            </w:pPr>
            <w:r w:rsidRPr="00483EBE">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3BF85EA0" w14:textId="77777777" w:rsidR="00572995" w:rsidRPr="00483EBE" w:rsidRDefault="00572995" w:rsidP="00E8324D">
            <w:pPr>
              <w:pStyle w:val="Tablas"/>
              <w:rPr>
                <w:sz w:val="12"/>
                <w:szCs w:val="12"/>
              </w:rPr>
            </w:pPr>
            <w:r w:rsidRPr="00483EBE">
              <w:rPr>
                <w:sz w:val="12"/>
                <w:szCs w:val="12"/>
              </w:rPr>
              <w:t xml:space="preserve">445 </w:t>
            </w:r>
          </w:p>
        </w:tc>
        <w:tc>
          <w:tcPr>
            <w:tcW w:w="0" w:type="auto"/>
            <w:tcBorders>
              <w:top w:val="nil"/>
              <w:left w:val="nil"/>
              <w:bottom w:val="single" w:sz="4" w:space="0" w:color="auto"/>
              <w:right w:val="single" w:sz="4" w:space="0" w:color="auto"/>
            </w:tcBorders>
            <w:shd w:val="clear" w:color="auto" w:fill="auto"/>
            <w:vAlign w:val="center"/>
            <w:hideMark/>
          </w:tcPr>
          <w:p w14:paraId="4252F039" w14:textId="77777777" w:rsidR="00572995" w:rsidRPr="00483EBE" w:rsidRDefault="00572995" w:rsidP="00E8324D">
            <w:pPr>
              <w:pStyle w:val="Tablas"/>
              <w:rPr>
                <w:sz w:val="12"/>
                <w:szCs w:val="12"/>
              </w:rPr>
            </w:pPr>
            <w:r w:rsidRPr="00483EBE">
              <w:rPr>
                <w:sz w:val="12"/>
                <w:szCs w:val="12"/>
              </w:rPr>
              <w:t>$480,248</w:t>
            </w:r>
          </w:p>
        </w:tc>
        <w:tc>
          <w:tcPr>
            <w:tcW w:w="0" w:type="auto"/>
            <w:tcBorders>
              <w:top w:val="nil"/>
              <w:left w:val="nil"/>
              <w:bottom w:val="single" w:sz="4" w:space="0" w:color="auto"/>
              <w:right w:val="single" w:sz="4" w:space="0" w:color="auto"/>
            </w:tcBorders>
            <w:shd w:val="clear" w:color="auto" w:fill="auto"/>
            <w:vAlign w:val="center"/>
            <w:hideMark/>
          </w:tcPr>
          <w:p w14:paraId="02D69B38" w14:textId="77777777" w:rsidR="00572995" w:rsidRPr="00483EBE" w:rsidRDefault="00572995" w:rsidP="00E8324D">
            <w:pPr>
              <w:pStyle w:val="Tablas"/>
              <w:rPr>
                <w:sz w:val="12"/>
                <w:szCs w:val="12"/>
              </w:rPr>
            </w:pPr>
            <w:r w:rsidRPr="00483EBE">
              <w:rPr>
                <w:sz w:val="12"/>
                <w:szCs w:val="12"/>
              </w:rPr>
              <w:t>$1,079</w:t>
            </w:r>
          </w:p>
        </w:tc>
        <w:tc>
          <w:tcPr>
            <w:tcW w:w="0" w:type="auto"/>
            <w:tcBorders>
              <w:top w:val="nil"/>
              <w:left w:val="nil"/>
              <w:bottom w:val="single" w:sz="4" w:space="0" w:color="auto"/>
              <w:right w:val="single" w:sz="4" w:space="0" w:color="auto"/>
            </w:tcBorders>
            <w:shd w:val="clear" w:color="auto" w:fill="auto"/>
            <w:vAlign w:val="center"/>
            <w:hideMark/>
          </w:tcPr>
          <w:p w14:paraId="7E0D6505"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62E95B11"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2D577B7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0282102"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6E86F39C"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4A3C961E" w14:textId="77777777" w:rsidR="00572995" w:rsidRPr="00483EBE" w:rsidRDefault="00572995" w:rsidP="00E8324D">
            <w:pPr>
              <w:pStyle w:val="Tablas"/>
              <w:rPr>
                <w:sz w:val="12"/>
                <w:szCs w:val="12"/>
              </w:rPr>
            </w:pPr>
            <w:r w:rsidRPr="00483EBE">
              <w:rPr>
                <w:sz w:val="12"/>
                <w:szCs w:val="12"/>
              </w:rPr>
              <w:t>$46,551</w:t>
            </w:r>
          </w:p>
        </w:tc>
        <w:tc>
          <w:tcPr>
            <w:tcW w:w="0" w:type="auto"/>
            <w:tcBorders>
              <w:top w:val="nil"/>
              <w:left w:val="nil"/>
              <w:bottom w:val="single" w:sz="4" w:space="0" w:color="auto"/>
              <w:right w:val="single" w:sz="4" w:space="0" w:color="auto"/>
            </w:tcBorders>
            <w:shd w:val="clear" w:color="auto" w:fill="auto"/>
            <w:vAlign w:val="center"/>
            <w:hideMark/>
          </w:tcPr>
          <w:p w14:paraId="1157CCDA" w14:textId="77777777" w:rsidR="00572995" w:rsidRPr="00483EBE" w:rsidRDefault="00572995" w:rsidP="00E8324D">
            <w:pPr>
              <w:pStyle w:val="Tablas"/>
              <w:rPr>
                <w:sz w:val="12"/>
                <w:szCs w:val="12"/>
              </w:rPr>
            </w:pPr>
            <w:r w:rsidRPr="00483EBE">
              <w:rPr>
                <w:sz w:val="12"/>
                <w:szCs w:val="12"/>
              </w:rPr>
              <w:t>$1,258</w:t>
            </w:r>
          </w:p>
        </w:tc>
        <w:tc>
          <w:tcPr>
            <w:tcW w:w="0" w:type="auto"/>
            <w:tcBorders>
              <w:top w:val="nil"/>
              <w:left w:val="nil"/>
              <w:bottom w:val="single" w:sz="4" w:space="0" w:color="auto"/>
              <w:right w:val="single" w:sz="4" w:space="0" w:color="auto"/>
            </w:tcBorders>
            <w:shd w:val="clear" w:color="auto" w:fill="auto"/>
            <w:vAlign w:val="center"/>
            <w:hideMark/>
          </w:tcPr>
          <w:p w14:paraId="705A7366"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590A16B3"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315BA99" w14:textId="77777777" w:rsidR="00572995" w:rsidRPr="00483EBE" w:rsidRDefault="00572995" w:rsidP="00E8324D">
            <w:pPr>
              <w:pStyle w:val="Tablas"/>
              <w:rPr>
                <w:sz w:val="12"/>
                <w:szCs w:val="12"/>
              </w:rPr>
            </w:pPr>
            <w:r w:rsidRPr="00483EBE">
              <w:rPr>
                <w:sz w:val="12"/>
                <w:szCs w:val="12"/>
              </w:rPr>
              <w:t>SEBD</w:t>
            </w:r>
          </w:p>
        </w:tc>
      </w:tr>
      <w:tr w:rsidR="00572995" w:rsidRPr="00483EBE" w14:paraId="01F9672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8627837" w14:textId="77777777" w:rsidR="00572995" w:rsidRPr="00483EBE" w:rsidRDefault="00572995" w:rsidP="00E8324D">
            <w:pPr>
              <w:pStyle w:val="Tablas"/>
              <w:rPr>
                <w:sz w:val="12"/>
                <w:szCs w:val="12"/>
              </w:rPr>
            </w:pPr>
            <w:r w:rsidRPr="00483EBE">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74AACC84" w14:textId="77777777" w:rsidR="00572995" w:rsidRPr="00483EBE" w:rsidRDefault="00572995" w:rsidP="00E8324D">
            <w:pPr>
              <w:pStyle w:val="Tablas"/>
              <w:rPr>
                <w:sz w:val="12"/>
                <w:szCs w:val="12"/>
              </w:rPr>
            </w:pPr>
            <w:r w:rsidRPr="00483EBE">
              <w:rPr>
                <w:sz w:val="12"/>
                <w:szCs w:val="12"/>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5774CB94" w14:textId="77777777" w:rsidR="00572995" w:rsidRPr="00483EBE" w:rsidRDefault="00572995" w:rsidP="00E8324D">
            <w:pPr>
              <w:pStyle w:val="Tablas"/>
              <w:rPr>
                <w:sz w:val="12"/>
                <w:szCs w:val="12"/>
              </w:rPr>
            </w:pPr>
            <w:r w:rsidRPr="00483EBE">
              <w:rPr>
                <w:sz w:val="12"/>
                <w:szCs w:val="12"/>
              </w:rPr>
              <w:t>$526,089</w:t>
            </w:r>
          </w:p>
        </w:tc>
        <w:tc>
          <w:tcPr>
            <w:tcW w:w="0" w:type="auto"/>
            <w:tcBorders>
              <w:top w:val="nil"/>
              <w:left w:val="nil"/>
              <w:bottom w:val="single" w:sz="4" w:space="0" w:color="auto"/>
              <w:right w:val="single" w:sz="4" w:space="0" w:color="auto"/>
            </w:tcBorders>
            <w:shd w:val="clear" w:color="auto" w:fill="auto"/>
            <w:vAlign w:val="center"/>
            <w:hideMark/>
          </w:tcPr>
          <w:p w14:paraId="36B2CEB3" w14:textId="77777777" w:rsidR="00572995" w:rsidRPr="00483EBE" w:rsidRDefault="00572995" w:rsidP="00E8324D">
            <w:pPr>
              <w:pStyle w:val="Tablas"/>
              <w:rPr>
                <w:sz w:val="12"/>
                <w:szCs w:val="12"/>
              </w:rPr>
            </w:pPr>
            <w:r w:rsidRPr="00483EBE">
              <w:rPr>
                <w:sz w:val="12"/>
                <w:szCs w:val="12"/>
              </w:rPr>
              <w:t>$1,052</w:t>
            </w:r>
          </w:p>
        </w:tc>
        <w:tc>
          <w:tcPr>
            <w:tcW w:w="0" w:type="auto"/>
            <w:tcBorders>
              <w:top w:val="nil"/>
              <w:left w:val="nil"/>
              <w:bottom w:val="single" w:sz="4" w:space="0" w:color="auto"/>
              <w:right w:val="single" w:sz="4" w:space="0" w:color="auto"/>
            </w:tcBorders>
            <w:shd w:val="clear" w:color="auto" w:fill="auto"/>
            <w:vAlign w:val="center"/>
            <w:hideMark/>
          </w:tcPr>
          <w:p w14:paraId="04B06C04"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7F2C97C3"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6CC70A8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EBAC18"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2E35E079"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63F14DEF" w14:textId="77777777" w:rsidR="00572995" w:rsidRPr="00483EBE" w:rsidRDefault="00572995" w:rsidP="00E8324D">
            <w:pPr>
              <w:pStyle w:val="Tablas"/>
              <w:rPr>
                <w:sz w:val="12"/>
                <w:szCs w:val="12"/>
              </w:rPr>
            </w:pPr>
            <w:r w:rsidRPr="00483EBE">
              <w:rPr>
                <w:sz w:val="12"/>
                <w:szCs w:val="12"/>
              </w:rPr>
              <w:t>$38,365</w:t>
            </w:r>
          </w:p>
        </w:tc>
        <w:tc>
          <w:tcPr>
            <w:tcW w:w="0" w:type="auto"/>
            <w:tcBorders>
              <w:top w:val="nil"/>
              <w:left w:val="nil"/>
              <w:bottom w:val="single" w:sz="4" w:space="0" w:color="auto"/>
              <w:right w:val="single" w:sz="4" w:space="0" w:color="auto"/>
            </w:tcBorders>
            <w:shd w:val="clear" w:color="auto" w:fill="auto"/>
            <w:vAlign w:val="center"/>
            <w:hideMark/>
          </w:tcPr>
          <w:p w14:paraId="3B47AAB5" w14:textId="77777777" w:rsidR="00572995" w:rsidRPr="00483EBE" w:rsidRDefault="00572995" w:rsidP="00E8324D">
            <w:pPr>
              <w:pStyle w:val="Tablas"/>
              <w:rPr>
                <w:sz w:val="12"/>
                <w:szCs w:val="12"/>
              </w:rPr>
            </w:pPr>
            <w:r w:rsidRPr="00483EBE">
              <w:rPr>
                <w:sz w:val="12"/>
                <w:szCs w:val="12"/>
              </w:rPr>
              <w:t>$1,421</w:t>
            </w:r>
          </w:p>
        </w:tc>
        <w:tc>
          <w:tcPr>
            <w:tcW w:w="0" w:type="auto"/>
            <w:tcBorders>
              <w:top w:val="nil"/>
              <w:left w:val="nil"/>
              <w:bottom w:val="single" w:sz="4" w:space="0" w:color="auto"/>
              <w:right w:val="single" w:sz="4" w:space="0" w:color="auto"/>
            </w:tcBorders>
            <w:shd w:val="clear" w:color="auto" w:fill="auto"/>
            <w:vAlign w:val="center"/>
            <w:hideMark/>
          </w:tcPr>
          <w:p w14:paraId="476CB646"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30997113"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993B0FC" w14:textId="77777777" w:rsidR="00572995" w:rsidRPr="00483EBE" w:rsidRDefault="00572995" w:rsidP="00E8324D">
            <w:pPr>
              <w:pStyle w:val="Tablas"/>
              <w:rPr>
                <w:sz w:val="12"/>
                <w:szCs w:val="12"/>
              </w:rPr>
            </w:pPr>
            <w:r w:rsidRPr="00483EBE">
              <w:rPr>
                <w:sz w:val="12"/>
                <w:szCs w:val="12"/>
              </w:rPr>
              <w:t>SEBD</w:t>
            </w:r>
          </w:p>
        </w:tc>
      </w:tr>
      <w:tr w:rsidR="00572995" w:rsidRPr="00483EBE" w14:paraId="03C5484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F7E297" w14:textId="77777777" w:rsidR="00572995" w:rsidRPr="00483EBE" w:rsidRDefault="00572995" w:rsidP="00E8324D">
            <w:pPr>
              <w:pStyle w:val="Tablas"/>
              <w:rPr>
                <w:sz w:val="12"/>
                <w:szCs w:val="12"/>
              </w:rPr>
            </w:pPr>
            <w:r w:rsidRPr="00483EBE">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5BBCB25E"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7113A620" w14:textId="77777777" w:rsidR="00572995" w:rsidRPr="00483EBE" w:rsidRDefault="00572995" w:rsidP="00E8324D">
            <w:pPr>
              <w:pStyle w:val="Tablas"/>
              <w:rPr>
                <w:sz w:val="12"/>
                <w:szCs w:val="12"/>
              </w:rPr>
            </w:pPr>
            <w:r w:rsidRPr="00483EBE">
              <w:rPr>
                <w:sz w:val="12"/>
                <w:szCs w:val="12"/>
              </w:rPr>
              <w:t>$25,149</w:t>
            </w:r>
          </w:p>
        </w:tc>
        <w:tc>
          <w:tcPr>
            <w:tcW w:w="0" w:type="auto"/>
            <w:tcBorders>
              <w:top w:val="nil"/>
              <w:left w:val="nil"/>
              <w:bottom w:val="single" w:sz="4" w:space="0" w:color="auto"/>
              <w:right w:val="single" w:sz="4" w:space="0" w:color="auto"/>
            </w:tcBorders>
            <w:shd w:val="clear" w:color="auto" w:fill="auto"/>
            <w:vAlign w:val="center"/>
            <w:hideMark/>
          </w:tcPr>
          <w:p w14:paraId="19D8FBA2" w14:textId="77777777" w:rsidR="00572995" w:rsidRPr="00483EBE" w:rsidRDefault="00572995" w:rsidP="00E8324D">
            <w:pPr>
              <w:pStyle w:val="Tablas"/>
              <w:rPr>
                <w:sz w:val="12"/>
                <w:szCs w:val="12"/>
              </w:rPr>
            </w:pPr>
            <w:r w:rsidRPr="00483EBE">
              <w:rPr>
                <w:sz w:val="12"/>
                <w:szCs w:val="12"/>
              </w:rPr>
              <w:t>$931</w:t>
            </w:r>
          </w:p>
        </w:tc>
        <w:tc>
          <w:tcPr>
            <w:tcW w:w="0" w:type="auto"/>
            <w:tcBorders>
              <w:top w:val="nil"/>
              <w:left w:val="nil"/>
              <w:bottom w:val="single" w:sz="4" w:space="0" w:color="auto"/>
              <w:right w:val="single" w:sz="4" w:space="0" w:color="auto"/>
            </w:tcBorders>
            <w:shd w:val="clear" w:color="auto" w:fill="auto"/>
            <w:vAlign w:val="center"/>
            <w:hideMark/>
          </w:tcPr>
          <w:p w14:paraId="343A3FCF"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39AEA664"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7C321B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43A713"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236D3AFA"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307C4FB4" w14:textId="77777777" w:rsidR="00572995" w:rsidRPr="00483EBE" w:rsidRDefault="00572995" w:rsidP="00E8324D">
            <w:pPr>
              <w:pStyle w:val="Tablas"/>
              <w:rPr>
                <w:sz w:val="12"/>
                <w:szCs w:val="12"/>
              </w:rPr>
            </w:pPr>
            <w:r w:rsidRPr="00483EBE">
              <w:rPr>
                <w:sz w:val="12"/>
                <w:szCs w:val="12"/>
              </w:rPr>
              <w:t>$49,110</w:t>
            </w:r>
          </w:p>
        </w:tc>
        <w:tc>
          <w:tcPr>
            <w:tcW w:w="0" w:type="auto"/>
            <w:tcBorders>
              <w:top w:val="nil"/>
              <w:left w:val="nil"/>
              <w:bottom w:val="single" w:sz="4" w:space="0" w:color="auto"/>
              <w:right w:val="single" w:sz="4" w:space="0" w:color="auto"/>
            </w:tcBorders>
            <w:shd w:val="clear" w:color="auto" w:fill="auto"/>
            <w:vAlign w:val="center"/>
            <w:hideMark/>
          </w:tcPr>
          <w:p w14:paraId="2C0A7FCA" w14:textId="77777777" w:rsidR="00572995" w:rsidRPr="00483EBE" w:rsidRDefault="00572995" w:rsidP="00E8324D">
            <w:pPr>
              <w:pStyle w:val="Tablas"/>
              <w:rPr>
                <w:sz w:val="12"/>
                <w:szCs w:val="12"/>
              </w:rPr>
            </w:pPr>
            <w:r w:rsidRPr="00483EBE">
              <w:rPr>
                <w:sz w:val="12"/>
                <w:szCs w:val="12"/>
              </w:rPr>
              <w:t>$1,535</w:t>
            </w:r>
          </w:p>
        </w:tc>
        <w:tc>
          <w:tcPr>
            <w:tcW w:w="0" w:type="auto"/>
            <w:tcBorders>
              <w:top w:val="nil"/>
              <w:left w:val="nil"/>
              <w:bottom w:val="single" w:sz="4" w:space="0" w:color="auto"/>
              <w:right w:val="single" w:sz="4" w:space="0" w:color="auto"/>
            </w:tcBorders>
            <w:shd w:val="clear" w:color="auto" w:fill="auto"/>
            <w:vAlign w:val="center"/>
            <w:hideMark/>
          </w:tcPr>
          <w:p w14:paraId="29D5223B" w14:textId="77777777" w:rsidR="00572995" w:rsidRPr="00483EBE" w:rsidRDefault="00572995" w:rsidP="00E8324D">
            <w:pPr>
              <w:pStyle w:val="Tablas"/>
              <w:rPr>
                <w:sz w:val="12"/>
                <w:szCs w:val="12"/>
              </w:rPr>
            </w:pPr>
            <w:r w:rsidRPr="00483EBE">
              <w:rPr>
                <w:sz w:val="12"/>
                <w:szCs w:val="12"/>
              </w:rPr>
              <w:t>$128</w:t>
            </w:r>
          </w:p>
        </w:tc>
        <w:tc>
          <w:tcPr>
            <w:tcW w:w="0" w:type="auto"/>
            <w:tcBorders>
              <w:top w:val="nil"/>
              <w:left w:val="nil"/>
              <w:bottom w:val="single" w:sz="4" w:space="0" w:color="auto"/>
              <w:right w:val="single" w:sz="4" w:space="0" w:color="auto"/>
            </w:tcBorders>
            <w:shd w:val="clear" w:color="auto" w:fill="auto"/>
            <w:vAlign w:val="center"/>
            <w:hideMark/>
          </w:tcPr>
          <w:p w14:paraId="708EED9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63E0151" w14:textId="77777777" w:rsidR="00572995" w:rsidRPr="00483EBE" w:rsidRDefault="00572995" w:rsidP="00E8324D">
            <w:pPr>
              <w:pStyle w:val="Tablas"/>
              <w:rPr>
                <w:sz w:val="12"/>
                <w:szCs w:val="12"/>
              </w:rPr>
            </w:pPr>
            <w:r w:rsidRPr="00483EBE">
              <w:rPr>
                <w:sz w:val="12"/>
                <w:szCs w:val="12"/>
              </w:rPr>
              <w:t>SEBD</w:t>
            </w:r>
          </w:p>
        </w:tc>
      </w:tr>
      <w:tr w:rsidR="00572995" w:rsidRPr="00483EBE" w14:paraId="297965D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272D36A" w14:textId="77777777" w:rsidR="00572995" w:rsidRPr="00483EBE" w:rsidRDefault="00572995" w:rsidP="00E8324D">
            <w:pPr>
              <w:pStyle w:val="Tablas"/>
              <w:rPr>
                <w:sz w:val="12"/>
                <w:szCs w:val="12"/>
              </w:rPr>
            </w:pPr>
            <w:r w:rsidRPr="00483EBE">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4A255A81"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60DEE44" w14:textId="77777777" w:rsidR="00572995" w:rsidRPr="00483EBE" w:rsidRDefault="00572995" w:rsidP="00E8324D">
            <w:pPr>
              <w:pStyle w:val="Tablas"/>
              <w:rPr>
                <w:sz w:val="12"/>
                <w:szCs w:val="12"/>
              </w:rPr>
            </w:pPr>
            <w:r w:rsidRPr="00483EBE">
              <w:rPr>
                <w:sz w:val="12"/>
                <w:szCs w:val="12"/>
              </w:rPr>
              <w:t>$1,738</w:t>
            </w:r>
          </w:p>
        </w:tc>
        <w:tc>
          <w:tcPr>
            <w:tcW w:w="0" w:type="auto"/>
            <w:tcBorders>
              <w:top w:val="nil"/>
              <w:left w:val="nil"/>
              <w:bottom w:val="single" w:sz="4" w:space="0" w:color="auto"/>
              <w:right w:val="single" w:sz="4" w:space="0" w:color="auto"/>
            </w:tcBorders>
            <w:shd w:val="clear" w:color="auto" w:fill="auto"/>
            <w:vAlign w:val="center"/>
            <w:hideMark/>
          </w:tcPr>
          <w:p w14:paraId="2F7A73A8" w14:textId="77777777" w:rsidR="00572995" w:rsidRPr="00483EBE" w:rsidRDefault="00572995" w:rsidP="00E8324D">
            <w:pPr>
              <w:pStyle w:val="Tablas"/>
              <w:rPr>
                <w:sz w:val="12"/>
                <w:szCs w:val="12"/>
              </w:rPr>
            </w:pPr>
            <w:r w:rsidRPr="00483EBE">
              <w:rPr>
                <w:sz w:val="12"/>
                <w:szCs w:val="12"/>
              </w:rPr>
              <w:t>$1,738</w:t>
            </w:r>
          </w:p>
        </w:tc>
        <w:tc>
          <w:tcPr>
            <w:tcW w:w="0" w:type="auto"/>
            <w:tcBorders>
              <w:top w:val="nil"/>
              <w:left w:val="nil"/>
              <w:bottom w:val="single" w:sz="4" w:space="0" w:color="auto"/>
              <w:right w:val="single" w:sz="4" w:space="0" w:color="auto"/>
            </w:tcBorders>
            <w:shd w:val="clear" w:color="auto" w:fill="auto"/>
            <w:vAlign w:val="center"/>
            <w:hideMark/>
          </w:tcPr>
          <w:p w14:paraId="07B3BC6A" w14:textId="77777777" w:rsidR="00572995" w:rsidRPr="00483EBE" w:rsidRDefault="00572995" w:rsidP="00E8324D">
            <w:pPr>
              <w:pStyle w:val="Tablas"/>
              <w:rPr>
                <w:sz w:val="12"/>
                <w:szCs w:val="12"/>
              </w:rPr>
            </w:pPr>
            <w:r w:rsidRPr="00483EBE">
              <w:rPr>
                <w:sz w:val="12"/>
                <w:szCs w:val="12"/>
              </w:rPr>
              <w:t>$145</w:t>
            </w:r>
          </w:p>
        </w:tc>
        <w:tc>
          <w:tcPr>
            <w:tcW w:w="0" w:type="auto"/>
            <w:tcBorders>
              <w:top w:val="nil"/>
              <w:left w:val="nil"/>
              <w:bottom w:val="single" w:sz="4" w:space="0" w:color="auto"/>
              <w:right w:val="single" w:sz="4" w:space="0" w:color="auto"/>
            </w:tcBorders>
            <w:shd w:val="clear" w:color="auto" w:fill="auto"/>
            <w:vAlign w:val="center"/>
            <w:hideMark/>
          </w:tcPr>
          <w:p w14:paraId="154FF3D2"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74973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DE79B7"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CF015C8"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31806B41" w14:textId="77777777" w:rsidR="00572995" w:rsidRPr="00483EBE" w:rsidRDefault="00572995" w:rsidP="00E8324D">
            <w:pPr>
              <w:pStyle w:val="Tablas"/>
              <w:rPr>
                <w:sz w:val="12"/>
                <w:szCs w:val="12"/>
              </w:rPr>
            </w:pPr>
            <w:r w:rsidRPr="00483EBE">
              <w:rPr>
                <w:sz w:val="12"/>
                <w:szCs w:val="12"/>
              </w:rPr>
              <w:t>$45,550</w:t>
            </w:r>
          </w:p>
        </w:tc>
        <w:tc>
          <w:tcPr>
            <w:tcW w:w="0" w:type="auto"/>
            <w:tcBorders>
              <w:top w:val="nil"/>
              <w:left w:val="nil"/>
              <w:bottom w:val="single" w:sz="4" w:space="0" w:color="auto"/>
              <w:right w:val="single" w:sz="4" w:space="0" w:color="auto"/>
            </w:tcBorders>
            <w:shd w:val="clear" w:color="auto" w:fill="auto"/>
            <w:vAlign w:val="center"/>
            <w:hideMark/>
          </w:tcPr>
          <w:p w14:paraId="269F6F09" w14:textId="77777777" w:rsidR="00572995" w:rsidRPr="00483EBE" w:rsidRDefault="00572995" w:rsidP="00E8324D">
            <w:pPr>
              <w:pStyle w:val="Tablas"/>
              <w:rPr>
                <w:sz w:val="12"/>
                <w:szCs w:val="12"/>
              </w:rPr>
            </w:pPr>
            <w:r w:rsidRPr="00483EBE">
              <w:rPr>
                <w:sz w:val="12"/>
                <w:szCs w:val="12"/>
              </w:rPr>
              <w:t>$1,265</w:t>
            </w:r>
          </w:p>
        </w:tc>
        <w:tc>
          <w:tcPr>
            <w:tcW w:w="0" w:type="auto"/>
            <w:tcBorders>
              <w:top w:val="nil"/>
              <w:left w:val="nil"/>
              <w:bottom w:val="single" w:sz="4" w:space="0" w:color="auto"/>
              <w:right w:val="single" w:sz="4" w:space="0" w:color="auto"/>
            </w:tcBorders>
            <w:shd w:val="clear" w:color="auto" w:fill="auto"/>
            <w:vAlign w:val="center"/>
            <w:hideMark/>
          </w:tcPr>
          <w:p w14:paraId="4D737E9D"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62CD3EC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6EE27CA" w14:textId="77777777" w:rsidR="00572995" w:rsidRPr="00483EBE" w:rsidRDefault="00572995" w:rsidP="00E8324D">
            <w:pPr>
              <w:pStyle w:val="Tablas"/>
              <w:rPr>
                <w:sz w:val="12"/>
                <w:szCs w:val="12"/>
              </w:rPr>
            </w:pPr>
            <w:r w:rsidRPr="00483EBE">
              <w:rPr>
                <w:sz w:val="12"/>
                <w:szCs w:val="12"/>
              </w:rPr>
              <w:t>SEBD</w:t>
            </w:r>
          </w:p>
        </w:tc>
      </w:tr>
      <w:tr w:rsidR="00572995" w:rsidRPr="00483EBE" w14:paraId="531F355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45EEA9" w14:textId="77777777" w:rsidR="00572995" w:rsidRPr="00483EBE" w:rsidRDefault="00572995" w:rsidP="00E8324D">
            <w:pPr>
              <w:pStyle w:val="Tablas"/>
              <w:rPr>
                <w:sz w:val="12"/>
                <w:szCs w:val="12"/>
              </w:rPr>
            </w:pPr>
            <w:r w:rsidRPr="00483EBE">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62E18A4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182D18A" w14:textId="77777777" w:rsidR="00572995" w:rsidRPr="00483EBE" w:rsidRDefault="00572995" w:rsidP="00E8324D">
            <w:pPr>
              <w:pStyle w:val="Tablas"/>
              <w:rPr>
                <w:sz w:val="12"/>
                <w:szCs w:val="12"/>
              </w:rPr>
            </w:pPr>
            <w:r w:rsidRPr="00483EBE">
              <w:rPr>
                <w:sz w:val="12"/>
                <w:szCs w:val="12"/>
              </w:rPr>
              <w:t>$718</w:t>
            </w:r>
          </w:p>
        </w:tc>
        <w:tc>
          <w:tcPr>
            <w:tcW w:w="0" w:type="auto"/>
            <w:tcBorders>
              <w:top w:val="nil"/>
              <w:left w:val="nil"/>
              <w:bottom w:val="single" w:sz="4" w:space="0" w:color="auto"/>
              <w:right w:val="single" w:sz="4" w:space="0" w:color="auto"/>
            </w:tcBorders>
            <w:shd w:val="clear" w:color="auto" w:fill="auto"/>
            <w:vAlign w:val="center"/>
            <w:hideMark/>
          </w:tcPr>
          <w:p w14:paraId="12AD4565" w14:textId="77777777" w:rsidR="00572995" w:rsidRPr="00483EBE" w:rsidRDefault="00572995" w:rsidP="00E8324D">
            <w:pPr>
              <w:pStyle w:val="Tablas"/>
              <w:rPr>
                <w:sz w:val="12"/>
                <w:szCs w:val="12"/>
              </w:rPr>
            </w:pPr>
            <w:r w:rsidRPr="00483EBE">
              <w:rPr>
                <w:sz w:val="12"/>
                <w:szCs w:val="12"/>
              </w:rPr>
              <w:t>$718</w:t>
            </w:r>
          </w:p>
        </w:tc>
        <w:tc>
          <w:tcPr>
            <w:tcW w:w="0" w:type="auto"/>
            <w:tcBorders>
              <w:top w:val="nil"/>
              <w:left w:val="nil"/>
              <w:bottom w:val="single" w:sz="4" w:space="0" w:color="auto"/>
              <w:right w:val="single" w:sz="4" w:space="0" w:color="auto"/>
            </w:tcBorders>
            <w:shd w:val="clear" w:color="auto" w:fill="auto"/>
            <w:vAlign w:val="center"/>
            <w:hideMark/>
          </w:tcPr>
          <w:p w14:paraId="1C4BF841"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297F9C4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F9C57D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E343E3"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68B03D0F"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4C2345A9" w14:textId="77777777" w:rsidR="00572995" w:rsidRPr="00483EBE" w:rsidRDefault="00572995" w:rsidP="00E8324D">
            <w:pPr>
              <w:pStyle w:val="Tablas"/>
              <w:rPr>
                <w:sz w:val="12"/>
                <w:szCs w:val="12"/>
              </w:rPr>
            </w:pPr>
            <w:r w:rsidRPr="00483EBE">
              <w:rPr>
                <w:sz w:val="12"/>
                <w:szCs w:val="12"/>
              </w:rPr>
              <w:t>$74,898</w:t>
            </w:r>
          </w:p>
        </w:tc>
        <w:tc>
          <w:tcPr>
            <w:tcW w:w="0" w:type="auto"/>
            <w:tcBorders>
              <w:top w:val="nil"/>
              <w:left w:val="nil"/>
              <w:bottom w:val="single" w:sz="4" w:space="0" w:color="auto"/>
              <w:right w:val="single" w:sz="4" w:space="0" w:color="auto"/>
            </w:tcBorders>
            <w:shd w:val="clear" w:color="auto" w:fill="auto"/>
            <w:vAlign w:val="center"/>
            <w:hideMark/>
          </w:tcPr>
          <w:p w14:paraId="00343CBD" w14:textId="77777777" w:rsidR="00572995" w:rsidRPr="00483EBE" w:rsidRDefault="00572995" w:rsidP="00E8324D">
            <w:pPr>
              <w:pStyle w:val="Tablas"/>
              <w:rPr>
                <w:sz w:val="12"/>
                <w:szCs w:val="12"/>
              </w:rPr>
            </w:pPr>
            <w:r w:rsidRPr="00483EBE">
              <w:rPr>
                <w:sz w:val="12"/>
                <w:szCs w:val="12"/>
              </w:rPr>
              <w:t>$1,783</w:t>
            </w:r>
          </w:p>
        </w:tc>
        <w:tc>
          <w:tcPr>
            <w:tcW w:w="0" w:type="auto"/>
            <w:tcBorders>
              <w:top w:val="nil"/>
              <w:left w:val="nil"/>
              <w:bottom w:val="single" w:sz="4" w:space="0" w:color="auto"/>
              <w:right w:val="single" w:sz="4" w:space="0" w:color="auto"/>
            </w:tcBorders>
            <w:shd w:val="clear" w:color="auto" w:fill="auto"/>
            <w:vAlign w:val="center"/>
            <w:hideMark/>
          </w:tcPr>
          <w:p w14:paraId="6F0AD80D" w14:textId="77777777" w:rsidR="00572995" w:rsidRPr="00483EBE" w:rsidRDefault="00572995" w:rsidP="00E8324D">
            <w:pPr>
              <w:pStyle w:val="Tablas"/>
              <w:rPr>
                <w:sz w:val="12"/>
                <w:szCs w:val="12"/>
              </w:rPr>
            </w:pPr>
            <w:r w:rsidRPr="00483EBE">
              <w:rPr>
                <w:sz w:val="12"/>
                <w:szCs w:val="12"/>
              </w:rPr>
              <w:t>$149</w:t>
            </w:r>
          </w:p>
        </w:tc>
        <w:tc>
          <w:tcPr>
            <w:tcW w:w="0" w:type="auto"/>
            <w:tcBorders>
              <w:top w:val="nil"/>
              <w:left w:val="nil"/>
              <w:bottom w:val="single" w:sz="4" w:space="0" w:color="auto"/>
              <w:right w:val="single" w:sz="4" w:space="0" w:color="auto"/>
            </w:tcBorders>
            <w:shd w:val="clear" w:color="auto" w:fill="auto"/>
            <w:vAlign w:val="center"/>
            <w:hideMark/>
          </w:tcPr>
          <w:p w14:paraId="0E0F702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14F1D2F" w14:textId="77777777" w:rsidR="00572995" w:rsidRPr="00483EBE" w:rsidRDefault="00572995" w:rsidP="00E8324D">
            <w:pPr>
              <w:pStyle w:val="Tablas"/>
              <w:rPr>
                <w:sz w:val="12"/>
                <w:szCs w:val="12"/>
              </w:rPr>
            </w:pPr>
            <w:r w:rsidRPr="00483EBE">
              <w:rPr>
                <w:sz w:val="12"/>
                <w:szCs w:val="12"/>
              </w:rPr>
              <w:t>SEBD</w:t>
            </w:r>
          </w:p>
        </w:tc>
      </w:tr>
      <w:tr w:rsidR="00572995" w:rsidRPr="00483EBE" w14:paraId="47CCEC4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4E3D52" w14:textId="77777777" w:rsidR="00572995" w:rsidRPr="00483EBE" w:rsidRDefault="00572995" w:rsidP="00E8324D">
            <w:pPr>
              <w:pStyle w:val="Tablas"/>
              <w:rPr>
                <w:sz w:val="12"/>
                <w:szCs w:val="12"/>
              </w:rPr>
            </w:pPr>
            <w:r w:rsidRPr="00483EBE">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27935B9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B2E745E" w14:textId="77777777" w:rsidR="00572995" w:rsidRPr="00483EBE" w:rsidRDefault="00572995" w:rsidP="00E8324D">
            <w:pPr>
              <w:pStyle w:val="Tablas"/>
              <w:rPr>
                <w:sz w:val="12"/>
                <w:szCs w:val="12"/>
              </w:rPr>
            </w:pPr>
            <w:r w:rsidRPr="00483EBE">
              <w:rPr>
                <w:sz w:val="12"/>
                <w:szCs w:val="12"/>
              </w:rPr>
              <w:t>$2,636</w:t>
            </w:r>
          </w:p>
        </w:tc>
        <w:tc>
          <w:tcPr>
            <w:tcW w:w="0" w:type="auto"/>
            <w:tcBorders>
              <w:top w:val="nil"/>
              <w:left w:val="nil"/>
              <w:bottom w:val="single" w:sz="4" w:space="0" w:color="auto"/>
              <w:right w:val="single" w:sz="4" w:space="0" w:color="auto"/>
            </w:tcBorders>
            <w:shd w:val="clear" w:color="auto" w:fill="auto"/>
            <w:vAlign w:val="center"/>
            <w:hideMark/>
          </w:tcPr>
          <w:p w14:paraId="20332E4A" w14:textId="77777777" w:rsidR="00572995" w:rsidRPr="00483EBE" w:rsidRDefault="00572995" w:rsidP="00E8324D">
            <w:pPr>
              <w:pStyle w:val="Tablas"/>
              <w:rPr>
                <w:sz w:val="12"/>
                <w:szCs w:val="12"/>
              </w:rPr>
            </w:pPr>
            <w:r w:rsidRPr="00483EBE">
              <w:rPr>
                <w:sz w:val="12"/>
                <w:szCs w:val="12"/>
              </w:rPr>
              <w:t>$879</w:t>
            </w:r>
          </w:p>
        </w:tc>
        <w:tc>
          <w:tcPr>
            <w:tcW w:w="0" w:type="auto"/>
            <w:tcBorders>
              <w:top w:val="nil"/>
              <w:left w:val="nil"/>
              <w:bottom w:val="single" w:sz="4" w:space="0" w:color="auto"/>
              <w:right w:val="single" w:sz="4" w:space="0" w:color="auto"/>
            </w:tcBorders>
            <w:shd w:val="clear" w:color="auto" w:fill="auto"/>
            <w:vAlign w:val="center"/>
            <w:hideMark/>
          </w:tcPr>
          <w:p w14:paraId="66839530"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60FF372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9F33EB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B9B5C4"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467EFE63"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10F2022C" w14:textId="77777777" w:rsidR="00572995" w:rsidRPr="00483EBE" w:rsidRDefault="00572995" w:rsidP="00E8324D">
            <w:pPr>
              <w:pStyle w:val="Tablas"/>
              <w:rPr>
                <w:sz w:val="12"/>
                <w:szCs w:val="12"/>
              </w:rPr>
            </w:pPr>
            <w:r w:rsidRPr="00483EBE">
              <w:rPr>
                <w:sz w:val="12"/>
                <w:szCs w:val="12"/>
              </w:rPr>
              <w:t>$39,982</w:t>
            </w:r>
          </w:p>
        </w:tc>
        <w:tc>
          <w:tcPr>
            <w:tcW w:w="0" w:type="auto"/>
            <w:tcBorders>
              <w:top w:val="nil"/>
              <w:left w:val="nil"/>
              <w:bottom w:val="single" w:sz="4" w:space="0" w:color="auto"/>
              <w:right w:val="single" w:sz="4" w:space="0" w:color="auto"/>
            </w:tcBorders>
            <w:shd w:val="clear" w:color="auto" w:fill="auto"/>
            <w:vAlign w:val="center"/>
            <w:hideMark/>
          </w:tcPr>
          <w:p w14:paraId="2F49FC2C" w14:textId="77777777" w:rsidR="00572995" w:rsidRPr="00483EBE" w:rsidRDefault="00572995" w:rsidP="00E8324D">
            <w:pPr>
              <w:pStyle w:val="Tablas"/>
              <w:rPr>
                <w:sz w:val="12"/>
                <w:szCs w:val="12"/>
              </w:rPr>
            </w:pPr>
            <w:r w:rsidRPr="00483EBE">
              <w:rPr>
                <w:sz w:val="12"/>
                <w:szCs w:val="12"/>
              </w:rPr>
              <w:t>$1,666</w:t>
            </w:r>
          </w:p>
        </w:tc>
        <w:tc>
          <w:tcPr>
            <w:tcW w:w="0" w:type="auto"/>
            <w:tcBorders>
              <w:top w:val="nil"/>
              <w:left w:val="nil"/>
              <w:bottom w:val="single" w:sz="4" w:space="0" w:color="auto"/>
              <w:right w:val="single" w:sz="4" w:space="0" w:color="auto"/>
            </w:tcBorders>
            <w:shd w:val="clear" w:color="auto" w:fill="auto"/>
            <w:vAlign w:val="center"/>
            <w:hideMark/>
          </w:tcPr>
          <w:p w14:paraId="445BE193" w14:textId="77777777" w:rsidR="00572995" w:rsidRPr="00483EBE" w:rsidRDefault="00572995" w:rsidP="00E8324D">
            <w:pPr>
              <w:pStyle w:val="Tablas"/>
              <w:rPr>
                <w:sz w:val="12"/>
                <w:szCs w:val="12"/>
              </w:rPr>
            </w:pPr>
            <w:r w:rsidRPr="00483EBE">
              <w:rPr>
                <w:sz w:val="12"/>
                <w:szCs w:val="12"/>
              </w:rPr>
              <w:t>$139</w:t>
            </w:r>
          </w:p>
        </w:tc>
        <w:tc>
          <w:tcPr>
            <w:tcW w:w="0" w:type="auto"/>
            <w:tcBorders>
              <w:top w:val="nil"/>
              <w:left w:val="nil"/>
              <w:bottom w:val="single" w:sz="4" w:space="0" w:color="auto"/>
              <w:right w:val="single" w:sz="4" w:space="0" w:color="auto"/>
            </w:tcBorders>
            <w:shd w:val="clear" w:color="auto" w:fill="auto"/>
            <w:vAlign w:val="center"/>
            <w:hideMark/>
          </w:tcPr>
          <w:p w14:paraId="13E9AA15"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62EADC4" w14:textId="77777777" w:rsidR="00572995" w:rsidRPr="00483EBE" w:rsidRDefault="00572995" w:rsidP="00E8324D">
            <w:pPr>
              <w:pStyle w:val="Tablas"/>
              <w:rPr>
                <w:sz w:val="12"/>
                <w:szCs w:val="12"/>
              </w:rPr>
            </w:pPr>
            <w:r w:rsidRPr="00483EBE">
              <w:rPr>
                <w:sz w:val="12"/>
                <w:szCs w:val="12"/>
              </w:rPr>
              <w:t>SEBD</w:t>
            </w:r>
          </w:p>
        </w:tc>
      </w:tr>
      <w:tr w:rsidR="00572995" w:rsidRPr="00483EBE" w14:paraId="37D21F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B9142DA" w14:textId="77777777" w:rsidR="00572995" w:rsidRPr="00483EBE" w:rsidRDefault="00572995" w:rsidP="00E8324D">
            <w:pPr>
              <w:pStyle w:val="Tablas"/>
              <w:rPr>
                <w:sz w:val="12"/>
                <w:szCs w:val="12"/>
              </w:rPr>
            </w:pPr>
            <w:r w:rsidRPr="00483EBE">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2EBE5D9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81A479F" w14:textId="77777777" w:rsidR="00572995" w:rsidRPr="00483EBE" w:rsidRDefault="00572995" w:rsidP="00E8324D">
            <w:pPr>
              <w:pStyle w:val="Tablas"/>
              <w:rPr>
                <w:sz w:val="12"/>
                <w:szCs w:val="12"/>
              </w:rPr>
            </w:pPr>
            <w:r w:rsidRPr="00483EBE">
              <w:rPr>
                <w:sz w:val="12"/>
                <w:szCs w:val="12"/>
              </w:rPr>
              <w:t>$3,018</w:t>
            </w:r>
          </w:p>
        </w:tc>
        <w:tc>
          <w:tcPr>
            <w:tcW w:w="0" w:type="auto"/>
            <w:tcBorders>
              <w:top w:val="nil"/>
              <w:left w:val="nil"/>
              <w:bottom w:val="single" w:sz="4" w:space="0" w:color="auto"/>
              <w:right w:val="single" w:sz="4" w:space="0" w:color="auto"/>
            </w:tcBorders>
            <w:shd w:val="clear" w:color="auto" w:fill="auto"/>
            <w:vAlign w:val="center"/>
            <w:hideMark/>
          </w:tcPr>
          <w:p w14:paraId="033A74B5" w14:textId="77777777" w:rsidR="00572995" w:rsidRPr="00483EBE" w:rsidRDefault="00572995" w:rsidP="00E8324D">
            <w:pPr>
              <w:pStyle w:val="Tablas"/>
              <w:rPr>
                <w:sz w:val="12"/>
                <w:szCs w:val="12"/>
              </w:rPr>
            </w:pPr>
            <w:r w:rsidRPr="00483EBE">
              <w:rPr>
                <w:sz w:val="12"/>
                <w:szCs w:val="12"/>
              </w:rPr>
              <w:t>$1,006</w:t>
            </w:r>
          </w:p>
        </w:tc>
        <w:tc>
          <w:tcPr>
            <w:tcW w:w="0" w:type="auto"/>
            <w:tcBorders>
              <w:top w:val="nil"/>
              <w:left w:val="nil"/>
              <w:bottom w:val="single" w:sz="4" w:space="0" w:color="auto"/>
              <w:right w:val="single" w:sz="4" w:space="0" w:color="auto"/>
            </w:tcBorders>
            <w:shd w:val="clear" w:color="auto" w:fill="auto"/>
            <w:vAlign w:val="center"/>
            <w:hideMark/>
          </w:tcPr>
          <w:p w14:paraId="749C0457"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05F6D7A"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7F7B31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9D7389"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676618DF"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52D51580" w14:textId="77777777" w:rsidR="00572995" w:rsidRPr="00483EBE" w:rsidRDefault="00572995" w:rsidP="00E8324D">
            <w:pPr>
              <w:pStyle w:val="Tablas"/>
              <w:rPr>
                <w:sz w:val="12"/>
                <w:szCs w:val="12"/>
              </w:rPr>
            </w:pPr>
            <w:r w:rsidRPr="00483EBE">
              <w:rPr>
                <w:sz w:val="12"/>
                <w:szCs w:val="12"/>
              </w:rPr>
              <w:t>$28,943</w:t>
            </w:r>
          </w:p>
        </w:tc>
        <w:tc>
          <w:tcPr>
            <w:tcW w:w="0" w:type="auto"/>
            <w:tcBorders>
              <w:top w:val="nil"/>
              <w:left w:val="nil"/>
              <w:bottom w:val="single" w:sz="4" w:space="0" w:color="auto"/>
              <w:right w:val="single" w:sz="4" w:space="0" w:color="auto"/>
            </w:tcBorders>
            <w:shd w:val="clear" w:color="auto" w:fill="auto"/>
            <w:vAlign w:val="center"/>
            <w:hideMark/>
          </w:tcPr>
          <w:p w14:paraId="53A6BE51" w14:textId="77777777" w:rsidR="00572995" w:rsidRPr="00483EBE" w:rsidRDefault="00572995" w:rsidP="00E8324D">
            <w:pPr>
              <w:pStyle w:val="Tablas"/>
              <w:rPr>
                <w:sz w:val="12"/>
                <w:szCs w:val="12"/>
              </w:rPr>
            </w:pPr>
            <w:r w:rsidRPr="00483EBE">
              <w:rPr>
                <w:sz w:val="12"/>
                <w:szCs w:val="12"/>
              </w:rPr>
              <w:t>$1,523</w:t>
            </w:r>
          </w:p>
        </w:tc>
        <w:tc>
          <w:tcPr>
            <w:tcW w:w="0" w:type="auto"/>
            <w:tcBorders>
              <w:top w:val="nil"/>
              <w:left w:val="nil"/>
              <w:bottom w:val="single" w:sz="4" w:space="0" w:color="auto"/>
              <w:right w:val="single" w:sz="4" w:space="0" w:color="auto"/>
            </w:tcBorders>
            <w:shd w:val="clear" w:color="auto" w:fill="auto"/>
            <w:vAlign w:val="center"/>
            <w:hideMark/>
          </w:tcPr>
          <w:p w14:paraId="3EE01C11" w14:textId="77777777" w:rsidR="00572995" w:rsidRPr="00483EBE" w:rsidRDefault="00572995" w:rsidP="00E8324D">
            <w:pPr>
              <w:pStyle w:val="Tablas"/>
              <w:rPr>
                <w:sz w:val="12"/>
                <w:szCs w:val="12"/>
              </w:rPr>
            </w:pPr>
            <w:r w:rsidRPr="00483EBE">
              <w:rPr>
                <w:sz w:val="12"/>
                <w:szCs w:val="12"/>
              </w:rPr>
              <w:t>$127</w:t>
            </w:r>
          </w:p>
        </w:tc>
        <w:tc>
          <w:tcPr>
            <w:tcW w:w="0" w:type="auto"/>
            <w:tcBorders>
              <w:top w:val="nil"/>
              <w:left w:val="nil"/>
              <w:bottom w:val="single" w:sz="4" w:space="0" w:color="auto"/>
              <w:right w:val="single" w:sz="4" w:space="0" w:color="auto"/>
            </w:tcBorders>
            <w:shd w:val="clear" w:color="auto" w:fill="auto"/>
            <w:vAlign w:val="center"/>
            <w:hideMark/>
          </w:tcPr>
          <w:p w14:paraId="36A18E92"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EE73B12" w14:textId="77777777" w:rsidR="00572995" w:rsidRPr="00483EBE" w:rsidRDefault="00572995" w:rsidP="00E8324D">
            <w:pPr>
              <w:pStyle w:val="Tablas"/>
              <w:rPr>
                <w:sz w:val="12"/>
                <w:szCs w:val="12"/>
              </w:rPr>
            </w:pPr>
            <w:r w:rsidRPr="00483EBE">
              <w:rPr>
                <w:sz w:val="12"/>
                <w:szCs w:val="12"/>
              </w:rPr>
              <w:t>SEBD</w:t>
            </w:r>
          </w:p>
        </w:tc>
      </w:tr>
      <w:tr w:rsidR="00572995" w:rsidRPr="00483EBE" w14:paraId="7EC7AD5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2FDCC6E" w14:textId="77777777" w:rsidR="00572995" w:rsidRPr="00483EBE" w:rsidRDefault="00572995" w:rsidP="00E8324D">
            <w:pPr>
              <w:pStyle w:val="Tablas"/>
              <w:rPr>
                <w:sz w:val="12"/>
                <w:szCs w:val="12"/>
              </w:rPr>
            </w:pPr>
            <w:r w:rsidRPr="00483EBE">
              <w:rPr>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14:paraId="2D984CDD"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46C976E7" w14:textId="77777777" w:rsidR="00572995" w:rsidRPr="00483EBE" w:rsidRDefault="00572995" w:rsidP="00E8324D">
            <w:pPr>
              <w:pStyle w:val="Tablas"/>
              <w:rPr>
                <w:sz w:val="12"/>
                <w:szCs w:val="12"/>
              </w:rPr>
            </w:pPr>
            <w:r w:rsidRPr="00483EBE">
              <w:rPr>
                <w:sz w:val="12"/>
                <w:szCs w:val="12"/>
              </w:rPr>
              <w:t>$12,823</w:t>
            </w:r>
          </w:p>
        </w:tc>
        <w:tc>
          <w:tcPr>
            <w:tcW w:w="0" w:type="auto"/>
            <w:tcBorders>
              <w:top w:val="nil"/>
              <w:left w:val="nil"/>
              <w:bottom w:val="single" w:sz="4" w:space="0" w:color="auto"/>
              <w:right w:val="single" w:sz="4" w:space="0" w:color="auto"/>
            </w:tcBorders>
            <w:shd w:val="clear" w:color="auto" w:fill="auto"/>
            <w:vAlign w:val="center"/>
            <w:hideMark/>
          </w:tcPr>
          <w:p w14:paraId="39E353BC" w14:textId="77777777" w:rsidR="00572995" w:rsidRPr="00483EBE" w:rsidRDefault="00572995" w:rsidP="00E8324D">
            <w:pPr>
              <w:pStyle w:val="Tablas"/>
              <w:rPr>
                <w:sz w:val="12"/>
                <w:szCs w:val="12"/>
              </w:rPr>
            </w:pPr>
            <w:r w:rsidRPr="00483EBE">
              <w:rPr>
                <w:sz w:val="12"/>
                <w:szCs w:val="12"/>
              </w:rPr>
              <w:t>$1,166</w:t>
            </w:r>
          </w:p>
        </w:tc>
        <w:tc>
          <w:tcPr>
            <w:tcW w:w="0" w:type="auto"/>
            <w:tcBorders>
              <w:top w:val="nil"/>
              <w:left w:val="nil"/>
              <w:bottom w:val="single" w:sz="4" w:space="0" w:color="auto"/>
              <w:right w:val="single" w:sz="4" w:space="0" w:color="auto"/>
            </w:tcBorders>
            <w:shd w:val="clear" w:color="auto" w:fill="auto"/>
            <w:vAlign w:val="center"/>
            <w:hideMark/>
          </w:tcPr>
          <w:p w14:paraId="611028A3"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43F3F12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07702E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0B7A91D"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50DFC322"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334DCFA3" w14:textId="77777777" w:rsidR="00572995" w:rsidRPr="00483EBE" w:rsidRDefault="00572995" w:rsidP="00E8324D">
            <w:pPr>
              <w:pStyle w:val="Tablas"/>
              <w:rPr>
                <w:sz w:val="12"/>
                <w:szCs w:val="12"/>
              </w:rPr>
            </w:pPr>
            <w:r w:rsidRPr="00483EBE">
              <w:rPr>
                <w:sz w:val="12"/>
                <w:szCs w:val="12"/>
              </w:rPr>
              <w:t>$37,237</w:t>
            </w:r>
          </w:p>
        </w:tc>
        <w:tc>
          <w:tcPr>
            <w:tcW w:w="0" w:type="auto"/>
            <w:tcBorders>
              <w:top w:val="nil"/>
              <w:left w:val="nil"/>
              <w:bottom w:val="single" w:sz="4" w:space="0" w:color="auto"/>
              <w:right w:val="single" w:sz="4" w:space="0" w:color="auto"/>
            </w:tcBorders>
            <w:shd w:val="clear" w:color="auto" w:fill="auto"/>
            <w:vAlign w:val="center"/>
            <w:hideMark/>
          </w:tcPr>
          <w:p w14:paraId="4B23635A" w14:textId="77777777" w:rsidR="00572995" w:rsidRPr="00483EBE" w:rsidRDefault="00572995" w:rsidP="00E8324D">
            <w:pPr>
              <w:pStyle w:val="Tablas"/>
              <w:rPr>
                <w:sz w:val="12"/>
                <w:szCs w:val="12"/>
              </w:rPr>
            </w:pPr>
            <w:r w:rsidRPr="00483EBE">
              <w:rPr>
                <w:sz w:val="12"/>
                <w:szCs w:val="12"/>
              </w:rPr>
              <w:t>$1,379</w:t>
            </w:r>
          </w:p>
        </w:tc>
        <w:tc>
          <w:tcPr>
            <w:tcW w:w="0" w:type="auto"/>
            <w:tcBorders>
              <w:top w:val="nil"/>
              <w:left w:val="nil"/>
              <w:bottom w:val="single" w:sz="4" w:space="0" w:color="auto"/>
              <w:right w:val="single" w:sz="4" w:space="0" w:color="auto"/>
            </w:tcBorders>
            <w:shd w:val="clear" w:color="auto" w:fill="auto"/>
            <w:vAlign w:val="center"/>
            <w:hideMark/>
          </w:tcPr>
          <w:p w14:paraId="27A743F2" w14:textId="77777777" w:rsidR="00572995" w:rsidRPr="00483EBE" w:rsidRDefault="00572995" w:rsidP="00E8324D">
            <w:pPr>
              <w:pStyle w:val="Tablas"/>
              <w:rPr>
                <w:sz w:val="12"/>
                <w:szCs w:val="12"/>
              </w:rPr>
            </w:pPr>
            <w:r w:rsidRPr="00483EBE">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56E662FE"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F70A06F" w14:textId="77777777" w:rsidR="00572995" w:rsidRPr="00483EBE" w:rsidRDefault="00572995" w:rsidP="00E8324D">
            <w:pPr>
              <w:pStyle w:val="Tablas"/>
              <w:rPr>
                <w:sz w:val="12"/>
                <w:szCs w:val="12"/>
              </w:rPr>
            </w:pPr>
            <w:r w:rsidRPr="00483EBE">
              <w:rPr>
                <w:sz w:val="12"/>
                <w:szCs w:val="12"/>
              </w:rPr>
              <w:t>SEBD</w:t>
            </w:r>
          </w:p>
        </w:tc>
      </w:tr>
      <w:tr w:rsidR="00572995" w:rsidRPr="00483EBE" w14:paraId="49C95BC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510B50" w14:textId="77777777" w:rsidR="00572995" w:rsidRPr="00483EBE" w:rsidRDefault="00572995" w:rsidP="00E8324D">
            <w:pPr>
              <w:pStyle w:val="Tablas"/>
              <w:rPr>
                <w:sz w:val="12"/>
                <w:szCs w:val="12"/>
              </w:rPr>
            </w:pPr>
            <w:r w:rsidRPr="00483EBE">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392BE4E3"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63F8B6B9" w14:textId="77777777" w:rsidR="00572995" w:rsidRPr="00483EBE" w:rsidRDefault="00572995" w:rsidP="00E8324D">
            <w:pPr>
              <w:pStyle w:val="Tablas"/>
              <w:rPr>
                <w:sz w:val="12"/>
                <w:szCs w:val="12"/>
              </w:rPr>
            </w:pPr>
            <w:r w:rsidRPr="00483EBE">
              <w:rPr>
                <w:sz w:val="12"/>
                <w:szCs w:val="12"/>
              </w:rPr>
              <w:t>$15,782</w:t>
            </w:r>
          </w:p>
        </w:tc>
        <w:tc>
          <w:tcPr>
            <w:tcW w:w="0" w:type="auto"/>
            <w:tcBorders>
              <w:top w:val="nil"/>
              <w:left w:val="nil"/>
              <w:bottom w:val="single" w:sz="4" w:space="0" w:color="auto"/>
              <w:right w:val="single" w:sz="4" w:space="0" w:color="auto"/>
            </w:tcBorders>
            <w:shd w:val="clear" w:color="auto" w:fill="auto"/>
            <w:vAlign w:val="center"/>
            <w:hideMark/>
          </w:tcPr>
          <w:p w14:paraId="5786C460" w14:textId="77777777" w:rsidR="00572995" w:rsidRPr="00483EBE" w:rsidRDefault="00572995" w:rsidP="00E8324D">
            <w:pPr>
              <w:pStyle w:val="Tablas"/>
              <w:rPr>
                <w:sz w:val="12"/>
                <w:szCs w:val="12"/>
              </w:rPr>
            </w:pPr>
            <w:r w:rsidRPr="00483EBE">
              <w:rPr>
                <w:sz w:val="12"/>
                <w:szCs w:val="12"/>
              </w:rPr>
              <w:t>$928</w:t>
            </w:r>
          </w:p>
        </w:tc>
        <w:tc>
          <w:tcPr>
            <w:tcW w:w="0" w:type="auto"/>
            <w:tcBorders>
              <w:top w:val="nil"/>
              <w:left w:val="nil"/>
              <w:bottom w:val="single" w:sz="4" w:space="0" w:color="auto"/>
              <w:right w:val="single" w:sz="4" w:space="0" w:color="auto"/>
            </w:tcBorders>
            <w:shd w:val="clear" w:color="auto" w:fill="auto"/>
            <w:vAlign w:val="center"/>
            <w:hideMark/>
          </w:tcPr>
          <w:p w14:paraId="682889AA"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636231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5ECE52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1FBAD9"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284FDAB8"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1A868E0D" w14:textId="77777777" w:rsidR="00572995" w:rsidRPr="00483EBE" w:rsidRDefault="00572995" w:rsidP="00E8324D">
            <w:pPr>
              <w:pStyle w:val="Tablas"/>
              <w:rPr>
                <w:sz w:val="12"/>
                <w:szCs w:val="12"/>
              </w:rPr>
            </w:pPr>
            <w:r w:rsidRPr="00483EBE">
              <w:rPr>
                <w:sz w:val="12"/>
                <w:szCs w:val="12"/>
              </w:rPr>
              <w:t>$24,789</w:t>
            </w:r>
          </w:p>
        </w:tc>
        <w:tc>
          <w:tcPr>
            <w:tcW w:w="0" w:type="auto"/>
            <w:tcBorders>
              <w:top w:val="nil"/>
              <w:left w:val="nil"/>
              <w:bottom w:val="single" w:sz="4" w:space="0" w:color="auto"/>
              <w:right w:val="single" w:sz="4" w:space="0" w:color="auto"/>
            </w:tcBorders>
            <w:shd w:val="clear" w:color="auto" w:fill="auto"/>
            <w:vAlign w:val="center"/>
            <w:hideMark/>
          </w:tcPr>
          <w:p w14:paraId="37044DF5" w14:textId="77777777" w:rsidR="00572995" w:rsidRPr="00483EBE" w:rsidRDefault="00572995" w:rsidP="00E8324D">
            <w:pPr>
              <w:pStyle w:val="Tablas"/>
              <w:rPr>
                <w:sz w:val="12"/>
                <w:szCs w:val="12"/>
              </w:rPr>
            </w:pPr>
            <w:r w:rsidRPr="00483EBE">
              <w:rPr>
                <w:sz w:val="12"/>
                <w:szCs w:val="12"/>
              </w:rPr>
              <w:t>$1,653</w:t>
            </w:r>
          </w:p>
        </w:tc>
        <w:tc>
          <w:tcPr>
            <w:tcW w:w="0" w:type="auto"/>
            <w:tcBorders>
              <w:top w:val="nil"/>
              <w:left w:val="nil"/>
              <w:bottom w:val="single" w:sz="4" w:space="0" w:color="auto"/>
              <w:right w:val="single" w:sz="4" w:space="0" w:color="auto"/>
            </w:tcBorders>
            <w:shd w:val="clear" w:color="auto" w:fill="auto"/>
            <w:vAlign w:val="center"/>
            <w:hideMark/>
          </w:tcPr>
          <w:p w14:paraId="3B2F838D" w14:textId="77777777" w:rsidR="00572995" w:rsidRPr="00483EBE" w:rsidRDefault="00572995" w:rsidP="00E8324D">
            <w:pPr>
              <w:pStyle w:val="Tablas"/>
              <w:rPr>
                <w:sz w:val="12"/>
                <w:szCs w:val="12"/>
              </w:rPr>
            </w:pPr>
            <w:r w:rsidRPr="00483EBE">
              <w:rPr>
                <w:sz w:val="12"/>
                <w:szCs w:val="12"/>
              </w:rPr>
              <w:t>$138</w:t>
            </w:r>
          </w:p>
        </w:tc>
        <w:tc>
          <w:tcPr>
            <w:tcW w:w="0" w:type="auto"/>
            <w:tcBorders>
              <w:top w:val="nil"/>
              <w:left w:val="nil"/>
              <w:bottom w:val="single" w:sz="4" w:space="0" w:color="auto"/>
              <w:right w:val="single" w:sz="4" w:space="0" w:color="auto"/>
            </w:tcBorders>
            <w:shd w:val="clear" w:color="auto" w:fill="auto"/>
            <w:vAlign w:val="center"/>
            <w:hideMark/>
          </w:tcPr>
          <w:p w14:paraId="28D68001"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7F980A7" w14:textId="77777777" w:rsidR="00572995" w:rsidRPr="00483EBE" w:rsidRDefault="00572995" w:rsidP="00E8324D">
            <w:pPr>
              <w:pStyle w:val="Tablas"/>
              <w:rPr>
                <w:sz w:val="12"/>
                <w:szCs w:val="12"/>
              </w:rPr>
            </w:pPr>
            <w:r w:rsidRPr="00483EBE">
              <w:rPr>
                <w:sz w:val="12"/>
                <w:szCs w:val="12"/>
              </w:rPr>
              <w:t>SEBD</w:t>
            </w:r>
          </w:p>
        </w:tc>
      </w:tr>
      <w:tr w:rsidR="00572995" w:rsidRPr="00483EBE" w14:paraId="7A5CA55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D3150C" w14:textId="77777777" w:rsidR="00572995" w:rsidRPr="00483EBE" w:rsidRDefault="00572995" w:rsidP="00E8324D">
            <w:pPr>
              <w:pStyle w:val="Tablas"/>
              <w:rPr>
                <w:sz w:val="12"/>
                <w:szCs w:val="12"/>
              </w:rPr>
            </w:pPr>
            <w:r w:rsidRPr="00483EBE">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58DB3DD5"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6DDFF15D" w14:textId="77777777" w:rsidR="00572995" w:rsidRPr="00483EBE" w:rsidRDefault="00572995" w:rsidP="00E8324D">
            <w:pPr>
              <w:pStyle w:val="Tablas"/>
              <w:rPr>
                <w:sz w:val="12"/>
                <w:szCs w:val="12"/>
              </w:rPr>
            </w:pPr>
            <w:r w:rsidRPr="00483EBE">
              <w:rPr>
                <w:sz w:val="12"/>
                <w:szCs w:val="12"/>
              </w:rPr>
              <w:t>$14,227</w:t>
            </w:r>
          </w:p>
        </w:tc>
        <w:tc>
          <w:tcPr>
            <w:tcW w:w="0" w:type="auto"/>
            <w:tcBorders>
              <w:top w:val="nil"/>
              <w:left w:val="nil"/>
              <w:bottom w:val="single" w:sz="4" w:space="0" w:color="auto"/>
              <w:right w:val="single" w:sz="4" w:space="0" w:color="auto"/>
            </w:tcBorders>
            <w:shd w:val="clear" w:color="auto" w:fill="auto"/>
            <w:vAlign w:val="center"/>
            <w:hideMark/>
          </w:tcPr>
          <w:p w14:paraId="433B6696" w14:textId="77777777" w:rsidR="00572995" w:rsidRPr="00483EBE" w:rsidRDefault="00572995" w:rsidP="00E8324D">
            <w:pPr>
              <w:pStyle w:val="Tablas"/>
              <w:rPr>
                <w:sz w:val="12"/>
                <w:szCs w:val="12"/>
              </w:rPr>
            </w:pPr>
            <w:r w:rsidRPr="00483EBE">
              <w:rPr>
                <w:sz w:val="12"/>
                <w:szCs w:val="12"/>
              </w:rPr>
              <w:t>$1,016</w:t>
            </w:r>
          </w:p>
        </w:tc>
        <w:tc>
          <w:tcPr>
            <w:tcW w:w="0" w:type="auto"/>
            <w:tcBorders>
              <w:top w:val="nil"/>
              <w:left w:val="nil"/>
              <w:bottom w:val="single" w:sz="4" w:space="0" w:color="auto"/>
              <w:right w:val="single" w:sz="4" w:space="0" w:color="auto"/>
            </w:tcBorders>
            <w:shd w:val="clear" w:color="auto" w:fill="auto"/>
            <w:vAlign w:val="center"/>
            <w:hideMark/>
          </w:tcPr>
          <w:p w14:paraId="58DB4E40"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7055CB3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661A7E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B7398FF"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6CC13212"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4AAAC8A9" w14:textId="77777777" w:rsidR="00572995" w:rsidRPr="00483EBE" w:rsidRDefault="00572995" w:rsidP="00E8324D">
            <w:pPr>
              <w:pStyle w:val="Tablas"/>
              <w:rPr>
                <w:sz w:val="12"/>
                <w:szCs w:val="12"/>
              </w:rPr>
            </w:pPr>
            <w:r w:rsidRPr="00483EBE">
              <w:rPr>
                <w:sz w:val="12"/>
                <w:szCs w:val="12"/>
              </w:rPr>
              <w:t>$33,311</w:t>
            </w:r>
          </w:p>
        </w:tc>
        <w:tc>
          <w:tcPr>
            <w:tcW w:w="0" w:type="auto"/>
            <w:tcBorders>
              <w:top w:val="nil"/>
              <w:left w:val="nil"/>
              <w:bottom w:val="single" w:sz="4" w:space="0" w:color="auto"/>
              <w:right w:val="single" w:sz="4" w:space="0" w:color="auto"/>
            </w:tcBorders>
            <w:shd w:val="clear" w:color="auto" w:fill="auto"/>
            <w:vAlign w:val="center"/>
            <w:hideMark/>
          </w:tcPr>
          <w:p w14:paraId="14E0D96F" w14:textId="77777777" w:rsidR="00572995" w:rsidRPr="00483EBE" w:rsidRDefault="00572995" w:rsidP="00E8324D">
            <w:pPr>
              <w:pStyle w:val="Tablas"/>
              <w:rPr>
                <w:sz w:val="12"/>
                <w:szCs w:val="12"/>
              </w:rPr>
            </w:pPr>
            <w:r w:rsidRPr="00483EBE">
              <w:rPr>
                <w:sz w:val="12"/>
                <w:szCs w:val="12"/>
              </w:rPr>
              <w:t>$1,753</w:t>
            </w:r>
          </w:p>
        </w:tc>
        <w:tc>
          <w:tcPr>
            <w:tcW w:w="0" w:type="auto"/>
            <w:tcBorders>
              <w:top w:val="nil"/>
              <w:left w:val="nil"/>
              <w:bottom w:val="single" w:sz="4" w:space="0" w:color="auto"/>
              <w:right w:val="single" w:sz="4" w:space="0" w:color="auto"/>
            </w:tcBorders>
            <w:shd w:val="clear" w:color="auto" w:fill="auto"/>
            <w:vAlign w:val="center"/>
            <w:hideMark/>
          </w:tcPr>
          <w:p w14:paraId="1102293B" w14:textId="77777777" w:rsidR="00572995" w:rsidRPr="00483EBE" w:rsidRDefault="00572995" w:rsidP="00E8324D">
            <w:pPr>
              <w:pStyle w:val="Tablas"/>
              <w:rPr>
                <w:sz w:val="12"/>
                <w:szCs w:val="12"/>
              </w:rPr>
            </w:pPr>
            <w:r w:rsidRPr="00483EBE">
              <w:rPr>
                <w:sz w:val="12"/>
                <w:szCs w:val="12"/>
              </w:rPr>
              <w:t>$146</w:t>
            </w:r>
          </w:p>
        </w:tc>
        <w:tc>
          <w:tcPr>
            <w:tcW w:w="0" w:type="auto"/>
            <w:tcBorders>
              <w:top w:val="nil"/>
              <w:left w:val="nil"/>
              <w:bottom w:val="single" w:sz="4" w:space="0" w:color="auto"/>
              <w:right w:val="single" w:sz="4" w:space="0" w:color="auto"/>
            </w:tcBorders>
            <w:shd w:val="clear" w:color="auto" w:fill="auto"/>
            <w:vAlign w:val="center"/>
            <w:hideMark/>
          </w:tcPr>
          <w:p w14:paraId="1AF46ED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E4DD121" w14:textId="77777777" w:rsidR="00572995" w:rsidRPr="00483EBE" w:rsidRDefault="00572995" w:rsidP="00E8324D">
            <w:pPr>
              <w:pStyle w:val="Tablas"/>
              <w:rPr>
                <w:sz w:val="12"/>
                <w:szCs w:val="12"/>
              </w:rPr>
            </w:pPr>
            <w:r w:rsidRPr="00483EBE">
              <w:rPr>
                <w:sz w:val="12"/>
                <w:szCs w:val="12"/>
              </w:rPr>
              <w:t>SEBD</w:t>
            </w:r>
          </w:p>
        </w:tc>
      </w:tr>
      <w:tr w:rsidR="00572995" w:rsidRPr="00483EBE" w14:paraId="79DB6C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F401050" w14:textId="77777777" w:rsidR="00572995" w:rsidRPr="00483EBE" w:rsidRDefault="00572995" w:rsidP="00E8324D">
            <w:pPr>
              <w:pStyle w:val="Tablas"/>
              <w:rPr>
                <w:sz w:val="12"/>
                <w:szCs w:val="12"/>
              </w:rPr>
            </w:pPr>
            <w:r w:rsidRPr="00483EBE">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67BEA3E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7A2C2C4" w14:textId="77777777" w:rsidR="00572995" w:rsidRPr="00483EBE" w:rsidRDefault="00572995" w:rsidP="00E8324D">
            <w:pPr>
              <w:pStyle w:val="Tablas"/>
              <w:rPr>
                <w:sz w:val="12"/>
                <w:szCs w:val="12"/>
              </w:rPr>
            </w:pPr>
            <w:r w:rsidRPr="00483EBE">
              <w:rPr>
                <w:sz w:val="12"/>
                <w:szCs w:val="12"/>
              </w:rPr>
              <w:t>$8,010</w:t>
            </w:r>
          </w:p>
        </w:tc>
        <w:tc>
          <w:tcPr>
            <w:tcW w:w="0" w:type="auto"/>
            <w:tcBorders>
              <w:top w:val="nil"/>
              <w:left w:val="nil"/>
              <w:bottom w:val="single" w:sz="4" w:space="0" w:color="auto"/>
              <w:right w:val="single" w:sz="4" w:space="0" w:color="auto"/>
            </w:tcBorders>
            <w:shd w:val="clear" w:color="auto" w:fill="auto"/>
            <w:vAlign w:val="center"/>
            <w:hideMark/>
          </w:tcPr>
          <w:p w14:paraId="5A16979E" w14:textId="77777777" w:rsidR="00572995" w:rsidRPr="00483EBE" w:rsidRDefault="00572995" w:rsidP="00E8324D">
            <w:pPr>
              <w:pStyle w:val="Tablas"/>
              <w:rPr>
                <w:sz w:val="12"/>
                <w:szCs w:val="12"/>
              </w:rPr>
            </w:pPr>
            <w:r w:rsidRPr="00483EBE">
              <w:rPr>
                <w:sz w:val="12"/>
                <w:szCs w:val="12"/>
              </w:rPr>
              <w:t>$890</w:t>
            </w:r>
          </w:p>
        </w:tc>
        <w:tc>
          <w:tcPr>
            <w:tcW w:w="0" w:type="auto"/>
            <w:tcBorders>
              <w:top w:val="nil"/>
              <w:left w:val="nil"/>
              <w:bottom w:val="single" w:sz="4" w:space="0" w:color="auto"/>
              <w:right w:val="single" w:sz="4" w:space="0" w:color="auto"/>
            </w:tcBorders>
            <w:shd w:val="clear" w:color="auto" w:fill="auto"/>
            <w:vAlign w:val="center"/>
            <w:hideMark/>
          </w:tcPr>
          <w:p w14:paraId="2FC36E01"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75FDB86"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375A89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D1FEC7"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6A27E22C"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171C8F93" w14:textId="77777777" w:rsidR="00572995" w:rsidRPr="00483EBE" w:rsidRDefault="00572995" w:rsidP="00E8324D">
            <w:pPr>
              <w:pStyle w:val="Tablas"/>
              <w:rPr>
                <w:sz w:val="12"/>
                <w:szCs w:val="12"/>
              </w:rPr>
            </w:pPr>
            <w:r w:rsidRPr="00483EBE">
              <w:rPr>
                <w:sz w:val="12"/>
                <w:szCs w:val="12"/>
              </w:rPr>
              <w:t>$13,423</w:t>
            </w:r>
          </w:p>
        </w:tc>
        <w:tc>
          <w:tcPr>
            <w:tcW w:w="0" w:type="auto"/>
            <w:tcBorders>
              <w:top w:val="nil"/>
              <w:left w:val="nil"/>
              <w:bottom w:val="single" w:sz="4" w:space="0" w:color="auto"/>
              <w:right w:val="single" w:sz="4" w:space="0" w:color="auto"/>
            </w:tcBorders>
            <w:shd w:val="clear" w:color="auto" w:fill="auto"/>
            <w:vAlign w:val="center"/>
            <w:hideMark/>
          </w:tcPr>
          <w:p w14:paraId="3DBCA8DC" w14:textId="77777777" w:rsidR="00572995" w:rsidRPr="00483EBE" w:rsidRDefault="00572995" w:rsidP="00E8324D">
            <w:pPr>
              <w:pStyle w:val="Tablas"/>
              <w:rPr>
                <w:sz w:val="12"/>
                <w:szCs w:val="12"/>
              </w:rPr>
            </w:pPr>
            <w:r w:rsidRPr="00483EBE">
              <w:rPr>
                <w:sz w:val="12"/>
                <w:szCs w:val="12"/>
              </w:rPr>
              <w:t>$1,119</w:t>
            </w:r>
          </w:p>
        </w:tc>
        <w:tc>
          <w:tcPr>
            <w:tcW w:w="0" w:type="auto"/>
            <w:tcBorders>
              <w:top w:val="nil"/>
              <w:left w:val="nil"/>
              <w:bottom w:val="single" w:sz="4" w:space="0" w:color="auto"/>
              <w:right w:val="single" w:sz="4" w:space="0" w:color="auto"/>
            </w:tcBorders>
            <w:shd w:val="clear" w:color="auto" w:fill="auto"/>
            <w:vAlign w:val="center"/>
            <w:hideMark/>
          </w:tcPr>
          <w:p w14:paraId="09A6CB14"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5EC978DC"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22E6B68" w14:textId="77777777" w:rsidR="00572995" w:rsidRPr="00483EBE" w:rsidRDefault="00572995" w:rsidP="00E8324D">
            <w:pPr>
              <w:pStyle w:val="Tablas"/>
              <w:rPr>
                <w:sz w:val="12"/>
                <w:szCs w:val="12"/>
              </w:rPr>
            </w:pPr>
            <w:r w:rsidRPr="00483EBE">
              <w:rPr>
                <w:sz w:val="12"/>
                <w:szCs w:val="12"/>
              </w:rPr>
              <w:t>SEBD</w:t>
            </w:r>
          </w:p>
        </w:tc>
      </w:tr>
      <w:tr w:rsidR="00572995" w:rsidRPr="00483EBE" w14:paraId="3B77EE8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1E4A792" w14:textId="77777777" w:rsidR="00572995" w:rsidRPr="00483EBE" w:rsidRDefault="00572995" w:rsidP="00E8324D">
            <w:pPr>
              <w:pStyle w:val="Tablas"/>
              <w:rPr>
                <w:sz w:val="12"/>
                <w:szCs w:val="12"/>
              </w:rPr>
            </w:pPr>
            <w:r w:rsidRPr="00483EBE">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6BFD88F1"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787B7DF5" w14:textId="77777777" w:rsidR="00572995" w:rsidRPr="00483EBE" w:rsidRDefault="00572995" w:rsidP="00E8324D">
            <w:pPr>
              <w:pStyle w:val="Tablas"/>
              <w:rPr>
                <w:sz w:val="12"/>
                <w:szCs w:val="12"/>
              </w:rPr>
            </w:pPr>
            <w:r w:rsidRPr="00483EBE">
              <w:rPr>
                <w:sz w:val="12"/>
                <w:szCs w:val="12"/>
              </w:rPr>
              <w:t>$5,928</w:t>
            </w:r>
          </w:p>
        </w:tc>
        <w:tc>
          <w:tcPr>
            <w:tcW w:w="0" w:type="auto"/>
            <w:tcBorders>
              <w:top w:val="nil"/>
              <w:left w:val="nil"/>
              <w:bottom w:val="single" w:sz="4" w:space="0" w:color="auto"/>
              <w:right w:val="single" w:sz="4" w:space="0" w:color="auto"/>
            </w:tcBorders>
            <w:shd w:val="clear" w:color="auto" w:fill="auto"/>
            <w:vAlign w:val="center"/>
            <w:hideMark/>
          </w:tcPr>
          <w:p w14:paraId="349C1C50" w14:textId="77777777" w:rsidR="00572995" w:rsidRPr="00483EBE" w:rsidRDefault="00572995" w:rsidP="00E8324D">
            <w:pPr>
              <w:pStyle w:val="Tablas"/>
              <w:rPr>
                <w:sz w:val="12"/>
                <w:szCs w:val="12"/>
              </w:rPr>
            </w:pPr>
            <w:r w:rsidRPr="00483EBE">
              <w:rPr>
                <w:sz w:val="12"/>
                <w:szCs w:val="12"/>
              </w:rPr>
              <w:t>$847</w:t>
            </w:r>
          </w:p>
        </w:tc>
        <w:tc>
          <w:tcPr>
            <w:tcW w:w="0" w:type="auto"/>
            <w:tcBorders>
              <w:top w:val="nil"/>
              <w:left w:val="nil"/>
              <w:bottom w:val="single" w:sz="4" w:space="0" w:color="auto"/>
              <w:right w:val="single" w:sz="4" w:space="0" w:color="auto"/>
            </w:tcBorders>
            <w:shd w:val="clear" w:color="auto" w:fill="auto"/>
            <w:vAlign w:val="center"/>
            <w:hideMark/>
          </w:tcPr>
          <w:p w14:paraId="63F6E9B9"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1271550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0D863F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807DFC"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646DF24E"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68F5784B" w14:textId="77777777" w:rsidR="00572995" w:rsidRPr="00483EBE" w:rsidRDefault="00572995" w:rsidP="00E8324D">
            <w:pPr>
              <w:pStyle w:val="Tablas"/>
              <w:rPr>
                <w:sz w:val="12"/>
                <w:szCs w:val="12"/>
              </w:rPr>
            </w:pPr>
            <w:r w:rsidRPr="00483EBE">
              <w:rPr>
                <w:sz w:val="12"/>
                <w:szCs w:val="12"/>
              </w:rPr>
              <w:t>$13,566</w:t>
            </w:r>
          </w:p>
        </w:tc>
        <w:tc>
          <w:tcPr>
            <w:tcW w:w="0" w:type="auto"/>
            <w:tcBorders>
              <w:top w:val="nil"/>
              <w:left w:val="nil"/>
              <w:bottom w:val="single" w:sz="4" w:space="0" w:color="auto"/>
              <w:right w:val="single" w:sz="4" w:space="0" w:color="auto"/>
            </w:tcBorders>
            <w:shd w:val="clear" w:color="auto" w:fill="auto"/>
            <w:vAlign w:val="center"/>
            <w:hideMark/>
          </w:tcPr>
          <w:p w14:paraId="2C14CCE8" w14:textId="77777777" w:rsidR="00572995" w:rsidRPr="00483EBE" w:rsidRDefault="00572995" w:rsidP="00E8324D">
            <w:pPr>
              <w:pStyle w:val="Tablas"/>
              <w:rPr>
                <w:sz w:val="12"/>
                <w:szCs w:val="12"/>
              </w:rPr>
            </w:pPr>
            <w:r w:rsidRPr="00483EBE">
              <w:rPr>
                <w:sz w:val="12"/>
                <w:szCs w:val="12"/>
              </w:rPr>
              <w:t>$1,507</w:t>
            </w:r>
          </w:p>
        </w:tc>
        <w:tc>
          <w:tcPr>
            <w:tcW w:w="0" w:type="auto"/>
            <w:tcBorders>
              <w:top w:val="nil"/>
              <w:left w:val="nil"/>
              <w:bottom w:val="single" w:sz="4" w:space="0" w:color="auto"/>
              <w:right w:val="single" w:sz="4" w:space="0" w:color="auto"/>
            </w:tcBorders>
            <w:shd w:val="clear" w:color="auto" w:fill="auto"/>
            <w:vAlign w:val="center"/>
            <w:hideMark/>
          </w:tcPr>
          <w:p w14:paraId="3505BD31" w14:textId="77777777" w:rsidR="00572995" w:rsidRPr="00483EBE" w:rsidRDefault="00572995" w:rsidP="00E8324D">
            <w:pPr>
              <w:pStyle w:val="Tablas"/>
              <w:rPr>
                <w:sz w:val="12"/>
                <w:szCs w:val="12"/>
              </w:rPr>
            </w:pPr>
            <w:r w:rsidRPr="00483EBE">
              <w:rPr>
                <w:sz w:val="12"/>
                <w:szCs w:val="12"/>
              </w:rPr>
              <w:t>$126</w:t>
            </w:r>
          </w:p>
        </w:tc>
        <w:tc>
          <w:tcPr>
            <w:tcW w:w="0" w:type="auto"/>
            <w:tcBorders>
              <w:top w:val="nil"/>
              <w:left w:val="nil"/>
              <w:bottom w:val="single" w:sz="4" w:space="0" w:color="auto"/>
              <w:right w:val="single" w:sz="4" w:space="0" w:color="auto"/>
            </w:tcBorders>
            <w:shd w:val="clear" w:color="auto" w:fill="auto"/>
            <w:vAlign w:val="center"/>
            <w:hideMark/>
          </w:tcPr>
          <w:p w14:paraId="3837E3A2"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32487BB" w14:textId="77777777" w:rsidR="00572995" w:rsidRPr="00483EBE" w:rsidRDefault="00572995" w:rsidP="00E8324D">
            <w:pPr>
              <w:pStyle w:val="Tablas"/>
              <w:rPr>
                <w:sz w:val="12"/>
                <w:szCs w:val="12"/>
              </w:rPr>
            </w:pPr>
            <w:r w:rsidRPr="00483EBE">
              <w:rPr>
                <w:sz w:val="12"/>
                <w:szCs w:val="12"/>
              </w:rPr>
              <w:t>SEBD</w:t>
            </w:r>
          </w:p>
        </w:tc>
      </w:tr>
      <w:tr w:rsidR="00572995" w:rsidRPr="00483EBE" w14:paraId="223A23E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3063924" w14:textId="77777777" w:rsidR="00572995" w:rsidRPr="00483EBE" w:rsidRDefault="00572995" w:rsidP="00E8324D">
            <w:pPr>
              <w:pStyle w:val="Tablas"/>
              <w:rPr>
                <w:sz w:val="12"/>
                <w:szCs w:val="12"/>
              </w:rPr>
            </w:pPr>
            <w:r w:rsidRPr="00483EBE">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20CABEDF"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1D092B9C" w14:textId="77777777" w:rsidR="00572995" w:rsidRPr="00483EBE" w:rsidRDefault="00572995" w:rsidP="00E8324D">
            <w:pPr>
              <w:pStyle w:val="Tablas"/>
              <w:rPr>
                <w:sz w:val="12"/>
                <w:szCs w:val="12"/>
              </w:rPr>
            </w:pPr>
            <w:r w:rsidRPr="00483EBE">
              <w:rPr>
                <w:sz w:val="12"/>
                <w:szCs w:val="12"/>
              </w:rPr>
              <w:t>$11,615</w:t>
            </w:r>
          </w:p>
        </w:tc>
        <w:tc>
          <w:tcPr>
            <w:tcW w:w="0" w:type="auto"/>
            <w:tcBorders>
              <w:top w:val="nil"/>
              <w:left w:val="nil"/>
              <w:bottom w:val="single" w:sz="4" w:space="0" w:color="auto"/>
              <w:right w:val="single" w:sz="4" w:space="0" w:color="auto"/>
            </w:tcBorders>
            <w:shd w:val="clear" w:color="auto" w:fill="auto"/>
            <w:vAlign w:val="center"/>
            <w:hideMark/>
          </w:tcPr>
          <w:p w14:paraId="03DACBCE" w14:textId="77777777" w:rsidR="00572995" w:rsidRPr="00483EBE" w:rsidRDefault="00572995" w:rsidP="00E8324D">
            <w:pPr>
              <w:pStyle w:val="Tablas"/>
              <w:rPr>
                <w:sz w:val="12"/>
                <w:szCs w:val="12"/>
              </w:rPr>
            </w:pPr>
            <w:r w:rsidRPr="00483EBE">
              <w:rPr>
                <w:sz w:val="12"/>
                <w:szCs w:val="12"/>
              </w:rPr>
              <w:t>$893</w:t>
            </w:r>
          </w:p>
        </w:tc>
        <w:tc>
          <w:tcPr>
            <w:tcW w:w="0" w:type="auto"/>
            <w:tcBorders>
              <w:top w:val="nil"/>
              <w:left w:val="nil"/>
              <w:bottom w:val="single" w:sz="4" w:space="0" w:color="auto"/>
              <w:right w:val="single" w:sz="4" w:space="0" w:color="auto"/>
            </w:tcBorders>
            <w:shd w:val="clear" w:color="auto" w:fill="auto"/>
            <w:vAlign w:val="center"/>
            <w:hideMark/>
          </w:tcPr>
          <w:p w14:paraId="7BC93FED"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72A659B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2CD7E3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6F62F0"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5C336721"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3B0843F1" w14:textId="77777777" w:rsidR="00572995" w:rsidRPr="00483EBE" w:rsidRDefault="00572995" w:rsidP="00E8324D">
            <w:pPr>
              <w:pStyle w:val="Tablas"/>
              <w:rPr>
                <w:sz w:val="12"/>
                <w:szCs w:val="12"/>
              </w:rPr>
            </w:pPr>
            <w:r w:rsidRPr="00483EBE">
              <w:rPr>
                <w:sz w:val="12"/>
                <w:szCs w:val="12"/>
              </w:rPr>
              <w:t>$17,641</w:t>
            </w:r>
          </w:p>
        </w:tc>
        <w:tc>
          <w:tcPr>
            <w:tcW w:w="0" w:type="auto"/>
            <w:tcBorders>
              <w:top w:val="nil"/>
              <w:left w:val="nil"/>
              <w:bottom w:val="single" w:sz="4" w:space="0" w:color="auto"/>
              <w:right w:val="single" w:sz="4" w:space="0" w:color="auto"/>
            </w:tcBorders>
            <w:shd w:val="clear" w:color="auto" w:fill="auto"/>
            <w:vAlign w:val="center"/>
            <w:hideMark/>
          </w:tcPr>
          <w:p w14:paraId="47233E0E"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2E108032"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4A12C13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C8B975A" w14:textId="77777777" w:rsidR="00572995" w:rsidRPr="00483EBE" w:rsidRDefault="00572995" w:rsidP="00E8324D">
            <w:pPr>
              <w:pStyle w:val="Tablas"/>
              <w:rPr>
                <w:sz w:val="12"/>
                <w:szCs w:val="12"/>
              </w:rPr>
            </w:pPr>
            <w:r w:rsidRPr="00483EBE">
              <w:rPr>
                <w:sz w:val="12"/>
                <w:szCs w:val="12"/>
              </w:rPr>
              <w:t>SEBD</w:t>
            </w:r>
          </w:p>
        </w:tc>
      </w:tr>
      <w:tr w:rsidR="00572995" w:rsidRPr="00483EBE" w14:paraId="3F8D579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7FFDFB"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683F4E56"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5FAD365F" w14:textId="77777777" w:rsidR="00572995" w:rsidRPr="00483EBE" w:rsidRDefault="00572995" w:rsidP="00E8324D">
            <w:pPr>
              <w:pStyle w:val="Tablas"/>
              <w:rPr>
                <w:sz w:val="12"/>
                <w:szCs w:val="12"/>
              </w:rPr>
            </w:pPr>
            <w:r w:rsidRPr="00483EBE">
              <w:rPr>
                <w:sz w:val="12"/>
                <w:szCs w:val="12"/>
              </w:rPr>
              <w:t>$29,628</w:t>
            </w:r>
          </w:p>
        </w:tc>
        <w:tc>
          <w:tcPr>
            <w:tcW w:w="0" w:type="auto"/>
            <w:tcBorders>
              <w:top w:val="nil"/>
              <w:left w:val="nil"/>
              <w:bottom w:val="single" w:sz="4" w:space="0" w:color="auto"/>
              <w:right w:val="single" w:sz="4" w:space="0" w:color="auto"/>
            </w:tcBorders>
            <w:shd w:val="clear" w:color="auto" w:fill="auto"/>
            <w:vAlign w:val="center"/>
            <w:hideMark/>
          </w:tcPr>
          <w:p w14:paraId="130BC164" w14:textId="77777777" w:rsidR="00572995" w:rsidRPr="00483EBE" w:rsidRDefault="00572995" w:rsidP="00E8324D">
            <w:pPr>
              <w:pStyle w:val="Tablas"/>
              <w:rPr>
                <w:sz w:val="12"/>
                <w:szCs w:val="12"/>
              </w:rPr>
            </w:pPr>
            <w:r w:rsidRPr="00483EBE">
              <w:rPr>
                <w:sz w:val="12"/>
                <w:szCs w:val="12"/>
              </w:rPr>
              <w:t>$1,559</w:t>
            </w:r>
          </w:p>
        </w:tc>
        <w:tc>
          <w:tcPr>
            <w:tcW w:w="0" w:type="auto"/>
            <w:tcBorders>
              <w:top w:val="nil"/>
              <w:left w:val="nil"/>
              <w:bottom w:val="single" w:sz="4" w:space="0" w:color="auto"/>
              <w:right w:val="single" w:sz="4" w:space="0" w:color="auto"/>
            </w:tcBorders>
            <w:shd w:val="clear" w:color="auto" w:fill="auto"/>
            <w:vAlign w:val="center"/>
            <w:hideMark/>
          </w:tcPr>
          <w:p w14:paraId="4506DBDD" w14:textId="77777777" w:rsidR="00572995" w:rsidRPr="00483EBE" w:rsidRDefault="00572995" w:rsidP="00E8324D">
            <w:pPr>
              <w:pStyle w:val="Tablas"/>
              <w:rPr>
                <w:sz w:val="12"/>
                <w:szCs w:val="12"/>
              </w:rPr>
            </w:pPr>
            <w:r w:rsidRPr="00483EBE">
              <w:rPr>
                <w:sz w:val="12"/>
                <w:szCs w:val="12"/>
              </w:rPr>
              <w:t>$130</w:t>
            </w:r>
          </w:p>
        </w:tc>
        <w:tc>
          <w:tcPr>
            <w:tcW w:w="0" w:type="auto"/>
            <w:tcBorders>
              <w:top w:val="nil"/>
              <w:left w:val="nil"/>
              <w:bottom w:val="single" w:sz="4" w:space="0" w:color="auto"/>
              <w:right w:val="single" w:sz="4" w:space="0" w:color="auto"/>
            </w:tcBorders>
            <w:shd w:val="clear" w:color="auto" w:fill="auto"/>
            <w:vAlign w:val="center"/>
            <w:hideMark/>
          </w:tcPr>
          <w:p w14:paraId="332D928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65A94A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C052462"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3C517E1F"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D603FC9" w14:textId="77777777" w:rsidR="00572995" w:rsidRPr="00483EBE" w:rsidRDefault="00572995" w:rsidP="00E8324D">
            <w:pPr>
              <w:pStyle w:val="Tablas"/>
              <w:rPr>
                <w:sz w:val="12"/>
                <w:szCs w:val="12"/>
              </w:rPr>
            </w:pPr>
            <w:r w:rsidRPr="00483EBE">
              <w:rPr>
                <w:sz w:val="12"/>
                <w:szCs w:val="12"/>
              </w:rPr>
              <w:t>$13,198</w:t>
            </w:r>
          </w:p>
        </w:tc>
        <w:tc>
          <w:tcPr>
            <w:tcW w:w="0" w:type="auto"/>
            <w:tcBorders>
              <w:top w:val="nil"/>
              <w:left w:val="nil"/>
              <w:bottom w:val="single" w:sz="4" w:space="0" w:color="auto"/>
              <w:right w:val="single" w:sz="4" w:space="0" w:color="auto"/>
            </w:tcBorders>
            <w:shd w:val="clear" w:color="auto" w:fill="auto"/>
            <w:vAlign w:val="center"/>
            <w:hideMark/>
          </w:tcPr>
          <w:p w14:paraId="107BB14D" w14:textId="77777777" w:rsidR="00572995" w:rsidRPr="00483EBE" w:rsidRDefault="00572995" w:rsidP="00E8324D">
            <w:pPr>
              <w:pStyle w:val="Tablas"/>
              <w:rPr>
                <w:sz w:val="12"/>
                <w:szCs w:val="12"/>
              </w:rPr>
            </w:pPr>
            <w:r w:rsidRPr="00483EBE">
              <w:rPr>
                <w:sz w:val="12"/>
                <w:szCs w:val="12"/>
              </w:rPr>
              <w:t>$1,466</w:t>
            </w:r>
          </w:p>
        </w:tc>
        <w:tc>
          <w:tcPr>
            <w:tcW w:w="0" w:type="auto"/>
            <w:tcBorders>
              <w:top w:val="nil"/>
              <w:left w:val="nil"/>
              <w:bottom w:val="single" w:sz="4" w:space="0" w:color="auto"/>
              <w:right w:val="single" w:sz="4" w:space="0" w:color="auto"/>
            </w:tcBorders>
            <w:shd w:val="clear" w:color="auto" w:fill="auto"/>
            <w:vAlign w:val="center"/>
            <w:hideMark/>
          </w:tcPr>
          <w:p w14:paraId="744DA20C" w14:textId="77777777" w:rsidR="00572995" w:rsidRPr="00483EBE" w:rsidRDefault="00572995" w:rsidP="00E8324D">
            <w:pPr>
              <w:pStyle w:val="Tablas"/>
              <w:rPr>
                <w:sz w:val="12"/>
                <w:szCs w:val="12"/>
              </w:rPr>
            </w:pPr>
            <w:r w:rsidRPr="00483EBE">
              <w:rPr>
                <w:sz w:val="12"/>
                <w:szCs w:val="12"/>
              </w:rPr>
              <w:t>$122</w:t>
            </w:r>
          </w:p>
        </w:tc>
        <w:tc>
          <w:tcPr>
            <w:tcW w:w="0" w:type="auto"/>
            <w:tcBorders>
              <w:top w:val="nil"/>
              <w:left w:val="nil"/>
              <w:bottom w:val="single" w:sz="4" w:space="0" w:color="auto"/>
              <w:right w:val="single" w:sz="4" w:space="0" w:color="auto"/>
            </w:tcBorders>
            <w:shd w:val="clear" w:color="auto" w:fill="auto"/>
            <w:vAlign w:val="center"/>
            <w:hideMark/>
          </w:tcPr>
          <w:p w14:paraId="614EA6B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15E73CE" w14:textId="77777777" w:rsidR="00572995" w:rsidRPr="00483EBE" w:rsidRDefault="00572995" w:rsidP="00E8324D">
            <w:pPr>
              <w:pStyle w:val="Tablas"/>
              <w:rPr>
                <w:sz w:val="12"/>
                <w:szCs w:val="12"/>
              </w:rPr>
            </w:pPr>
            <w:r w:rsidRPr="00483EBE">
              <w:rPr>
                <w:sz w:val="12"/>
                <w:szCs w:val="12"/>
              </w:rPr>
              <w:t>SEBD</w:t>
            </w:r>
          </w:p>
        </w:tc>
      </w:tr>
      <w:tr w:rsidR="00572995" w:rsidRPr="00483EBE" w14:paraId="53B5255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6606B6" w14:textId="77777777" w:rsidR="00572995" w:rsidRPr="00483EBE" w:rsidRDefault="00572995" w:rsidP="00E8324D">
            <w:pPr>
              <w:pStyle w:val="Tablas"/>
              <w:rPr>
                <w:sz w:val="12"/>
                <w:szCs w:val="12"/>
              </w:rPr>
            </w:pPr>
            <w:r w:rsidRPr="00483EBE">
              <w:rPr>
                <w:sz w:val="12"/>
                <w:szCs w:val="12"/>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14:paraId="611C3933"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2CB4581" w14:textId="77777777" w:rsidR="00572995" w:rsidRPr="00483EBE" w:rsidRDefault="00572995" w:rsidP="00E8324D">
            <w:pPr>
              <w:pStyle w:val="Tablas"/>
              <w:rPr>
                <w:sz w:val="12"/>
                <w:szCs w:val="12"/>
              </w:rPr>
            </w:pPr>
            <w:r w:rsidRPr="00483EBE">
              <w:rPr>
                <w:sz w:val="12"/>
                <w:szCs w:val="12"/>
              </w:rPr>
              <w:t>$13,594</w:t>
            </w:r>
          </w:p>
        </w:tc>
        <w:tc>
          <w:tcPr>
            <w:tcW w:w="0" w:type="auto"/>
            <w:tcBorders>
              <w:top w:val="nil"/>
              <w:left w:val="nil"/>
              <w:bottom w:val="single" w:sz="4" w:space="0" w:color="auto"/>
              <w:right w:val="single" w:sz="4" w:space="0" w:color="auto"/>
            </w:tcBorders>
            <w:shd w:val="clear" w:color="auto" w:fill="auto"/>
            <w:vAlign w:val="center"/>
            <w:hideMark/>
          </w:tcPr>
          <w:p w14:paraId="1B360F87" w14:textId="77777777" w:rsidR="00572995" w:rsidRPr="00483EBE" w:rsidRDefault="00572995" w:rsidP="00E8324D">
            <w:pPr>
              <w:pStyle w:val="Tablas"/>
              <w:rPr>
                <w:sz w:val="12"/>
                <w:szCs w:val="12"/>
              </w:rPr>
            </w:pPr>
            <w:r w:rsidRPr="00483EBE">
              <w:rPr>
                <w:sz w:val="12"/>
                <w:szCs w:val="12"/>
              </w:rPr>
              <w:t>$1,510</w:t>
            </w:r>
          </w:p>
        </w:tc>
        <w:tc>
          <w:tcPr>
            <w:tcW w:w="0" w:type="auto"/>
            <w:tcBorders>
              <w:top w:val="nil"/>
              <w:left w:val="nil"/>
              <w:bottom w:val="single" w:sz="4" w:space="0" w:color="auto"/>
              <w:right w:val="single" w:sz="4" w:space="0" w:color="auto"/>
            </w:tcBorders>
            <w:shd w:val="clear" w:color="auto" w:fill="auto"/>
            <w:vAlign w:val="center"/>
            <w:hideMark/>
          </w:tcPr>
          <w:p w14:paraId="03FE6139" w14:textId="77777777" w:rsidR="00572995" w:rsidRPr="00483EBE" w:rsidRDefault="00572995" w:rsidP="00E8324D">
            <w:pPr>
              <w:pStyle w:val="Tablas"/>
              <w:rPr>
                <w:sz w:val="12"/>
                <w:szCs w:val="12"/>
              </w:rPr>
            </w:pPr>
            <w:r w:rsidRPr="00483EBE">
              <w:rPr>
                <w:sz w:val="12"/>
                <w:szCs w:val="12"/>
              </w:rPr>
              <w:t>$126</w:t>
            </w:r>
          </w:p>
        </w:tc>
        <w:tc>
          <w:tcPr>
            <w:tcW w:w="0" w:type="auto"/>
            <w:tcBorders>
              <w:top w:val="nil"/>
              <w:left w:val="nil"/>
              <w:bottom w:val="single" w:sz="4" w:space="0" w:color="auto"/>
              <w:right w:val="single" w:sz="4" w:space="0" w:color="auto"/>
            </w:tcBorders>
            <w:shd w:val="clear" w:color="auto" w:fill="auto"/>
            <w:vAlign w:val="center"/>
            <w:hideMark/>
          </w:tcPr>
          <w:p w14:paraId="50E47D81"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8AFA7B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C2CA63"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0CDB11CF"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4B46DD82" w14:textId="77777777" w:rsidR="00572995" w:rsidRPr="00483EBE" w:rsidRDefault="00572995" w:rsidP="00E8324D">
            <w:pPr>
              <w:pStyle w:val="Tablas"/>
              <w:rPr>
                <w:sz w:val="12"/>
                <w:szCs w:val="12"/>
              </w:rPr>
            </w:pPr>
            <w:r w:rsidRPr="00483EBE">
              <w:rPr>
                <w:sz w:val="12"/>
                <w:szCs w:val="12"/>
              </w:rPr>
              <w:t>$12,863</w:t>
            </w:r>
          </w:p>
        </w:tc>
        <w:tc>
          <w:tcPr>
            <w:tcW w:w="0" w:type="auto"/>
            <w:tcBorders>
              <w:top w:val="nil"/>
              <w:left w:val="nil"/>
              <w:bottom w:val="single" w:sz="4" w:space="0" w:color="auto"/>
              <w:right w:val="single" w:sz="4" w:space="0" w:color="auto"/>
            </w:tcBorders>
            <w:shd w:val="clear" w:color="auto" w:fill="auto"/>
            <w:vAlign w:val="center"/>
            <w:hideMark/>
          </w:tcPr>
          <w:p w14:paraId="78AC9D9D" w14:textId="77777777" w:rsidR="00572995" w:rsidRPr="00483EBE" w:rsidRDefault="00572995" w:rsidP="00E8324D">
            <w:pPr>
              <w:pStyle w:val="Tablas"/>
              <w:rPr>
                <w:sz w:val="12"/>
                <w:szCs w:val="12"/>
              </w:rPr>
            </w:pPr>
            <w:r w:rsidRPr="00483EBE">
              <w:rPr>
                <w:sz w:val="12"/>
                <w:szCs w:val="12"/>
              </w:rPr>
              <w:t>$1,286</w:t>
            </w:r>
          </w:p>
        </w:tc>
        <w:tc>
          <w:tcPr>
            <w:tcW w:w="0" w:type="auto"/>
            <w:tcBorders>
              <w:top w:val="nil"/>
              <w:left w:val="nil"/>
              <w:bottom w:val="single" w:sz="4" w:space="0" w:color="auto"/>
              <w:right w:val="single" w:sz="4" w:space="0" w:color="auto"/>
            </w:tcBorders>
            <w:shd w:val="clear" w:color="auto" w:fill="auto"/>
            <w:vAlign w:val="center"/>
            <w:hideMark/>
          </w:tcPr>
          <w:p w14:paraId="112784A0"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3417B9E1"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D42B8B8" w14:textId="77777777" w:rsidR="00572995" w:rsidRPr="00483EBE" w:rsidRDefault="00572995" w:rsidP="00E8324D">
            <w:pPr>
              <w:pStyle w:val="Tablas"/>
              <w:rPr>
                <w:sz w:val="12"/>
                <w:szCs w:val="12"/>
              </w:rPr>
            </w:pPr>
            <w:r w:rsidRPr="00483EBE">
              <w:rPr>
                <w:sz w:val="12"/>
                <w:szCs w:val="12"/>
              </w:rPr>
              <w:t>SEBD</w:t>
            </w:r>
          </w:p>
        </w:tc>
      </w:tr>
      <w:tr w:rsidR="00572995" w:rsidRPr="00483EBE" w14:paraId="4471536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67354D"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7D74C6FA"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04025644" w14:textId="77777777" w:rsidR="00572995" w:rsidRPr="00483EBE" w:rsidRDefault="00572995" w:rsidP="00E8324D">
            <w:pPr>
              <w:pStyle w:val="Tablas"/>
              <w:rPr>
                <w:sz w:val="12"/>
                <w:szCs w:val="12"/>
              </w:rPr>
            </w:pPr>
            <w:r w:rsidRPr="00483EBE">
              <w:rPr>
                <w:sz w:val="12"/>
                <w:szCs w:val="12"/>
              </w:rPr>
              <w:t>$10,794</w:t>
            </w:r>
          </w:p>
        </w:tc>
        <w:tc>
          <w:tcPr>
            <w:tcW w:w="0" w:type="auto"/>
            <w:tcBorders>
              <w:top w:val="nil"/>
              <w:left w:val="nil"/>
              <w:bottom w:val="single" w:sz="4" w:space="0" w:color="auto"/>
              <w:right w:val="single" w:sz="4" w:space="0" w:color="auto"/>
            </w:tcBorders>
            <w:shd w:val="clear" w:color="auto" w:fill="auto"/>
            <w:vAlign w:val="center"/>
            <w:hideMark/>
          </w:tcPr>
          <w:p w14:paraId="68B4227A" w14:textId="77777777" w:rsidR="00572995" w:rsidRPr="00483EBE" w:rsidRDefault="00572995" w:rsidP="00E8324D">
            <w:pPr>
              <w:pStyle w:val="Tablas"/>
              <w:rPr>
                <w:sz w:val="12"/>
                <w:szCs w:val="12"/>
              </w:rPr>
            </w:pPr>
            <w:r w:rsidRPr="00483EBE">
              <w:rPr>
                <w:sz w:val="12"/>
                <w:szCs w:val="12"/>
              </w:rPr>
              <w:t>$1,199</w:t>
            </w:r>
          </w:p>
        </w:tc>
        <w:tc>
          <w:tcPr>
            <w:tcW w:w="0" w:type="auto"/>
            <w:tcBorders>
              <w:top w:val="nil"/>
              <w:left w:val="nil"/>
              <w:bottom w:val="single" w:sz="4" w:space="0" w:color="auto"/>
              <w:right w:val="single" w:sz="4" w:space="0" w:color="auto"/>
            </w:tcBorders>
            <w:shd w:val="clear" w:color="auto" w:fill="auto"/>
            <w:vAlign w:val="center"/>
            <w:hideMark/>
          </w:tcPr>
          <w:p w14:paraId="619B8FDD"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27EB008E"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D81174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C6815BA"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20166D4B"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176B9F3B" w14:textId="77777777" w:rsidR="00572995" w:rsidRPr="00483EBE" w:rsidRDefault="00572995" w:rsidP="00E8324D">
            <w:pPr>
              <w:pStyle w:val="Tablas"/>
              <w:rPr>
                <w:sz w:val="12"/>
                <w:szCs w:val="12"/>
              </w:rPr>
            </w:pPr>
            <w:r w:rsidRPr="00483EBE">
              <w:rPr>
                <w:sz w:val="12"/>
                <w:szCs w:val="12"/>
              </w:rPr>
              <w:t>$7,645</w:t>
            </w:r>
          </w:p>
        </w:tc>
        <w:tc>
          <w:tcPr>
            <w:tcW w:w="0" w:type="auto"/>
            <w:tcBorders>
              <w:top w:val="nil"/>
              <w:left w:val="nil"/>
              <w:bottom w:val="single" w:sz="4" w:space="0" w:color="auto"/>
              <w:right w:val="single" w:sz="4" w:space="0" w:color="auto"/>
            </w:tcBorders>
            <w:shd w:val="clear" w:color="auto" w:fill="auto"/>
            <w:vAlign w:val="center"/>
            <w:hideMark/>
          </w:tcPr>
          <w:p w14:paraId="16C84AC4" w14:textId="77777777" w:rsidR="00572995" w:rsidRPr="00483EBE" w:rsidRDefault="00572995" w:rsidP="00E8324D">
            <w:pPr>
              <w:pStyle w:val="Tablas"/>
              <w:rPr>
                <w:sz w:val="12"/>
                <w:szCs w:val="12"/>
              </w:rPr>
            </w:pPr>
            <w:r w:rsidRPr="00483EBE">
              <w:rPr>
                <w:sz w:val="12"/>
                <w:szCs w:val="12"/>
              </w:rPr>
              <w:t>$956</w:t>
            </w:r>
          </w:p>
        </w:tc>
        <w:tc>
          <w:tcPr>
            <w:tcW w:w="0" w:type="auto"/>
            <w:tcBorders>
              <w:top w:val="nil"/>
              <w:left w:val="nil"/>
              <w:bottom w:val="single" w:sz="4" w:space="0" w:color="auto"/>
              <w:right w:val="single" w:sz="4" w:space="0" w:color="auto"/>
            </w:tcBorders>
            <w:shd w:val="clear" w:color="auto" w:fill="auto"/>
            <w:vAlign w:val="center"/>
            <w:hideMark/>
          </w:tcPr>
          <w:p w14:paraId="1CE8FAC0"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30E85E69"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D7AA0A2" w14:textId="77777777" w:rsidR="00572995" w:rsidRPr="00483EBE" w:rsidRDefault="00572995" w:rsidP="00E8324D">
            <w:pPr>
              <w:pStyle w:val="Tablas"/>
              <w:rPr>
                <w:sz w:val="12"/>
                <w:szCs w:val="12"/>
              </w:rPr>
            </w:pPr>
            <w:r w:rsidRPr="00483EBE">
              <w:rPr>
                <w:sz w:val="12"/>
                <w:szCs w:val="12"/>
              </w:rPr>
              <w:t>SEBD</w:t>
            </w:r>
          </w:p>
        </w:tc>
      </w:tr>
      <w:tr w:rsidR="00572995" w:rsidRPr="00483EBE" w14:paraId="3469754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A9A37A4"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19556D84"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7D5719BF" w14:textId="77777777" w:rsidR="00572995" w:rsidRPr="00483EBE" w:rsidRDefault="00572995" w:rsidP="00E8324D">
            <w:pPr>
              <w:pStyle w:val="Tablas"/>
              <w:rPr>
                <w:sz w:val="12"/>
                <w:szCs w:val="12"/>
              </w:rPr>
            </w:pPr>
            <w:r w:rsidRPr="00483EBE">
              <w:rPr>
                <w:sz w:val="12"/>
                <w:szCs w:val="12"/>
              </w:rPr>
              <w:t>$15,084</w:t>
            </w:r>
          </w:p>
        </w:tc>
        <w:tc>
          <w:tcPr>
            <w:tcW w:w="0" w:type="auto"/>
            <w:tcBorders>
              <w:top w:val="nil"/>
              <w:left w:val="nil"/>
              <w:bottom w:val="single" w:sz="4" w:space="0" w:color="auto"/>
              <w:right w:val="single" w:sz="4" w:space="0" w:color="auto"/>
            </w:tcBorders>
            <w:shd w:val="clear" w:color="auto" w:fill="auto"/>
            <w:vAlign w:val="center"/>
            <w:hideMark/>
          </w:tcPr>
          <w:p w14:paraId="1183A874" w14:textId="77777777" w:rsidR="00572995" w:rsidRPr="00483EBE" w:rsidRDefault="00572995" w:rsidP="00E8324D">
            <w:pPr>
              <w:pStyle w:val="Tablas"/>
              <w:rPr>
                <w:sz w:val="12"/>
                <w:szCs w:val="12"/>
              </w:rPr>
            </w:pPr>
            <w:r w:rsidRPr="00483EBE">
              <w:rPr>
                <w:sz w:val="12"/>
                <w:szCs w:val="12"/>
              </w:rPr>
              <w:t>$1,077</w:t>
            </w:r>
          </w:p>
        </w:tc>
        <w:tc>
          <w:tcPr>
            <w:tcW w:w="0" w:type="auto"/>
            <w:tcBorders>
              <w:top w:val="nil"/>
              <w:left w:val="nil"/>
              <w:bottom w:val="single" w:sz="4" w:space="0" w:color="auto"/>
              <w:right w:val="single" w:sz="4" w:space="0" w:color="auto"/>
            </w:tcBorders>
            <w:shd w:val="clear" w:color="auto" w:fill="auto"/>
            <w:vAlign w:val="center"/>
            <w:hideMark/>
          </w:tcPr>
          <w:p w14:paraId="02E22B8F"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39ADB00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746639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679C67"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1BE8019F"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E930150" w14:textId="77777777" w:rsidR="00572995" w:rsidRPr="00483EBE" w:rsidRDefault="00572995" w:rsidP="00E8324D">
            <w:pPr>
              <w:pStyle w:val="Tablas"/>
              <w:rPr>
                <w:sz w:val="12"/>
                <w:szCs w:val="12"/>
              </w:rPr>
            </w:pPr>
            <w:r w:rsidRPr="00483EBE">
              <w:rPr>
                <w:sz w:val="12"/>
                <w:szCs w:val="12"/>
              </w:rPr>
              <w:t>$8,044</w:t>
            </w:r>
          </w:p>
        </w:tc>
        <w:tc>
          <w:tcPr>
            <w:tcW w:w="0" w:type="auto"/>
            <w:tcBorders>
              <w:top w:val="nil"/>
              <w:left w:val="nil"/>
              <w:bottom w:val="single" w:sz="4" w:space="0" w:color="auto"/>
              <w:right w:val="single" w:sz="4" w:space="0" w:color="auto"/>
            </w:tcBorders>
            <w:shd w:val="clear" w:color="auto" w:fill="auto"/>
            <w:vAlign w:val="center"/>
            <w:hideMark/>
          </w:tcPr>
          <w:p w14:paraId="58A617A7" w14:textId="77777777" w:rsidR="00572995" w:rsidRPr="00483EBE" w:rsidRDefault="00572995" w:rsidP="00E8324D">
            <w:pPr>
              <w:pStyle w:val="Tablas"/>
              <w:rPr>
                <w:sz w:val="12"/>
                <w:szCs w:val="12"/>
              </w:rPr>
            </w:pPr>
            <w:r w:rsidRPr="00483EBE">
              <w:rPr>
                <w:sz w:val="12"/>
                <w:szCs w:val="12"/>
              </w:rPr>
              <w:t>$1,149</w:t>
            </w:r>
          </w:p>
        </w:tc>
        <w:tc>
          <w:tcPr>
            <w:tcW w:w="0" w:type="auto"/>
            <w:tcBorders>
              <w:top w:val="nil"/>
              <w:left w:val="nil"/>
              <w:bottom w:val="single" w:sz="4" w:space="0" w:color="auto"/>
              <w:right w:val="single" w:sz="4" w:space="0" w:color="auto"/>
            </w:tcBorders>
            <w:shd w:val="clear" w:color="auto" w:fill="auto"/>
            <w:vAlign w:val="center"/>
            <w:hideMark/>
          </w:tcPr>
          <w:p w14:paraId="76E64758"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7B4BE776"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9FB9AAC" w14:textId="77777777" w:rsidR="00572995" w:rsidRPr="00483EBE" w:rsidRDefault="00572995" w:rsidP="00E8324D">
            <w:pPr>
              <w:pStyle w:val="Tablas"/>
              <w:rPr>
                <w:sz w:val="12"/>
                <w:szCs w:val="12"/>
              </w:rPr>
            </w:pPr>
            <w:r w:rsidRPr="00483EBE">
              <w:rPr>
                <w:sz w:val="12"/>
                <w:szCs w:val="12"/>
              </w:rPr>
              <w:t>SEBD</w:t>
            </w:r>
          </w:p>
        </w:tc>
      </w:tr>
      <w:tr w:rsidR="00572995" w:rsidRPr="00483EBE" w14:paraId="177DC18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C3FE01"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15F43978"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554D608C" w14:textId="77777777" w:rsidR="00572995" w:rsidRPr="00483EBE" w:rsidRDefault="00572995" w:rsidP="00E8324D">
            <w:pPr>
              <w:pStyle w:val="Tablas"/>
              <w:rPr>
                <w:sz w:val="12"/>
                <w:szCs w:val="12"/>
              </w:rPr>
            </w:pPr>
            <w:r w:rsidRPr="00483EBE">
              <w:rPr>
                <w:sz w:val="12"/>
                <w:szCs w:val="12"/>
              </w:rPr>
              <w:t>$15,002</w:t>
            </w:r>
          </w:p>
        </w:tc>
        <w:tc>
          <w:tcPr>
            <w:tcW w:w="0" w:type="auto"/>
            <w:tcBorders>
              <w:top w:val="nil"/>
              <w:left w:val="nil"/>
              <w:bottom w:val="single" w:sz="4" w:space="0" w:color="auto"/>
              <w:right w:val="single" w:sz="4" w:space="0" w:color="auto"/>
            </w:tcBorders>
            <w:shd w:val="clear" w:color="auto" w:fill="auto"/>
            <w:vAlign w:val="center"/>
            <w:hideMark/>
          </w:tcPr>
          <w:p w14:paraId="147DBE4B" w14:textId="77777777" w:rsidR="00572995" w:rsidRPr="00483EBE" w:rsidRDefault="00572995" w:rsidP="00E8324D">
            <w:pPr>
              <w:pStyle w:val="Tablas"/>
              <w:rPr>
                <w:sz w:val="12"/>
                <w:szCs w:val="12"/>
              </w:rPr>
            </w:pPr>
            <w:r w:rsidRPr="00483EBE">
              <w:rPr>
                <w:sz w:val="12"/>
                <w:szCs w:val="12"/>
              </w:rPr>
              <w:t>$1,000</w:t>
            </w:r>
          </w:p>
        </w:tc>
        <w:tc>
          <w:tcPr>
            <w:tcW w:w="0" w:type="auto"/>
            <w:tcBorders>
              <w:top w:val="nil"/>
              <w:left w:val="nil"/>
              <w:bottom w:val="single" w:sz="4" w:space="0" w:color="auto"/>
              <w:right w:val="single" w:sz="4" w:space="0" w:color="auto"/>
            </w:tcBorders>
            <w:shd w:val="clear" w:color="auto" w:fill="auto"/>
            <w:vAlign w:val="center"/>
            <w:hideMark/>
          </w:tcPr>
          <w:p w14:paraId="36F9F825"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EB1866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B7EB50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6F48910"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E3B26D2"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E4D1171" w14:textId="77777777" w:rsidR="00572995" w:rsidRPr="00483EBE" w:rsidRDefault="00572995" w:rsidP="00E8324D">
            <w:pPr>
              <w:pStyle w:val="Tablas"/>
              <w:rPr>
                <w:sz w:val="12"/>
                <w:szCs w:val="12"/>
              </w:rPr>
            </w:pPr>
            <w:r w:rsidRPr="00483EBE">
              <w:rPr>
                <w:sz w:val="12"/>
                <w:szCs w:val="12"/>
              </w:rPr>
              <w:t>$5,646</w:t>
            </w:r>
          </w:p>
        </w:tc>
        <w:tc>
          <w:tcPr>
            <w:tcW w:w="0" w:type="auto"/>
            <w:tcBorders>
              <w:top w:val="nil"/>
              <w:left w:val="nil"/>
              <w:bottom w:val="single" w:sz="4" w:space="0" w:color="auto"/>
              <w:right w:val="single" w:sz="4" w:space="0" w:color="auto"/>
            </w:tcBorders>
            <w:shd w:val="clear" w:color="auto" w:fill="auto"/>
            <w:vAlign w:val="center"/>
            <w:hideMark/>
          </w:tcPr>
          <w:p w14:paraId="4DA2FD02" w14:textId="77777777" w:rsidR="00572995" w:rsidRPr="00483EBE" w:rsidRDefault="00572995" w:rsidP="00E8324D">
            <w:pPr>
              <w:pStyle w:val="Tablas"/>
              <w:rPr>
                <w:sz w:val="12"/>
                <w:szCs w:val="12"/>
              </w:rPr>
            </w:pPr>
            <w:r w:rsidRPr="00483EBE">
              <w:rPr>
                <w:sz w:val="12"/>
                <w:szCs w:val="12"/>
              </w:rPr>
              <w:t>$1,411</w:t>
            </w:r>
          </w:p>
        </w:tc>
        <w:tc>
          <w:tcPr>
            <w:tcW w:w="0" w:type="auto"/>
            <w:tcBorders>
              <w:top w:val="nil"/>
              <w:left w:val="nil"/>
              <w:bottom w:val="single" w:sz="4" w:space="0" w:color="auto"/>
              <w:right w:val="single" w:sz="4" w:space="0" w:color="auto"/>
            </w:tcBorders>
            <w:shd w:val="clear" w:color="auto" w:fill="auto"/>
            <w:vAlign w:val="center"/>
            <w:hideMark/>
          </w:tcPr>
          <w:p w14:paraId="00D11138"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6F8E3C80"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EB3EC51" w14:textId="77777777" w:rsidR="00572995" w:rsidRPr="00483EBE" w:rsidRDefault="00572995" w:rsidP="00E8324D">
            <w:pPr>
              <w:pStyle w:val="Tablas"/>
              <w:rPr>
                <w:sz w:val="12"/>
                <w:szCs w:val="12"/>
              </w:rPr>
            </w:pPr>
            <w:r w:rsidRPr="00483EBE">
              <w:rPr>
                <w:sz w:val="12"/>
                <w:szCs w:val="12"/>
              </w:rPr>
              <w:t>SEBD</w:t>
            </w:r>
          </w:p>
        </w:tc>
      </w:tr>
      <w:tr w:rsidR="00572995" w:rsidRPr="00483EBE" w14:paraId="4718973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756926"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094FB73E"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5235703B" w14:textId="77777777" w:rsidR="00572995" w:rsidRPr="00483EBE" w:rsidRDefault="00572995" w:rsidP="00E8324D">
            <w:pPr>
              <w:pStyle w:val="Tablas"/>
              <w:rPr>
                <w:sz w:val="12"/>
                <w:szCs w:val="12"/>
              </w:rPr>
            </w:pPr>
            <w:r w:rsidRPr="00483EBE">
              <w:rPr>
                <w:sz w:val="12"/>
                <w:szCs w:val="12"/>
              </w:rPr>
              <w:t>$19,333</w:t>
            </w:r>
          </w:p>
        </w:tc>
        <w:tc>
          <w:tcPr>
            <w:tcW w:w="0" w:type="auto"/>
            <w:tcBorders>
              <w:top w:val="nil"/>
              <w:left w:val="nil"/>
              <w:bottom w:val="single" w:sz="4" w:space="0" w:color="auto"/>
              <w:right w:val="single" w:sz="4" w:space="0" w:color="auto"/>
            </w:tcBorders>
            <w:shd w:val="clear" w:color="auto" w:fill="auto"/>
            <w:vAlign w:val="center"/>
            <w:hideMark/>
          </w:tcPr>
          <w:p w14:paraId="671F75CD" w14:textId="77777777" w:rsidR="00572995" w:rsidRPr="00483EBE" w:rsidRDefault="00572995" w:rsidP="00E8324D">
            <w:pPr>
              <w:pStyle w:val="Tablas"/>
              <w:rPr>
                <w:sz w:val="12"/>
                <w:szCs w:val="12"/>
              </w:rPr>
            </w:pPr>
            <w:r w:rsidRPr="00483EBE">
              <w:rPr>
                <w:sz w:val="12"/>
                <w:szCs w:val="12"/>
              </w:rPr>
              <w:t>$1,137</w:t>
            </w:r>
          </w:p>
        </w:tc>
        <w:tc>
          <w:tcPr>
            <w:tcW w:w="0" w:type="auto"/>
            <w:tcBorders>
              <w:top w:val="nil"/>
              <w:left w:val="nil"/>
              <w:bottom w:val="single" w:sz="4" w:space="0" w:color="auto"/>
              <w:right w:val="single" w:sz="4" w:space="0" w:color="auto"/>
            </w:tcBorders>
            <w:shd w:val="clear" w:color="auto" w:fill="auto"/>
            <w:vAlign w:val="center"/>
            <w:hideMark/>
          </w:tcPr>
          <w:p w14:paraId="3CF728AB"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70DFF0E0"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A28A98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FC6619"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41E5C6E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70CE630" w14:textId="77777777" w:rsidR="00572995" w:rsidRPr="00483EBE" w:rsidRDefault="00572995" w:rsidP="00E8324D">
            <w:pPr>
              <w:pStyle w:val="Tablas"/>
              <w:rPr>
                <w:sz w:val="12"/>
                <w:szCs w:val="12"/>
              </w:rPr>
            </w:pPr>
            <w:r w:rsidRPr="00483EBE">
              <w:rPr>
                <w:sz w:val="12"/>
                <w:szCs w:val="12"/>
              </w:rPr>
              <w:t>$780</w:t>
            </w:r>
          </w:p>
        </w:tc>
        <w:tc>
          <w:tcPr>
            <w:tcW w:w="0" w:type="auto"/>
            <w:tcBorders>
              <w:top w:val="nil"/>
              <w:left w:val="nil"/>
              <w:bottom w:val="single" w:sz="4" w:space="0" w:color="auto"/>
              <w:right w:val="single" w:sz="4" w:space="0" w:color="auto"/>
            </w:tcBorders>
            <w:shd w:val="clear" w:color="auto" w:fill="auto"/>
            <w:vAlign w:val="center"/>
            <w:hideMark/>
          </w:tcPr>
          <w:p w14:paraId="34E7777C" w14:textId="77777777" w:rsidR="00572995" w:rsidRPr="00483EBE" w:rsidRDefault="00572995" w:rsidP="00E8324D">
            <w:pPr>
              <w:pStyle w:val="Tablas"/>
              <w:rPr>
                <w:sz w:val="12"/>
                <w:szCs w:val="12"/>
              </w:rPr>
            </w:pPr>
            <w:r w:rsidRPr="00483EBE">
              <w:rPr>
                <w:sz w:val="12"/>
                <w:szCs w:val="12"/>
              </w:rPr>
              <w:t>$780</w:t>
            </w:r>
          </w:p>
        </w:tc>
        <w:tc>
          <w:tcPr>
            <w:tcW w:w="0" w:type="auto"/>
            <w:tcBorders>
              <w:top w:val="nil"/>
              <w:left w:val="nil"/>
              <w:bottom w:val="single" w:sz="4" w:space="0" w:color="auto"/>
              <w:right w:val="single" w:sz="4" w:space="0" w:color="auto"/>
            </w:tcBorders>
            <w:shd w:val="clear" w:color="auto" w:fill="auto"/>
            <w:vAlign w:val="center"/>
            <w:hideMark/>
          </w:tcPr>
          <w:p w14:paraId="2EDFA4CB"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54C1C3EE"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2886668A" w14:textId="77777777" w:rsidR="00572995" w:rsidRPr="00483EBE" w:rsidRDefault="00572995" w:rsidP="00E8324D">
            <w:pPr>
              <w:pStyle w:val="Tablas"/>
              <w:rPr>
                <w:sz w:val="12"/>
                <w:szCs w:val="12"/>
              </w:rPr>
            </w:pPr>
            <w:r w:rsidRPr="00483EBE">
              <w:rPr>
                <w:sz w:val="12"/>
                <w:szCs w:val="12"/>
              </w:rPr>
              <w:t>SEBD</w:t>
            </w:r>
          </w:p>
        </w:tc>
      </w:tr>
      <w:tr w:rsidR="00572995" w:rsidRPr="00483EBE" w14:paraId="0C3BBB4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6F20EF"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634F2A84"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6F1F04E8" w14:textId="77777777" w:rsidR="00572995" w:rsidRPr="00483EBE" w:rsidRDefault="00572995" w:rsidP="00E8324D">
            <w:pPr>
              <w:pStyle w:val="Tablas"/>
              <w:rPr>
                <w:sz w:val="12"/>
                <w:szCs w:val="12"/>
              </w:rPr>
            </w:pPr>
            <w:r w:rsidRPr="00483EBE">
              <w:rPr>
                <w:sz w:val="12"/>
                <w:szCs w:val="12"/>
              </w:rPr>
              <w:t>$14,240</w:t>
            </w:r>
          </w:p>
        </w:tc>
        <w:tc>
          <w:tcPr>
            <w:tcW w:w="0" w:type="auto"/>
            <w:tcBorders>
              <w:top w:val="nil"/>
              <w:left w:val="nil"/>
              <w:bottom w:val="single" w:sz="4" w:space="0" w:color="auto"/>
              <w:right w:val="single" w:sz="4" w:space="0" w:color="auto"/>
            </w:tcBorders>
            <w:shd w:val="clear" w:color="auto" w:fill="auto"/>
            <w:vAlign w:val="center"/>
            <w:hideMark/>
          </w:tcPr>
          <w:p w14:paraId="140C3B42" w14:textId="77777777" w:rsidR="00572995" w:rsidRPr="00483EBE" w:rsidRDefault="00572995" w:rsidP="00E8324D">
            <w:pPr>
              <w:pStyle w:val="Tablas"/>
              <w:rPr>
                <w:sz w:val="12"/>
                <w:szCs w:val="12"/>
              </w:rPr>
            </w:pPr>
            <w:r w:rsidRPr="00483EBE">
              <w:rPr>
                <w:sz w:val="12"/>
                <w:szCs w:val="12"/>
              </w:rPr>
              <w:t>$1,095</w:t>
            </w:r>
          </w:p>
        </w:tc>
        <w:tc>
          <w:tcPr>
            <w:tcW w:w="0" w:type="auto"/>
            <w:tcBorders>
              <w:top w:val="nil"/>
              <w:left w:val="nil"/>
              <w:bottom w:val="single" w:sz="4" w:space="0" w:color="auto"/>
              <w:right w:val="single" w:sz="4" w:space="0" w:color="auto"/>
            </w:tcBorders>
            <w:shd w:val="clear" w:color="auto" w:fill="auto"/>
            <w:vAlign w:val="center"/>
            <w:hideMark/>
          </w:tcPr>
          <w:p w14:paraId="344A19EF"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19D1C031"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EC6CD8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C77096"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3D36FB57"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01551213" w14:textId="77777777" w:rsidR="00572995" w:rsidRPr="00483EBE" w:rsidRDefault="00572995" w:rsidP="00E8324D">
            <w:pPr>
              <w:pStyle w:val="Tablas"/>
              <w:rPr>
                <w:sz w:val="12"/>
                <w:szCs w:val="12"/>
              </w:rPr>
            </w:pPr>
            <w:r w:rsidRPr="00483EBE">
              <w:rPr>
                <w:sz w:val="12"/>
                <w:szCs w:val="12"/>
              </w:rPr>
              <w:t>$9,648</w:t>
            </w:r>
          </w:p>
        </w:tc>
        <w:tc>
          <w:tcPr>
            <w:tcW w:w="0" w:type="auto"/>
            <w:tcBorders>
              <w:top w:val="nil"/>
              <w:left w:val="nil"/>
              <w:bottom w:val="single" w:sz="4" w:space="0" w:color="auto"/>
              <w:right w:val="single" w:sz="4" w:space="0" w:color="auto"/>
            </w:tcBorders>
            <w:shd w:val="clear" w:color="auto" w:fill="auto"/>
            <w:vAlign w:val="center"/>
            <w:hideMark/>
          </w:tcPr>
          <w:p w14:paraId="37A311BC" w14:textId="77777777" w:rsidR="00572995" w:rsidRPr="00483EBE" w:rsidRDefault="00572995" w:rsidP="00E8324D">
            <w:pPr>
              <w:pStyle w:val="Tablas"/>
              <w:rPr>
                <w:sz w:val="12"/>
                <w:szCs w:val="12"/>
              </w:rPr>
            </w:pPr>
            <w:r w:rsidRPr="00483EBE">
              <w:rPr>
                <w:sz w:val="12"/>
                <w:szCs w:val="12"/>
              </w:rPr>
              <w:t>$1,608</w:t>
            </w:r>
          </w:p>
        </w:tc>
        <w:tc>
          <w:tcPr>
            <w:tcW w:w="0" w:type="auto"/>
            <w:tcBorders>
              <w:top w:val="nil"/>
              <w:left w:val="nil"/>
              <w:bottom w:val="single" w:sz="4" w:space="0" w:color="auto"/>
              <w:right w:val="single" w:sz="4" w:space="0" w:color="auto"/>
            </w:tcBorders>
            <w:shd w:val="clear" w:color="auto" w:fill="auto"/>
            <w:vAlign w:val="center"/>
            <w:hideMark/>
          </w:tcPr>
          <w:p w14:paraId="05EC20EF" w14:textId="77777777" w:rsidR="00572995" w:rsidRPr="00483EBE" w:rsidRDefault="00572995" w:rsidP="00E8324D">
            <w:pPr>
              <w:pStyle w:val="Tablas"/>
              <w:rPr>
                <w:sz w:val="12"/>
                <w:szCs w:val="12"/>
              </w:rPr>
            </w:pPr>
            <w:r w:rsidRPr="00483EBE">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4EB82247"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907D324" w14:textId="77777777" w:rsidR="00572995" w:rsidRPr="00483EBE" w:rsidRDefault="00572995" w:rsidP="00E8324D">
            <w:pPr>
              <w:pStyle w:val="Tablas"/>
              <w:rPr>
                <w:sz w:val="12"/>
                <w:szCs w:val="12"/>
              </w:rPr>
            </w:pPr>
            <w:r w:rsidRPr="00483EBE">
              <w:rPr>
                <w:sz w:val="12"/>
                <w:szCs w:val="12"/>
              </w:rPr>
              <w:t>SEBD</w:t>
            </w:r>
          </w:p>
        </w:tc>
      </w:tr>
      <w:tr w:rsidR="00572995" w:rsidRPr="00483EBE" w14:paraId="4C0B04C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8CA3A1"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306E3599"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0F0B0DD2" w14:textId="77777777" w:rsidR="00572995" w:rsidRPr="00483EBE" w:rsidRDefault="00572995" w:rsidP="00E8324D">
            <w:pPr>
              <w:pStyle w:val="Tablas"/>
              <w:rPr>
                <w:sz w:val="12"/>
                <w:szCs w:val="12"/>
              </w:rPr>
            </w:pPr>
            <w:r w:rsidRPr="00483EBE">
              <w:rPr>
                <w:sz w:val="12"/>
                <w:szCs w:val="12"/>
              </w:rPr>
              <w:t>$19,629</w:t>
            </w:r>
          </w:p>
        </w:tc>
        <w:tc>
          <w:tcPr>
            <w:tcW w:w="0" w:type="auto"/>
            <w:tcBorders>
              <w:top w:val="nil"/>
              <w:left w:val="nil"/>
              <w:bottom w:val="single" w:sz="4" w:space="0" w:color="auto"/>
              <w:right w:val="single" w:sz="4" w:space="0" w:color="auto"/>
            </w:tcBorders>
            <w:shd w:val="clear" w:color="auto" w:fill="auto"/>
            <w:vAlign w:val="center"/>
            <w:hideMark/>
          </w:tcPr>
          <w:p w14:paraId="361DDF98" w14:textId="77777777" w:rsidR="00572995" w:rsidRPr="00483EBE" w:rsidRDefault="00572995" w:rsidP="00E8324D">
            <w:pPr>
              <w:pStyle w:val="Tablas"/>
              <w:rPr>
                <w:sz w:val="12"/>
                <w:szCs w:val="12"/>
              </w:rPr>
            </w:pPr>
            <w:r w:rsidRPr="00483EBE">
              <w:rPr>
                <w:sz w:val="12"/>
                <w:szCs w:val="12"/>
              </w:rPr>
              <w:t>$981</w:t>
            </w:r>
          </w:p>
        </w:tc>
        <w:tc>
          <w:tcPr>
            <w:tcW w:w="0" w:type="auto"/>
            <w:tcBorders>
              <w:top w:val="nil"/>
              <w:left w:val="nil"/>
              <w:bottom w:val="single" w:sz="4" w:space="0" w:color="auto"/>
              <w:right w:val="single" w:sz="4" w:space="0" w:color="auto"/>
            </w:tcBorders>
            <w:shd w:val="clear" w:color="auto" w:fill="auto"/>
            <w:vAlign w:val="center"/>
            <w:hideMark/>
          </w:tcPr>
          <w:p w14:paraId="3317ADCD"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2E73544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97635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ECE240"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8B0A5EA"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1BD9D4BB" w14:textId="77777777" w:rsidR="00572995" w:rsidRPr="00483EBE" w:rsidRDefault="00572995" w:rsidP="00E8324D">
            <w:pPr>
              <w:pStyle w:val="Tablas"/>
              <w:rPr>
                <w:sz w:val="12"/>
                <w:szCs w:val="12"/>
              </w:rPr>
            </w:pPr>
            <w:r w:rsidRPr="00483EBE">
              <w:rPr>
                <w:sz w:val="12"/>
                <w:szCs w:val="12"/>
              </w:rPr>
              <w:t>$6,829</w:t>
            </w:r>
          </w:p>
        </w:tc>
        <w:tc>
          <w:tcPr>
            <w:tcW w:w="0" w:type="auto"/>
            <w:tcBorders>
              <w:top w:val="nil"/>
              <w:left w:val="nil"/>
              <w:bottom w:val="single" w:sz="4" w:space="0" w:color="auto"/>
              <w:right w:val="single" w:sz="4" w:space="0" w:color="auto"/>
            </w:tcBorders>
            <w:shd w:val="clear" w:color="auto" w:fill="auto"/>
            <w:vAlign w:val="center"/>
            <w:hideMark/>
          </w:tcPr>
          <w:p w14:paraId="0EC2D1CB" w14:textId="77777777" w:rsidR="00572995" w:rsidRPr="00483EBE" w:rsidRDefault="00572995" w:rsidP="00E8324D">
            <w:pPr>
              <w:pStyle w:val="Tablas"/>
              <w:rPr>
                <w:sz w:val="12"/>
                <w:szCs w:val="12"/>
              </w:rPr>
            </w:pPr>
            <w:r w:rsidRPr="00483EBE">
              <w:rPr>
                <w:sz w:val="12"/>
                <w:szCs w:val="12"/>
              </w:rPr>
              <w:t>$1,366</w:t>
            </w:r>
          </w:p>
        </w:tc>
        <w:tc>
          <w:tcPr>
            <w:tcW w:w="0" w:type="auto"/>
            <w:tcBorders>
              <w:top w:val="nil"/>
              <w:left w:val="nil"/>
              <w:bottom w:val="single" w:sz="4" w:space="0" w:color="auto"/>
              <w:right w:val="single" w:sz="4" w:space="0" w:color="auto"/>
            </w:tcBorders>
            <w:shd w:val="clear" w:color="auto" w:fill="auto"/>
            <w:vAlign w:val="center"/>
            <w:hideMark/>
          </w:tcPr>
          <w:p w14:paraId="62F713A3"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3BB94B94"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E952DCE" w14:textId="77777777" w:rsidR="00572995" w:rsidRPr="00483EBE" w:rsidRDefault="00572995" w:rsidP="00E8324D">
            <w:pPr>
              <w:pStyle w:val="Tablas"/>
              <w:rPr>
                <w:sz w:val="12"/>
                <w:szCs w:val="12"/>
              </w:rPr>
            </w:pPr>
            <w:r w:rsidRPr="00483EBE">
              <w:rPr>
                <w:sz w:val="12"/>
                <w:szCs w:val="12"/>
              </w:rPr>
              <w:t>SEBD</w:t>
            </w:r>
          </w:p>
        </w:tc>
      </w:tr>
      <w:tr w:rsidR="00572995" w:rsidRPr="00483EBE" w14:paraId="19FD38C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C381C3"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30560183"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6E84D91A" w14:textId="77777777" w:rsidR="00572995" w:rsidRPr="00483EBE" w:rsidRDefault="00572995" w:rsidP="00E8324D">
            <w:pPr>
              <w:pStyle w:val="Tablas"/>
              <w:rPr>
                <w:sz w:val="12"/>
                <w:szCs w:val="12"/>
              </w:rPr>
            </w:pPr>
            <w:r w:rsidRPr="00483EBE">
              <w:rPr>
                <w:sz w:val="12"/>
                <w:szCs w:val="12"/>
              </w:rPr>
              <w:t>$22,847</w:t>
            </w:r>
          </w:p>
        </w:tc>
        <w:tc>
          <w:tcPr>
            <w:tcW w:w="0" w:type="auto"/>
            <w:tcBorders>
              <w:top w:val="nil"/>
              <w:left w:val="nil"/>
              <w:bottom w:val="single" w:sz="4" w:space="0" w:color="auto"/>
              <w:right w:val="single" w:sz="4" w:space="0" w:color="auto"/>
            </w:tcBorders>
            <w:shd w:val="clear" w:color="auto" w:fill="auto"/>
            <w:vAlign w:val="center"/>
            <w:hideMark/>
          </w:tcPr>
          <w:p w14:paraId="7989A477" w14:textId="77777777" w:rsidR="00572995" w:rsidRPr="00483EBE" w:rsidRDefault="00572995" w:rsidP="00E8324D">
            <w:pPr>
              <w:pStyle w:val="Tablas"/>
              <w:rPr>
                <w:sz w:val="12"/>
                <w:szCs w:val="12"/>
              </w:rPr>
            </w:pPr>
            <w:r w:rsidRPr="00483EBE">
              <w:rPr>
                <w:sz w:val="12"/>
                <w:szCs w:val="12"/>
              </w:rPr>
              <w:t>$1,269</w:t>
            </w:r>
          </w:p>
        </w:tc>
        <w:tc>
          <w:tcPr>
            <w:tcW w:w="0" w:type="auto"/>
            <w:tcBorders>
              <w:top w:val="nil"/>
              <w:left w:val="nil"/>
              <w:bottom w:val="single" w:sz="4" w:space="0" w:color="auto"/>
              <w:right w:val="single" w:sz="4" w:space="0" w:color="auto"/>
            </w:tcBorders>
            <w:shd w:val="clear" w:color="auto" w:fill="auto"/>
            <w:vAlign w:val="center"/>
            <w:hideMark/>
          </w:tcPr>
          <w:p w14:paraId="30776A55"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7037178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C8E1E9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382F3E"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5D7933B1"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DC0E2CC" w14:textId="77777777" w:rsidR="00572995" w:rsidRPr="00483EBE" w:rsidRDefault="00572995" w:rsidP="00E8324D">
            <w:pPr>
              <w:pStyle w:val="Tablas"/>
              <w:rPr>
                <w:sz w:val="12"/>
                <w:szCs w:val="12"/>
              </w:rPr>
            </w:pPr>
            <w:r w:rsidRPr="00483EBE">
              <w:rPr>
                <w:sz w:val="12"/>
                <w:szCs w:val="12"/>
              </w:rPr>
              <w:t>$1,442</w:t>
            </w:r>
          </w:p>
        </w:tc>
        <w:tc>
          <w:tcPr>
            <w:tcW w:w="0" w:type="auto"/>
            <w:tcBorders>
              <w:top w:val="nil"/>
              <w:left w:val="nil"/>
              <w:bottom w:val="single" w:sz="4" w:space="0" w:color="auto"/>
              <w:right w:val="single" w:sz="4" w:space="0" w:color="auto"/>
            </w:tcBorders>
            <w:shd w:val="clear" w:color="auto" w:fill="auto"/>
            <w:vAlign w:val="center"/>
            <w:hideMark/>
          </w:tcPr>
          <w:p w14:paraId="3BC96940" w14:textId="77777777" w:rsidR="00572995" w:rsidRPr="00483EBE" w:rsidRDefault="00572995" w:rsidP="00E8324D">
            <w:pPr>
              <w:pStyle w:val="Tablas"/>
              <w:rPr>
                <w:sz w:val="12"/>
                <w:szCs w:val="12"/>
              </w:rPr>
            </w:pPr>
            <w:r w:rsidRPr="00483EBE">
              <w:rPr>
                <w:sz w:val="12"/>
                <w:szCs w:val="12"/>
              </w:rPr>
              <w:t>$1,442</w:t>
            </w:r>
          </w:p>
        </w:tc>
        <w:tc>
          <w:tcPr>
            <w:tcW w:w="0" w:type="auto"/>
            <w:tcBorders>
              <w:top w:val="nil"/>
              <w:left w:val="nil"/>
              <w:bottom w:val="single" w:sz="4" w:space="0" w:color="auto"/>
              <w:right w:val="single" w:sz="4" w:space="0" w:color="auto"/>
            </w:tcBorders>
            <w:shd w:val="clear" w:color="auto" w:fill="auto"/>
            <w:vAlign w:val="center"/>
            <w:hideMark/>
          </w:tcPr>
          <w:p w14:paraId="38D79E7B"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42E7B38B"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4DDFB3B0" w14:textId="77777777" w:rsidR="00572995" w:rsidRPr="00483EBE" w:rsidRDefault="00572995" w:rsidP="00E8324D">
            <w:pPr>
              <w:pStyle w:val="Tablas"/>
              <w:rPr>
                <w:sz w:val="12"/>
                <w:szCs w:val="12"/>
              </w:rPr>
            </w:pPr>
            <w:r w:rsidRPr="00483EBE">
              <w:rPr>
                <w:sz w:val="12"/>
                <w:szCs w:val="12"/>
              </w:rPr>
              <w:t>SEBD</w:t>
            </w:r>
          </w:p>
        </w:tc>
      </w:tr>
      <w:tr w:rsidR="00572995" w:rsidRPr="00483EBE" w14:paraId="0391B43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27751CE"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568A11D1"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09DA71CB" w14:textId="77777777" w:rsidR="00572995" w:rsidRPr="00483EBE" w:rsidRDefault="00572995" w:rsidP="00E8324D">
            <w:pPr>
              <w:pStyle w:val="Tablas"/>
              <w:rPr>
                <w:sz w:val="12"/>
                <w:szCs w:val="12"/>
              </w:rPr>
            </w:pPr>
            <w:r w:rsidRPr="00483EBE">
              <w:rPr>
                <w:sz w:val="12"/>
                <w:szCs w:val="12"/>
              </w:rPr>
              <w:t>$26,303</w:t>
            </w:r>
          </w:p>
        </w:tc>
        <w:tc>
          <w:tcPr>
            <w:tcW w:w="0" w:type="auto"/>
            <w:tcBorders>
              <w:top w:val="nil"/>
              <w:left w:val="nil"/>
              <w:bottom w:val="single" w:sz="4" w:space="0" w:color="auto"/>
              <w:right w:val="single" w:sz="4" w:space="0" w:color="auto"/>
            </w:tcBorders>
            <w:shd w:val="clear" w:color="auto" w:fill="auto"/>
            <w:vAlign w:val="center"/>
            <w:hideMark/>
          </w:tcPr>
          <w:p w14:paraId="1C4C3DAF" w14:textId="77777777" w:rsidR="00572995" w:rsidRPr="00483EBE" w:rsidRDefault="00572995" w:rsidP="00E8324D">
            <w:pPr>
              <w:pStyle w:val="Tablas"/>
              <w:rPr>
                <w:sz w:val="12"/>
                <w:szCs w:val="12"/>
              </w:rPr>
            </w:pPr>
            <w:r w:rsidRPr="00483EBE">
              <w:rPr>
                <w:sz w:val="12"/>
                <w:szCs w:val="12"/>
              </w:rPr>
              <w:t>$1,052</w:t>
            </w:r>
          </w:p>
        </w:tc>
        <w:tc>
          <w:tcPr>
            <w:tcW w:w="0" w:type="auto"/>
            <w:tcBorders>
              <w:top w:val="nil"/>
              <w:left w:val="nil"/>
              <w:bottom w:val="single" w:sz="4" w:space="0" w:color="auto"/>
              <w:right w:val="single" w:sz="4" w:space="0" w:color="auto"/>
            </w:tcBorders>
            <w:shd w:val="clear" w:color="auto" w:fill="auto"/>
            <w:vAlign w:val="center"/>
            <w:hideMark/>
          </w:tcPr>
          <w:p w14:paraId="33E71A3F"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43E6BB2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5A69FF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535D35"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6D2BA6F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EB18DCD" w14:textId="77777777" w:rsidR="00572995" w:rsidRPr="00483EBE" w:rsidRDefault="00572995" w:rsidP="00E8324D">
            <w:pPr>
              <w:pStyle w:val="Tablas"/>
              <w:rPr>
                <w:sz w:val="12"/>
                <w:szCs w:val="12"/>
              </w:rPr>
            </w:pPr>
            <w:r w:rsidRPr="00483EBE">
              <w:rPr>
                <w:sz w:val="12"/>
                <w:szCs w:val="12"/>
              </w:rPr>
              <w:t>$708</w:t>
            </w:r>
          </w:p>
        </w:tc>
        <w:tc>
          <w:tcPr>
            <w:tcW w:w="0" w:type="auto"/>
            <w:tcBorders>
              <w:top w:val="nil"/>
              <w:left w:val="nil"/>
              <w:bottom w:val="single" w:sz="4" w:space="0" w:color="auto"/>
              <w:right w:val="single" w:sz="4" w:space="0" w:color="auto"/>
            </w:tcBorders>
            <w:shd w:val="clear" w:color="auto" w:fill="auto"/>
            <w:vAlign w:val="center"/>
            <w:hideMark/>
          </w:tcPr>
          <w:p w14:paraId="3C99C851" w14:textId="77777777" w:rsidR="00572995" w:rsidRPr="00483EBE" w:rsidRDefault="00572995" w:rsidP="00E8324D">
            <w:pPr>
              <w:pStyle w:val="Tablas"/>
              <w:rPr>
                <w:sz w:val="12"/>
                <w:szCs w:val="12"/>
              </w:rPr>
            </w:pPr>
            <w:r w:rsidRPr="00483EBE">
              <w:rPr>
                <w:sz w:val="12"/>
                <w:szCs w:val="12"/>
              </w:rPr>
              <w:t>$708</w:t>
            </w:r>
          </w:p>
        </w:tc>
        <w:tc>
          <w:tcPr>
            <w:tcW w:w="0" w:type="auto"/>
            <w:tcBorders>
              <w:top w:val="nil"/>
              <w:left w:val="nil"/>
              <w:bottom w:val="single" w:sz="4" w:space="0" w:color="auto"/>
              <w:right w:val="single" w:sz="4" w:space="0" w:color="auto"/>
            </w:tcBorders>
            <w:shd w:val="clear" w:color="auto" w:fill="auto"/>
            <w:vAlign w:val="center"/>
            <w:hideMark/>
          </w:tcPr>
          <w:p w14:paraId="72A692E8"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7B5EB30E"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B082C20" w14:textId="77777777" w:rsidR="00572995" w:rsidRPr="00483EBE" w:rsidRDefault="00572995" w:rsidP="00E8324D">
            <w:pPr>
              <w:pStyle w:val="Tablas"/>
              <w:rPr>
                <w:sz w:val="12"/>
                <w:szCs w:val="12"/>
              </w:rPr>
            </w:pPr>
            <w:r w:rsidRPr="00483EBE">
              <w:rPr>
                <w:sz w:val="12"/>
                <w:szCs w:val="12"/>
              </w:rPr>
              <w:t>SEBD</w:t>
            </w:r>
          </w:p>
        </w:tc>
      </w:tr>
      <w:tr w:rsidR="00572995" w:rsidRPr="00483EBE" w14:paraId="6DAD733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BAC3A6"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22F076D9"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7E0C1781" w14:textId="77777777" w:rsidR="00572995" w:rsidRPr="00483EBE" w:rsidRDefault="00572995" w:rsidP="00E8324D">
            <w:pPr>
              <w:pStyle w:val="Tablas"/>
              <w:rPr>
                <w:sz w:val="12"/>
                <w:szCs w:val="12"/>
              </w:rPr>
            </w:pPr>
            <w:r w:rsidRPr="00483EBE">
              <w:rPr>
                <w:sz w:val="12"/>
                <w:szCs w:val="12"/>
              </w:rPr>
              <w:t>$25,550</w:t>
            </w:r>
          </w:p>
        </w:tc>
        <w:tc>
          <w:tcPr>
            <w:tcW w:w="0" w:type="auto"/>
            <w:tcBorders>
              <w:top w:val="nil"/>
              <w:left w:val="nil"/>
              <w:bottom w:val="single" w:sz="4" w:space="0" w:color="auto"/>
              <w:right w:val="single" w:sz="4" w:space="0" w:color="auto"/>
            </w:tcBorders>
            <w:shd w:val="clear" w:color="auto" w:fill="auto"/>
            <w:vAlign w:val="center"/>
            <w:hideMark/>
          </w:tcPr>
          <w:p w14:paraId="30EEA44E" w14:textId="77777777" w:rsidR="00572995" w:rsidRPr="00483EBE" w:rsidRDefault="00572995" w:rsidP="00E8324D">
            <w:pPr>
              <w:pStyle w:val="Tablas"/>
              <w:rPr>
                <w:sz w:val="12"/>
                <w:szCs w:val="12"/>
              </w:rPr>
            </w:pPr>
            <w:r w:rsidRPr="00483EBE">
              <w:rPr>
                <w:sz w:val="12"/>
                <w:szCs w:val="12"/>
              </w:rPr>
              <w:t>$1,345</w:t>
            </w:r>
          </w:p>
        </w:tc>
        <w:tc>
          <w:tcPr>
            <w:tcW w:w="0" w:type="auto"/>
            <w:tcBorders>
              <w:top w:val="nil"/>
              <w:left w:val="nil"/>
              <w:bottom w:val="single" w:sz="4" w:space="0" w:color="auto"/>
              <w:right w:val="single" w:sz="4" w:space="0" w:color="auto"/>
            </w:tcBorders>
            <w:shd w:val="clear" w:color="auto" w:fill="auto"/>
            <w:vAlign w:val="center"/>
            <w:hideMark/>
          </w:tcPr>
          <w:p w14:paraId="4E22024D" w14:textId="77777777" w:rsidR="00572995" w:rsidRPr="00483EBE" w:rsidRDefault="00572995" w:rsidP="00E8324D">
            <w:pPr>
              <w:pStyle w:val="Tablas"/>
              <w:rPr>
                <w:sz w:val="12"/>
                <w:szCs w:val="12"/>
              </w:rPr>
            </w:pPr>
            <w:r w:rsidRPr="00483EBE">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09BF2622"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52697E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49D6F0D"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16BA172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C17B777" w14:textId="77777777" w:rsidR="00572995" w:rsidRPr="00483EBE" w:rsidRDefault="00572995" w:rsidP="00E8324D">
            <w:pPr>
              <w:pStyle w:val="Tablas"/>
              <w:rPr>
                <w:sz w:val="12"/>
                <w:szCs w:val="12"/>
              </w:rPr>
            </w:pPr>
            <w:r w:rsidRPr="00483EBE">
              <w:rPr>
                <w:sz w:val="12"/>
                <w:szCs w:val="12"/>
              </w:rPr>
              <w:t>$2,109</w:t>
            </w:r>
          </w:p>
        </w:tc>
        <w:tc>
          <w:tcPr>
            <w:tcW w:w="0" w:type="auto"/>
            <w:tcBorders>
              <w:top w:val="nil"/>
              <w:left w:val="nil"/>
              <w:bottom w:val="single" w:sz="4" w:space="0" w:color="auto"/>
              <w:right w:val="single" w:sz="4" w:space="0" w:color="auto"/>
            </w:tcBorders>
            <w:shd w:val="clear" w:color="auto" w:fill="auto"/>
            <w:vAlign w:val="center"/>
            <w:hideMark/>
          </w:tcPr>
          <w:p w14:paraId="34E6512F" w14:textId="77777777" w:rsidR="00572995" w:rsidRPr="00483EBE" w:rsidRDefault="00572995" w:rsidP="00E8324D">
            <w:pPr>
              <w:pStyle w:val="Tablas"/>
              <w:rPr>
                <w:sz w:val="12"/>
                <w:szCs w:val="12"/>
              </w:rPr>
            </w:pPr>
            <w:r w:rsidRPr="00483EBE">
              <w:rPr>
                <w:sz w:val="12"/>
                <w:szCs w:val="12"/>
              </w:rPr>
              <w:t>$1,054</w:t>
            </w:r>
          </w:p>
        </w:tc>
        <w:tc>
          <w:tcPr>
            <w:tcW w:w="0" w:type="auto"/>
            <w:tcBorders>
              <w:top w:val="nil"/>
              <w:left w:val="nil"/>
              <w:bottom w:val="single" w:sz="4" w:space="0" w:color="auto"/>
              <w:right w:val="single" w:sz="4" w:space="0" w:color="auto"/>
            </w:tcBorders>
            <w:shd w:val="clear" w:color="auto" w:fill="auto"/>
            <w:vAlign w:val="center"/>
            <w:hideMark/>
          </w:tcPr>
          <w:p w14:paraId="02C542C8"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649FA9C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5C4211B0" w14:textId="77777777" w:rsidR="00572995" w:rsidRPr="00483EBE" w:rsidRDefault="00572995" w:rsidP="00E8324D">
            <w:pPr>
              <w:pStyle w:val="Tablas"/>
              <w:rPr>
                <w:sz w:val="12"/>
                <w:szCs w:val="12"/>
              </w:rPr>
            </w:pPr>
            <w:r w:rsidRPr="00483EBE">
              <w:rPr>
                <w:sz w:val="12"/>
                <w:szCs w:val="12"/>
              </w:rPr>
              <w:t>SEBD</w:t>
            </w:r>
          </w:p>
        </w:tc>
      </w:tr>
      <w:tr w:rsidR="00572995" w:rsidRPr="00483EBE" w14:paraId="45F2BFD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229DC7F"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0AFCD3F9"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205CB726" w14:textId="77777777" w:rsidR="00572995" w:rsidRPr="00483EBE" w:rsidRDefault="00572995" w:rsidP="00E8324D">
            <w:pPr>
              <w:pStyle w:val="Tablas"/>
              <w:rPr>
                <w:sz w:val="12"/>
                <w:szCs w:val="12"/>
              </w:rPr>
            </w:pPr>
            <w:r w:rsidRPr="00483EBE">
              <w:rPr>
                <w:sz w:val="12"/>
                <w:szCs w:val="12"/>
              </w:rPr>
              <w:t>$17,969</w:t>
            </w:r>
          </w:p>
        </w:tc>
        <w:tc>
          <w:tcPr>
            <w:tcW w:w="0" w:type="auto"/>
            <w:tcBorders>
              <w:top w:val="nil"/>
              <w:left w:val="nil"/>
              <w:bottom w:val="single" w:sz="4" w:space="0" w:color="auto"/>
              <w:right w:val="single" w:sz="4" w:space="0" w:color="auto"/>
            </w:tcBorders>
            <w:shd w:val="clear" w:color="auto" w:fill="auto"/>
            <w:vAlign w:val="center"/>
            <w:hideMark/>
          </w:tcPr>
          <w:p w14:paraId="1FEAEF6B" w14:textId="77777777" w:rsidR="00572995" w:rsidRPr="00483EBE" w:rsidRDefault="00572995" w:rsidP="00E8324D">
            <w:pPr>
              <w:pStyle w:val="Tablas"/>
              <w:rPr>
                <w:sz w:val="12"/>
                <w:szCs w:val="12"/>
              </w:rPr>
            </w:pPr>
            <w:r w:rsidRPr="00483EBE">
              <w:rPr>
                <w:sz w:val="12"/>
                <w:szCs w:val="12"/>
              </w:rPr>
              <w:t>$1,057</w:t>
            </w:r>
          </w:p>
        </w:tc>
        <w:tc>
          <w:tcPr>
            <w:tcW w:w="0" w:type="auto"/>
            <w:tcBorders>
              <w:top w:val="nil"/>
              <w:left w:val="nil"/>
              <w:bottom w:val="single" w:sz="4" w:space="0" w:color="auto"/>
              <w:right w:val="single" w:sz="4" w:space="0" w:color="auto"/>
            </w:tcBorders>
            <w:shd w:val="clear" w:color="auto" w:fill="auto"/>
            <w:vAlign w:val="center"/>
            <w:hideMark/>
          </w:tcPr>
          <w:p w14:paraId="12EFA1B5"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0E1B5B53"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A8B25F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3C5204"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402342C3"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23C50E7B" w14:textId="77777777" w:rsidR="00572995" w:rsidRPr="00483EBE" w:rsidRDefault="00572995" w:rsidP="00E8324D">
            <w:pPr>
              <w:pStyle w:val="Tablas"/>
              <w:rPr>
                <w:sz w:val="12"/>
                <w:szCs w:val="12"/>
              </w:rPr>
            </w:pPr>
            <w:r w:rsidRPr="00483EBE">
              <w:rPr>
                <w:sz w:val="12"/>
                <w:szCs w:val="12"/>
              </w:rPr>
              <w:t>$3,755</w:t>
            </w:r>
          </w:p>
        </w:tc>
        <w:tc>
          <w:tcPr>
            <w:tcW w:w="0" w:type="auto"/>
            <w:tcBorders>
              <w:top w:val="nil"/>
              <w:left w:val="nil"/>
              <w:bottom w:val="single" w:sz="4" w:space="0" w:color="auto"/>
              <w:right w:val="single" w:sz="4" w:space="0" w:color="auto"/>
            </w:tcBorders>
            <w:shd w:val="clear" w:color="auto" w:fill="auto"/>
            <w:vAlign w:val="center"/>
            <w:hideMark/>
          </w:tcPr>
          <w:p w14:paraId="59C93DC7" w14:textId="77777777" w:rsidR="00572995" w:rsidRPr="00483EBE" w:rsidRDefault="00572995" w:rsidP="00E8324D">
            <w:pPr>
              <w:pStyle w:val="Tablas"/>
              <w:rPr>
                <w:sz w:val="12"/>
                <w:szCs w:val="12"/>
              </w:rPr>
            </w:pPr>
            <w:r w:rsidRPr="00483EBE">
              <w:rPr>
                <w:sz w:val="12"/>
                <w:szCs w:val="12"/>
              </w:rPr>
              <w:t>$1,252</w:t>
            </w:r>
          </w:p>
        </w:tc>
        <w:tc>
          <w:tcPr>
            <w:tcW w:w="0" w:type="auto"/>
            <w:tcBorders>
              <w:top w:val="nil"/>
              <w:left w:val="nil"/>
              <w:bottom w:val="single" w:sz="4" w:space="0" w:color="auto"/>
              <w:right w:val="single" w:sz="4" w:space="0" w:color="auto"/>
            </w:tcBorders>
            <w:shd w:val="clear" w:color="auto" w:fill="auto"/>
            <w:vAlign w:val="center"/>
            <w:hideMark/>
          </w:tcPr>
          <w:p w14:paraId="1853E4DF"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657FEFDD"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7821DB9B" w14:textId="77777777" w:rsidR="00572995" w:rsidRPr="00483EBE" w:rsidRDefault="00572995" w:rsidP="00E8324D">
            <w:pPr>
              <w:pStyle w:val="Tablas"/>
              <w:rPr>
                <w:sz w:val="12"/>
                <w:szCs w:val="12"/>
              </w:rPr>
            </w:pPr>
            <w:r w:rsidRPr="00483EBE">
              <w:rPr>
                <w:sz w:val="12"/>
                <w:szCs w:val="12"/>
              </w:rPr>
              <w:t>SEBD</w:t>
            </w:r>
          </w:p>
        </w:tc>
      </w:tr>
      <w:tr w:rsidR="00572995" w:rsidRPr="00483EBE" w14:paraId="750AD13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CB6A919"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5681DF93"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4F6AECC8" w14:textId="77777777" w:rsidR="00572995" w:rsidRPr="00483EBE" w:rsidRDefault="00572995" w:rsidP="00E8324D">
            <w:pPr>
              <w:pStyle w:val="Tablas"/>
              <w:rPr>
                <w:sz w:val="12"/>
                <w:szCs w:val="12"/>
              </w:rPr>
            </w:pPr>
            <w:r w:rsidRPr="00483EBE">
              <w:rPr>
                <w:sz w:val="12"/>
                <w:szCs w:val="12"/>
              </w:rPr>
              <w:t>$20,431</w:t>
            </w:r>
          </w:p>
        </w:tc>
        <w:tc>
          <w:tcPr>
            <w:tcW w:w="0" w:type="auto"/>
            <w:tcBorders>
              <w:top w:val="nil"/>
              <w:left w:val="nil"/>
              <w:bottom w:val="single" w:sz="4" w:space="0" w:color="auto"/>
              <w:right w:val="single" w:sz="4" w:space="0" w:color="auto"/>
            </w:tcBorders>
            <w:shd w:val="clear" w:color="auto" w:fill="auto"/>
            <w:vAlign w:val="center"/>
            <w:hideMark/>
          </w:tcPr>
          <w:p w14:paraId="540AA174" w14:textId="77777777" w:rsidR="00572995" w:rsidRPr="00483EBE" w:rsidRDefault="00572995" w:rsidP="00E8324D">
            <w:pPr>
              <w:pStyle w:val="Tablas"/>
              <w:rPr>
                <w:sz w:val="12"/>
                <w:szCs w:val="12"/>
              </w:rPr>
            </w:pPr>
            <w:r w:rsidRPr="00483EBE">
              <w:rPr>
                <w:sz w:val="12"/>
                <w:szCs w:val="12"/>
              </w:rPr>
              <w:t>$973</w:t>
            </w:r>
          </w:p>
        </w:tc>
        <w:tc>
          <w:tcPr>
            <w:tcW w:w="0" w:type="auto"/>
            <w:tcBorders>
              <w:top w:val="nil"/>
              <w:left w:val="nil"/>
              <w:bottom w:val="single" w:sz="4" w:space="0" w:color="auto"/>
              <w:right w:val="single" w:sz="4" w:space="0" w:color="auto"/>
            </w:tcBorders>
            <w:shd w:val="clear" w:color="auto" w:fill="auto"/>
            <w:vAlign w:val="center"/>
            <w:hideMark/>
          </w:tcPr>
          <w:p w14:paraId="36E0AF17"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64A9D7ED"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2CD7F6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9C95BE"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122943E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41F09BA" w14:textId="77777777" w:rsidR="00572995" w:rsidRPr="00483EBE" w:rsidRDefault="00572995" w:rsidP="00E8324D">
            <w:pPr>
              <w:pStyle w:val="Tablas"/>
              <w:rPr>
                <w:sz w:val="12"/>
                <w:szCs w:val="12"/>
              </w:rPr>
            </w:pPr>
            <w:r w:rsidRPr="00483EBE">
              <w:rPr>
                <w:sz w:val="12"/>
                <w:szCs w:val="12"/>
              </w:rPr>
              <w:t>$780</w:t>
            </w:r>
          </w:p>
        </w:tc>
        <w:tc>
          <w:tcPr>
            <w:tcW w:w="0" w:type="auto"/>
            <w:tcBorders>
              <w:top w:val="nil"/>
              <w:left w:val="nil"/>
              <w:bottom w:val="single" w:sz="4" w:space="0" w:color="auto"/>
              <w:right w:val="single" w:sz="4" w:space="0" w:color="auto"/>
            </w:tcBorders>
            <w:shd w:val="clear" w:color="auto" w:fill="auto"/>
            <w:vAlign w:val="center"/>
            <w:hideMark/>
          </w:tcPr>
          <w:p w14:paraId="45C4FFDF" w14:textId="77777777" w:rsidR="00572995" w:rsidRPr="00483EBE" w:rsidRDefault="00572995" w:rsidP="00E8324D">
            <w:pPr>
              <w:pStyle w:val="Tablas"/>
              <w:rPr>
                <w:sz w:val="12"/>
                <w:szCs w:val="12"/>
              </w:rPr>
            </w:pPr>
            <w:r w:rsidRPr="00483EBE">
              <w:rPr>
                <w:sz w:val="12"/>
                <w:szCs w:val="12"/>
              </w:rPr>
              <w:t>$780</w:t>
            </w:r>
          </w:p>
        </w:tc>
        <w:tc>
          <w:tcPr>
            <w:tcW w:w="0" w:type="auto"/>
            <w:tcBorders>
              <w:top w:val="nil"/>
              <w:left w:val="nil"/>
              <w:bottom w:val="single" w:sz="4" w:space="0" w:color="auto"/>
              <w:right w:val="single" w:sz="4" w:space="0" w:color="auto"/>
            </w:tcBorders>
            <w:shd w:val="clear" w:color="auto" w:fill="auto"/>
            <w:vAlign w:val="center"/>
            <w:hideMark/>
          </w:tcPr>
          <w:p w14:paraId="3198E155"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5109531E"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6DC68C8C" w14:textId="77777777" w:rsidR="00572995" w:rsidRPr="00483EBE" w:rsidRDefault="00572995" w:rsidP="00E8324D">
            <w:pPr>
              <w:pStyle w:val="Tablas"/>
              <w:rPr>
                <w:sz w:val="12"/>
                <w:szCs w:val="12"/>
              </w:rPr>
            </w:pPr>
            <w:r w:rsidRPr="00483EBE">
              <w:rPr>
                <w:sz w:val="12"/>
                <w:szCs w:val="12"/>
              </w:rPr>
              <w:t>SEBD</w:t>
            </w:r>
          </w:p>
        </w:tc>
      </w:tr>
      <w:tr w:rsidR="00572995" w:rsidRPr="00483EBE" w14:paraId="14EF91E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B091CA6"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679CD4E8"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06A0C8DD" w14:textId="77777777" w:rsidR="00572995" w:rsidRPr="00483EBE" w:rsidRDefault="00572995" w:rsidP="00E8324D">
            <w:pPr>
              <w:pStyle w:val="Tablas"/>
              <w:rPr>
                <w:sz w:val="12"/>
                <w:szCs w:val="12"/>
              </w:rPr>
            </w:pPr>
            <w:r w:rsidRPr="00483EBE">
              <w:rPr>
                <w:sz w:val="12"/>
                <w:szCs w:val="12"/>
              </w:rPr>
              <w:t>$18,977</w:t>
            </w:r>
          </w:p>
        </w:tc>
        <w:tc>
          <w:tcPr>
            <w:tcW w:w="0" w:type="auto"/>
            <w:tcBorders>
              <w:top w:val="nil"/>
              <w:left w:val="nil"/>
              <w:bottom w:val="single" w:sz="4" w:space="0" w:color="auto"/>
              <w:right w:val="single" w:sz="4" w:space="0" w:color="auto"/>
            </w:tcBorders>
            <w:shd w:val="clear" w:color="auto" w:fill="auto"/>
            <w:vAlign w:val="center"/>
            <w:hideMark/>
          </w:tcPr>
          <w:p w14:paraId="61466E12" w14:textId="77777777" w:rsidR="00572995" w:rsidRPr="00483EBE" w:rsidRDefault="00572995" w:rsidP="00E8324D">
            <w:pPr>
              <w:pStyle w:val="Tablas"/>
              <w:rPr>
                <w:sz w:val="12"/>
                <w:szCs w:val="12"/>
              </w:rPr>
            </w:pPr>
            <w:r w:rsidRPr="00483EBE">
              <w:rPr>
                <w:sz w:val="12"/>
                <w:szCs w:val="12"/>
              </w:rPr>
              <w:t>$1,116</w:t>
            </w:r>
          </w:p>
        </w:tc>
        <w:tc>
          <w:tcPr>
            <w:tcW w:w="0" w:type="auto"/>
            <w:tcBorders>
              <w:top w:val="nil"/>
              <w:left w:val="nil"/>
              <w:bottom w:val="single" w:sz="4" w:space="0" w:color="auto"/>
              <w:right w:val="single" w:sz="4" w:space="0" w:color="auto"/>
            </w:tcBorders>
            <w:shd w:val="clear" w:color="auto" w:fill="auto"/>
            <w:vAlign w:val="center"/>
            <w:hideMark/>
          </w:tcPr>
          <w:p w14:paraId="65F993AF"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32A39709"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8E614C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DB7EE56"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543F1D2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44D4432" w14:textId="77777777" w:rsidR="00572995" w:rsidRPr="00483EBE" w:rsidRDefault="00572995" w:rsidP="00E8324D">
            <w:pPr>
              <w:pStyle w:val="Tablas"/>
              <w:rPr>
                <w:sz w:val="12"/>
                <w:szCs w:val="12"/>
              </w:rPr>
            </w:pPr>
            <w:r w:rsidRPr="00483EBE">
              <w:rPr>
                <w:sz w:val="12"/>
                <w:szCs w:val="12"/>
              </w:rPr>
              <w:t>$908</w:t>
            </w:r>
          </w:p>
        </w:tc>
        <w:tc>
          <w:tcPr>
            <w:tcW w:w="0" w:type="auto"/>
            <w:tcBorders>
              <w:top w:val="nil"/>
              <w:left w:val="nil"/>
              <w:bottom w:val="single" w:sz="4" w:space="0" w:color="auto"/>
              <w:right w:val="single" w:sz="4" w:space="0" w:color="auto"/>
            </w:tcBorders>
            <w:shd w:val="clear" w:color="auto" w:fill="auto"/>
            <w:vAlign w:val="center"/>
            <w:hideMark/>
          </w:tcPr>
          <w:p w14:paraId="733DF765" w14:textId="77777777" w:rsidR="00572995" w:rsidRPr="00483EBE" w:rsidRDefault="00572995" w:rsidP="00E8324D">
            <w:pPr>
              <w:pStyle w:val="Tablas"/>
              <w:rPr>
                <w:sz w:val="12"/>
                <w:szCs w:val="12"/>
              </w:rPr>
            </w:pPr>
            <w:r w:rsidRPr="00483EBE">
              <w:rPr>
                <w:sz w:val="12"/>
                <w:szCs w:val="12"/>
              </w:rPr>
              <w:t>$908</w:t>
            </w:r>
          </w:p>
        </w:tc>
        <w:tc>
          <w:tcPr>
            <w:tcW w:w="0" w:type="auto"/>
            <w:tcBorders>
              <w:top w:val="nil"/>
              <w:left w:val="nil"/>
              <w:bottom w:val="single" w:sz="4" w:space="0" w:color="auto"/>
              <w:right w:val="single" w:sz="4" w:space="0" w:color="auto"/>
            </w:tcBorders>
            <w:shd w:val="clear" w:color="auto" w:fill="auto"/>
            <w:vAlign w:val="center"/>
            <w:hideMark/>
          </w:tcPr>
          <w:p w14:paraId="2B48D79A"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2483F6CE"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759FF7BA" w14:textId="77777777" w:rsidR="00572995" w:rsidRPr="00483EBE" w:rsidRDefault="00572995" w:rsidP="00E8324D">
            <w:pPr>
              <w:pStyle w:val="Tablas"/>
              <w:rPr>
                <w:sz w:val="12"/>
                <w:szCs w:val="12"/>
              </w:rPr>
            </w:pPr>
            <w:r w:rsidRPr="00483EBE">
              <w:rPr>
                <w:sz w:val="12"/>
                <w:szCs w:val="12"/>
              </w:rPr>
              <w:t>SEBD</w:t>
            </w:r>
          </w:p>
        </w:tc>
      </w:tr>
      <w:tr w:rsidR="00572995" w:rsidRPr="00483EBE" w14:paraId="7610C48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5BE3EF0"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2E81511C"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3211636F" w14:textId="77777777" w:rsidR="00572995" w:rsidRPr="00483EBE" w:rsidRDefault="00572995" w:rsidP="00E8324D">
            <w:pPr>
              <w:pStyle w:val="Tablas"/>
              <w:rPr>
                <w:sz w:val="12"/>
                <w:szCs w:val="12"/>
              </w:rPr>
            </w:pPr>
            <w:r w:rsidRPr="00483EBE">
              <w:rPr>
                <w:sz w:val="12"/>
                <w:szCs w:val="12"/>
              </w:rPr>
              <w:t>$27,362</w:t>
            </w:r>
          </w:p>
        </w:tc>
        <w:tc>
          <w:tcPr>
            <w:tcW w:w="0" w:type="auto"/>
            <w:tcBorders>
              <w:top w:val="nil"/>
              <w:left w:val="nil"/>
              <w:bottom w:val="single" w:sz="4" w:space="0" w:color="auto"/>
              <w:right w:val="single" w:sz="4" w:space="0" w:color="auto"/>
            </w:tcBorders>
            <w:shd w:val="clear" w:color="auto" w:fill="auto"/>
            <w:vAlign w:val="center"/>
            <w:hideMark/>
          </w:tcPr>
          <w:p w14:paraId="60205F02" w14:textId="77777777" w:rsidR="00572995" w:rsidRPr="00483EBE" w:rsidRDefault="00572995" w:rsidP="00E8324D">
            <w:pPr>
              <w:pStyle w:val="Tablas"/>
              <w:rPr>
                <w:sz w:val="12"/>
                <w:szCs w:val="12"/>
              </w:rPr>
            </w:pPr>
            <w:r w:rsidRPr="00483EBE">
              <w:rPr>
                <w:sz w:val="12"/>
                <w:szCs w:val="12"/>
              </w:rPr>
              <w:t>$1,140</w:t>
            </w:r>
          </w:p>
        </w:tc>
        <w:tc>
          <w:tcPr>
            <w:tcW w:w="0" w:type="auto"/>
            <w:tcBorders>
              <w:top w:val="nil"/>
              <w:left w:val="nil"/>
              <w:bottom w:val="single" w:sz="4" w:space="0" w:color="auto"/>
              <w:right w:val="single" w:sz="4" w:space="0" w:color="auto"/>
            </w:tcBorders>
            <w:shd w:val="clear" w:color="auto" w:fill="auto"/>
            <w:vAlign w:val="center"/>
            <w:hideMark/>
          </w:tcPr>
          <w:p w14:paraId="54E9A6B8"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2ADB64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D3604D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65EBBB"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D111D3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49A3D8A" w14:textId="77777777" w:rsidR="00572995" w:rsidRPr="00483EBE" w:rsidRDefault="00572995" w:rsidP="00E8324D">
            <w:pPr>
              <w:pStyle w:val="Tablas"/>
              <w:rPr>
                <w:sz w:val="12"/>
                <w:szCs w:val="12"/>
              </w:rPr>
            </w:pPr>
            <w:r w:rsidRPr="00483EBE">
              <w:rPr>
                <w:sz w:val="12"/>
                <w:szCs w:val="12"/>
              </w:rPr>
              <w:t>$1,165</w:t>
            </w:r>
          </w:p>
        </w:tc>
        <w:tc>
          <w:tcPr>
            <w:tcW w:w="0" w:type="auto"/>
            <w:tcBorders>
              <w:top w:val="nil"/>
              <w:left w:val="nil"/>
              <w:bottom w:val="single" w:sz="4" w:space="0" w:color="auto"/>
              <w:right w:val="single" w:sz="4" w:space="0" w:color="auto"/>
            </w:tcBorders>
            <w:shd w:val="clear" w:color="auto" w:fill="auto"/>
            <w:vAlign w:val="center"/>
            <w:hideMark/>
          </w:tcPr>
          <w:p w14:paraId="0C37B552" w14:textId="77777777" w:rsidR="00572995" w:rsidRPr="00483EBE" w:rsidRDefault="00572995" w:rsidP="00E8324D">
            <w:pPr>
              <w:pStyle w:val="Tablas"/>
              <w:rPr>
                <w:sz w:val="12"/>
                <w:szCs w:val="12"/>
              </w:rPr>
            </w:pPr>
            <w:r w:rsidRPr="00483EBE">
              <w:rPr>
                <w:sz w:val="12"/>
                <w:szCs w:val="12"/>
              </w:rPr>
              <w:t>$1,165</w:t>
            </w:r>
          </w:p>
        </w:tc>
        <w:tc>
          <w:tcPr>
            <w:tcW w:w="0" w:type="auto"/>
            <w:tcBorders>
              <w:top w:val="nil"/>
              <w:left w:val="nil"/>
              <w:bottom w:val="single" w:sz="4" w:space="0" w:color="auto"/>
              <w:right w:val="single" w:sz="4" w:space="0" w:color="auto"/>
            </w:tcBorders>
            <w:shd w:val="clear" w:color="auto" w:fill="auto"/>
            <w:vAlign w:val="center"/>
            <w:hideMark/>
          </w:tcPr>
          <w:p w14:paraId="5033CAA1"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6DF15309"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5E0B6439" w14:textId="77777777" w:rsidR="00572995" w:rsidRPr="00483EBE" w:rsidRDefault="00572995" w:rsidP="00E8324D">
            <w:pPr>
              <w:pStyle w:val="Tablas"/>
              <w:rPr>
                <w:sz w:val="12"/>
                <w:szCs w:val="12"/>
              </w:rPr>
            </w:pPr>
            <w:r w:rsidRPr="00483EBE">
              <w:rPr>
                <w:sz w:val="12"/>
                <w:szCs w:val="12"/>
              </w:rPr>
              <w:t>SEBD</w:t>
            </w:r>
          </w:p>
        </w:tc>
      </w:tr>
      <w:tr w:rsidR="00572995" w:rsidRPr="00483EBE" w14:paraId="6E86244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C508FD6"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39AAFD74" w14:textId="77777777" w:rsidR="00572995" w:rsidRPr="00483EBE" w:rsidRDefault="00572995" w:rsidP="00E8324D">
            <w:pPr>
              <w:pStyle w:val="Tablas"/>
              <w:rPr>
                <w:sz w:val="12"/>
                <w:szCs w:val="12"/>
              </w:rPr>
            </w:pPr>
            <w:r w:rsidRPr="00483EBE">
              <w:rPr>
                <w:sz w:val="12"/>
                <w:szCs w:val="12"/>
              </w:rPr>
              <w:t xml:space="preserve">23 </w:t>
            </w:r>
          </w:p>
        </w:tc>
        <w:tc>
          <w:tcPr>
            <w:tcW w:w="0" w:type="auto"/>
            <w:tcBorders>
              <w:top w:val="nil"/>
              <w:left w:val="nil"/>
              <w:bottom w:val="single" w:sz="4" w:space="0" w:color="auto"/>
              <w:right w:val="single" w:sz="4" w:space="0" w:color="auto"/>
            </w:tcBorders>
            <w:shd w:val="clear" w:color="auto" w:fill="auto"/>
            <w:vAlign w:val="center"/>
            <w:hideMark/>
          </w:tcPr>
          <w:p w14:paraId="6FCA1697" w14:textId="77777777" w:rsidR="00572995" w:rsidRPr="00483EBE" w:rsidRDefault="00572995" w:rsidP="00E8324D">
            <w:pPr>
              <w:pStyle w:val="Tablas"/>
              <w:rPr>
                <w:sz w:val="12"/>
                <w:szCs w:val="12"/>
              </w:rPr>
            </w:pPr>
            <w:r w:rsidRPr="00483EBE">
              <w:rPr>
                <w:sz w:val="12"/>
                <w:szCs w:val="12"/>
              </w:rPr>
              <w:t>$46,565</w:t>
            </w:r>
          </w:p>
        </w:tc>
        <w:tc>
          <w:tcPr>
            <w:tcW w:w="0" w:type="auto"/>
            <w:tcBorders>
              <w:top w:val="nil"/>
              <w:left w:val="nil"/>
              <w:bottom w:val="single" w:sz="4" w:space="0" w:color="auto"/>
              <w:right w:val="single" w:sz="4" w:space="0" w:color="auto"/>
            </w:tcBorders>
            <w:shd w:val="clear" w:color="auto" w:fill="auto"/>
            <w:vAlign w:val="center"/>
            <w:hideMark/>
          </w:tcPr>
          <w:p w14:paraId="36D19BB0" w14:textId="77777777" w:rsidR="00572995" w:rsidRPr="00483EBE" w:rsidRDefault="00572995" w:rsidP="00E8324D">
            <w:pPr>
              <w:pStyle w:val="Tablas"/>
              <w:rPr>
                <w:sz w:val="12"/>
                <w:szCs w:val="12"/>
              </w:rPr>
            </w:pPr>
            <w:r w:rsidRPr="00483EBE">
              <w:rPr>
                <w:sz w:val="12"/>
                <w:szCs w:val="12"/>
              </w:rPr>
              <w:t>$2,025</w:t>
            </w:r>
          </w:p>
        </w:tc>
        <w:tc>
          <w:tcPr>
            <w:tcW w:w="0" w:type="auto"/>
            <w:tcBorders>
              <w:top w:val="nil"/>
              <w:left w:val="nil"/>
              <w:bottom w:val="single" w:sz="4" w:space="0" w:color="auto"/>
              <w:right w:val="single" w:sz="4" w:space="0" w:color="auto"/>
            </w:tcBorders>
            <w:shd w:val="clear" w:color="auto" w:fill="auto"/>
            <w:vAlign w:val="center"/>
            <w:hideMark/>
          </w:tcPr>
          <w:p w14:paraId="224E7A18" w14:textId="77777777" w:rsidR="00572995" w:rsidRPr="00483EBE" w:rsidRDefault="00572995" w:rsidP="00E8324D">
            <w:pPr>
              <w:pStyle w:val="Tablas"/>
              <w:rPr>
                <w:sz w:val="12"/>
                <w:szCs w:val="12"/>
              </w:rPr>
            </w:pPr>
            <w:r w:rsidRPr="00483EBE">
              <w:rPr>
                <w:sz w:val="12"/>
                <w:szCs w:val="12"/>
              </w:rPr>
              <w:t>$169</w:t>
            </w:r>
          </w:p>
        </w:tc>
        <w:tc>
          <w:tcPr>
            <w:tcW w:w="0" w:type="auto"/>
            <w:tcBorders>
              <w:top w:val="nil"/>
              <w:left w:val="nil"/>
              <w:bottom w:val="single" w:sz="4" w:space="0" w:color="auto"/>
              <w:right w:val="single" w:sz="4" w:space="0" w:color="auto"/>
            </w:tcBorders>
            <w:shd w:val="clear" w:color="auto" w:fill="auto"/>
            <w:vAlign w:val="center"/>
            <w:hideMark/>
          </w:tcPr>
          <w:p w14:paraId="37AEA550"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208C98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28F7BE"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4CB525D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C797F92" w14:textId="77777777" w:rsidR="00572995" w:rsidRPr="00483EBE" w:rsidRDefault="00572995" w:rsidP="00E8324D">
            <w:pPr>
              <w:pStyle w:val="Tablas"/>
              <w:rPr>
                <w:sz w:val="12"/>
                <w:szCs w:val="12"/>
              </w:rPr>
            </w:pPr>
            <w:r w:rsidRPr="00483EBE">
              <w:rPr>
                <w:sz w:val="12"/>
                <w:szCs w:val="12"/>
              </w:rPr>
              <w:t>$1,382</w:t>
            </w:r>
          </w:p>
        </w:tc>
        <w:tc>
          <w:tcPr>
            <w:tcW w:w="0" w:type="auto"/>
            <w:tcBorders>
              <w:top w:val="nil"/>
              <w:left w:val="nil"/>
              <w:bottom w:val="single" w:sz="4" w:space="0" w:color="auto"/>
              <w:right w:val="single" w:sz="4" w:space="0" w:color="auto"/>
            </w:tcBorders>
            <w:shd w:val="clear" w:color="auto" w:fill="auto"/>
            <w:vAlign w:val="center"/>
            <w:hideMark/>
          </w:tcPr>
          <w:p w14:paraId="3C1FF568" w14:textId="77777777" w:rsidR="00572995" w:rsidRPr="00483EBE" w:rsidRDefault="00572995" w:rsidP="00E8324D">
            <w:pPr>
              <w:pStyle w:val="Tablas"/>
              <w:rPr>
                <w:sz w:val="12"/>
                <w:szCs w:val="12"/>
              </w:rPr>
            </w:pPr>
            <w:r w:rsidRPr="00483EBE">
              <w:rPr>
                <w:sz w:val="12"/>
                <w:szCs w:val="12"/>
              </w:rPr>
              <w:t>$1,382</w:t>
            </w:r>
          </w:p>
        </w:tc>
        <w:tc>
          <w:tcPr>
            <w:tcW w:w="0" w:type="auto"/>
            <w:tcBorders>
              <w:top w:val="nil"/>
              <w:left w:val="nil"/>
              <w:bottom w:val="single" w:sz="4" w:space="0" w:color="auto"/>
              <w:right w:val="single" w:sz="4" w:space="0" w:color="auto"/>
            </w:tcBorders>
            <w:shd w:val="clear" w:color="auto" w:fill="auto"/>
            <w:vAlign w:val="center"/>
            <w:hideMark/>
          </w:tcPr>
          <w:p w14:paraId="311669CE" w14:textId="77777777" w:rsidR="00572995" w:rsidRPr="00483EBE" w:rsidRDefault="00572995" w:rsidP="00E8324D">
            <w:pPr>
              <w:pStyle w:val="Tablas"/>
              <w:rPr>
                <w:sz w:val="12"/>
                <w:szCs w:val="12"/>
              </w:rPr>
            </w:pPr>
            <w:r w:rsidRPr="00483EBE">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43E5C134"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6031B8A9" w14:textId="77777777" w:rsidR="00572995" w:rsidRPr="00483EBE" w:rsidRDefault="00572995" w:rsidP="00E8324D">
            <w:pPr>
              <w:pStyle w:val="Tablas"/>
              <w:rPr>
                <w:sz w:val="12"/>
                <w:szCs w:val="12"/>
              </w:rPr>
            </w:pPr>
            <w:r w:rsidRPr="00483EBE">
              <w:rPr>
                <w:sz w:val="12"/>
                <w:szCs w:val="12"/>
              </w:rPr>
              <w:t>SEBD</w:t>
            </w:r>
          </w:p>
        </w:tc>
      </w:tr>
      <w:tr w:rsidR="00572995" w:rsidRPr="00483EBE" w14:paraId="77149CF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29AAEE"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788F33B7"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28BFE9B8" w14:textId="77777777" w:rsidR="00572995" w:rsidRPr="00483EBE" w:rsidRDefault="00572995" w:rsidP="00E8324D">
            <w:pPr>
              <w:pStyle w:val="Tablas"/>
              <w:rPr>
                <w:sz w:val="12"/>
                <w:szCs w:val="12"/>
              </w:rPr>
            </w:pPr>
            <w:r w:rsidRPr="00483EBE">
              <w:rPr>
                <w:sz w:val="12"/>
                <w:szCs w:val="12"/>
              </w:rPr>
              <w:t>$42,292</w:t>
            </w:r>
          </w:p>
        </w:tc>
        <w:tc>
          <w:tcPr>
            <w:tcW w:w="0" w:type="auto"/>
            <w:tcBorders>
              <w:top w:val="nil"/>
              <w:left w:val="nil"/>
              <w:bottom w:val="single" w:sz="4" w:space="0" w:color="auto"/>
              <w:right w:val="single" w:sz="4" w:space="0" w:color="auto"/>
            </w:tcBorders>
            <w:shd w:val="clear" w:color="auto" w:fill="auto"/>
            <w:vAlign w:val="center"/>
            <w:hideMark/>
          </w:tcPr>
          <w:p w14:paraId="65760398" w14:textId="77777777" w:rsidR="00572995" w:rsidRPr="00483EBE" w:rsidRDefault="00572995" w:rsidP="00E8324D">
            <w:pPr>
              <w:pStyle w:val="Tablas"/>
              <w:rPr>
                <w:sz w:val="12"/>
                <w:szCs w:val="12"/>
              </w:rPr>
            </w:pPr>
            <w:r w:rsidRPr="00483EBE">
              <w:rPr>
                <w:sz w:val="12"/>
                <w:szCs w:val="12"/>
              </w:rPr>
              <w:t>$1,566</w:t>
            </w:r>
          </w:p>
        </w:tc>
        <w:tc>
          <w:tcPr>
            <w:tcW w:w="0" w:type="auto"/>
            <w:tcBorders>
              <w:top w:val="nil"/>
              <w:left w:val="nil"/>
              <w:bottom w:val="single" w:sz="4" w:space="0" w:color="auto"/>
              <w:right w:val="single" w:sz="4" w:space="0" w:color="auto"/>
            </w:tcBorders>
            <w:shd w:val="clear" w:color="auto" w:fill="auto"/>
            <w:vAlign w:val="center"/>
            <w:hideMark/>
          </w:tcPr>
          <w:p w14:paraId="7B74D08E" w14:textId="77777777" w:rsidR="00572995" w:rsidRPr="00483EBE" w:rsidRDefault="00572995" w:rsidP="00E8324D">
            <w:pPr>
              <w:pStyle w:val="Tablas"/>
              <w:rPr>
                <w:sz w:val="12"/>
                <w:szCs w:val="12"/>
              </w:rPr>
            </w:pPr>
            <w:r w:rsidRPr="00483EBE">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4B71DED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A7E65F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E1ADE12"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37C61F7F"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6B32580" w14:textId="77777777" w:rsidR="00572995" w:rsidRPr="00483EBE" w:rsidRDefault="00572995" w:rsidP="00E8324D">
            <w:pPr>
              <w:pStyle w:val="Tablas"/>
              <w:rPr>
                <w:sz w:val="12"/>
                <w:szCs w:val="12"/>
              </w:rPr>
            </w:pPr>
            <w:r w:rsidRPr="00483EBE">
              <w:rPr>
                <w:sz w:val="12"/>
                <w:szCs w:val="12"/>
              </w:rPr>
              <w:t>$2,776</w:t>
            </w:r>
          </w:p>
        </w:tc>
        <w:tc>
          <w:tcPr>
            <w:tcW w:w="0" w:type="auto"/>
            <w:tcBorders>
              <w:top w:val="nil"/>
              <w:left w:val="nil"/>
              <w:bottom w:val="single" w:sz="4" w:space="0" w:color="auto"/>
              <w:right w:val="single" w:sz="4" w:space="0" w:color="auto"/>
            </w:tcBorders>
            <w:shd w:val="clear" w:color="auto" w:fill="auto"/>
            <w:vAlign w:val="center"/>
            <w:hideMark/>
          </w:tcPr>
          <w:p w14:paraId="61B27B96" w14:textId="77777777" w:rsidR="00572995" w:rsidRPr="00483EBE" w:rsidRDefault="00572995" w:rsidP="00E8324D">
            <w:pPr>
              <w:pStyle w:val="Tablas"/>
              <w:rPr>
                <w:sz w:val="12"/>
                <w:szCs w:val="12"/>
              </w:rPr>
            </w:pPr>
            <w:r w:rsidRPr="00483EBE">
              <w:rPr>
                <w:sz w:val="12"/>
                <w:szCs w:val="12"/>
              </w:rPr>
              <w:t>$1,388</w:t>
            </w:r>
          </w:p>
        </w:tc>
        <w:tc>
          <w:tcPr>
            <w:tcW w:w="0" w:type="auto"/>
            <w:tcBorders>
              <w:top w:val="nil"/>
              <w:left w:val="nil"/>
              <w:bottom w:val="single" w:sz="4" w:space="0" w:color="auto"/>
              <w:right w:val="single" w:sz="4" w:space="0" w:color="auto"/>
            </w:tcBorders>
            <w:shd w:val="clear" w:color="auto" w:fill="auto"/>
            <w:vAlign w:val="center"/>
            <w:hideMark/>
          </w:tcPr>
          <w:p w14:paraId="173C0C66" w14:textId="77777777" w:rsidR="00572995" w:rsidRPr="00483EBE" w:rsidRDefault="00572995" w:rsidP="00E8324D">
            <w:pPr>
              <w:pStyle w:val="Tablas"/>
              <w:rPr>
                <w:sz w:val="12"/>
                <w:szCs w:val="12"/>
              </w:rPr>
            </w:pPr>
            <w:r w:rsidRPr="00483EBE">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75B475E6"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271BF862" w14:textId="77777777" w:rsidR="00572995" w:rsidRPr="00483EBE" w:rsidRDefault="00572995" w:rsidP="00E8324D">
            <w:pPr>
              <w:pStyle w:val="Tablas"/>
              <w:rPr>
                <w:sz w:val="12"/>
                <w:szCs w:val="12"/>
              </w:rPr>
            </w:pPr>
            <w:r w:rsidRPr="00483EBE">
              <w:rPr>
                <w:sz w:val="12"/>
                <w:szCs w:val="12"/>
              </w:rPr>
              <w:t>SEBD</w:t>
            </w:r>
          </w:p>
        </w:tc>
      </w:tr>
      <w:tr w:rsidR="00572995" w:rsidRPr="00483EBE" w14:paraId="61AA3B3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D5C57B"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6005EA4E"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5DFA9E75" w14:textId="77777777" w:rsidR="00572995" w:rsidRPr="00483EBE" w:rsidRDefault="00572995" w:rsidP="00E8324D">
            <w:pPr>
              <w:pStyle w:val="Tablas"/>
              <w:rPr>
                <w:sz w:val="12"/>
                <w:szCs w:val="12"/>
              </w:rPr>
            </w:pPr>
            <w:r w:rsidRPr="00483EBE">
              <w:rPr>
                <w:sz w:val="12"/>
                <w:szCs w:val="12"/>
              </w:rPr>
              <w:t>$39,453</w:t>
            </w:r>
          </w:p>
        </w:tc>
        <w:tc>
          <w:tcPr>
            <w:tcW w:w="0" w:type="auto"/>
            <w:tcBorders>
              <w:top w:val="nil"/>
              <w:left w:val="nil"/>
              <w:bottom w:val="single" w:sz="4" w:space="0" w:color="auto"/>
              <w:right w:val="single" w:sz="4" w:space="0" w:color="auto"/>
            </w:tcBorders>
            <w:shd w:val="clear" w:color="auto" w:fill="auto"/>
            <w:vAlign w:val="center"/>
            <w:hideMark/>
          </w:tcPr>
          <w:p w14:paraId="729DCC76" w14:textId="77777777" w:rsidR="00572995" w:rsidRPr="00483EBE" w:rsidRDefault="00572995" w:rsidP="00E8324D">
            <w:pPr>
              <w:pStyle w:val="Tablas"/>
              <w:rPr>
                <w:sz w:val="12"/>
                <w:szCs w:val="12"/>
              </w:rPr>
            </w:pPr>
            <w:r w:rsidRPr="00483EBE">
              <w:rPr>
                <w:sz w:val="12"/>
                <w:szCs w:val="12"/>
              </w:rPr>
              <w:t>$1,360</w:t>
            </w:r>
          </w:p>
        </w:tc>
        <w:tc>
          <w:tcPr>
            <w:tcW w:w="0" w:type="auto"/>
            <w:tcBorders>
              <w:top w:val="nil"/>
              <w:left w:val="nil"/>
              <w:bottom w:val="single" w:sz="4" w:space="0" w:color="auto"/>
              <w:right w:val="single" w:sz="4" w:space="0" w:color="auto"/>
            </w:tcBorders>
            <w:shd w:val="clear" w:color="auto" w:fill="auto"/>
            <w:vAlign w:val="center"/>
            <w:hideMark/>
          </w:tcPr>
          <w:p w14:paraId="2AB9C288"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33689208"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DB7005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94F5BB"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6DA3BE8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DD138B5" w14:textId="77777777" w:rsidR="00572995" w:rsidRPr="00483EBE" w:rsidRDefault="00572995" w:rsidP="00E8324D">
            <w:pPr>
              <w:pStyle w:val="Tablas"/>
              <w:rPr>
                <w:sz w:val="12"/>
                <w:szCs w:val="12"/>
              </w:rPr>
            </w:pPr>
            <w:r w:rsidRPr="00483EBE">
              <w:rPr>
                <w:sz w:val="12"/>
                <w:szCs w:val="12"/>
              </w:rPr>
              <w:t>$1,363</w:t>
            </w:r>
          </w:p>
        </w:tc>
        <w:tc>
          <w:tcPr>
            <w:tcW w:w="0" w:type="auto"/>
            <w:tcBorders>
              <w:top w:val="nil"/>
              <w:left w:val="nil"/>
              <w:bottom w:val="single" w:sz="4" w:space="0" w:color="auto"/>
              <w:right w:val="single" w:sz="4" w:space="0" w:color="auto"/>
            </w:tcBorders>
            <w:shd w:val="clear" w:color="auto" w:fill="auto"/>
            <w:vAlign w:val="center"/>
            <w:hideMark/>
          </w:tcPr>
          <w:p w14:paraId="1E7939EB" w14:textId="77777777" w:rsidR="00572995" w:rsidRPr="00483EBE" w:rsidRDefault="00572995" w:rsidP="00E8324D">
            <w:pPr>
              <w:pStyle w:val="Tablas"/>
              <w:rPr>
                <w:sz w:val="12"/>
                <w:szCs w:val="12"/>
              </w:rPr>
            </w:pPr>
            <w:r w:rsidRPr="00483EBE">
              <w:rPr>
                <w:sz w:val="12"/>
                <w:szCs w:val="12"/>
              </w:rPr>
              <w:t>$1,363</w:t>
            </w:r>
          </w:p>
        </w:tc>
        <w:tc>
          <w:tcPr>
            <w:tcW w:w="0" w:type="auto"/>
            <w:tcBorders>
              <w:top w:val="nil"/>
              <w:left w:val="nil"/>
              <w:bottom w:val="single" w:sz="4" w:space="0" w:color="auto"/>
              <w:right w:val="single" w:sz="4" w:space="0" w:color="auto"/>
            </w:tcBorders>
            <w:shd w:val="clear" w:color="auto" w:fill="auto"/>
            <w:vAlign w:val="center"/>
            <w:hideMark/>
          </w:tcPr>
          <w:p w14:paraId="2BAFAEC2"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0DD01FC5"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045F9380" w14:textId="77777777" w:rsidR="00572995" w:rsidRPr="00483EBE" w:rsidRDefault="00572995" w:rsidP="00E8324D">
            <w:pPr>
              <w:pStyle w:val="Tablas"/>
              <w:rPr>
                <w:sz w:val="12"/>
                <w:szCs w:val="12"/>
              </w:rPr>
            </w:pPr>
            <w:r w:rsidRPr="00483EBE">
              <w:rPr>
                <w:sz w:val="12"/>
                <w:szCs w:val="12"/>
              </w:rPr>
              <w:t>SEBD</w:t>
            </w:r>
          </w:p>
        </w:tc>
      </w:tr>
      <w:tr w:rsidR="00572995" w:rsidRPr="00483EBE" w14:paraId="728D943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AAD8849"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4E524F48"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46B8532D" w14:textId="77777777" w:rsidR="00572995" w:rsidRPr="00483EBE" w:rsidRDefault="00572995" w:rsidP="00E8324D">
            <w:pPr>
              <w:pStyle w:val="Tablas"/>
              <w:rPr>
                <w:sz w:val="12"/>
                <w:szCs w:val="12"/>
              </w:rPr>
            </w:pPr>
            <w:r w:rsidRPr="00483EBE">
              <w:rPr>
                <w:sz w:val="12"/>
                <w:szCs w:val="12"/>
              </w:rPr>
              <w:t>$46,220</w:t>
            </w:r>
          </w:p>
        </w:tc>
        <w:tc>
          <w:tcPr>
            <w:tcW w:w="0" w:type="auto"/>
            <w:tcBorders>
              <w:top w:val="nil"/>
              <w:left w:val="nil"/>
              <w:bottom w:val="single" w:sz="4" w:space="0" w:color="auto"/>
              <w:right w:val="single" w:sz="4" w:space="0" w:color="auto"/>
            </w:tcBorders>
            <w:shd w:val="clear" w:color="auto" w:fill="auto"/>
            <w:vAlign w:val="center"/>
            <w:hideMark/>
          </w:tcPr>
          <w:p w14:paraId="285BACE8" w14:textId="77777777" w:rsidR="00572995" w:rsidRPr="00483EBE" w:rsidRDefault="00572995" w:rsidP="00E8324D">
            <w:pPr>
              <w:pStyle w:val="Tablas"/>
              <w:rPr>
                <w:sz w:val="12"/>
                <w:szCs w:val="12"/>
              </w:rPr>
            </w:pPr>
            <w:r w:rsidRPr="00483EBE">
              <w:rPr>
                <w:sz w:val="12"/>
                <w:szCs w:val="12"/>
              </w:rPr>
              <w:t>$1,444</w:t>
            </w:r>
          </w:p>
        </w:tc>
        <w:tc>
          <w:tcPr>
            <w:tcW w:w="0" w:type="auto"/>
            <w:tcBorders>
              <w:top w:val="nil"/>
              <w:left w:val="nil"/>
              <w:bottom w:val="single" w:sz="4" w:space="0" w:color="auto"/>
              <w:right w:val="single" w:sz="4" w:space="0" w:color="auto"/>
            </w:tcBorders>
            <w:shd w:val="clear" w:color="auto" w:fill="auto"/>
            <w:vAlign w:val="center"/>
            <w:hideMark/>
          </w:tcPr>
          <w:p w14:paraId="600505AA"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3BB72C3D"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D29060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DA6EDA"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3BDB6F59"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C4B6E1D" w14:textId="77777777" w:rsidR="00572995" w:rsidRPr="00483EBE" w:rsidRDefault="00572995" w:rsidP="00E8324D">
            <w:pPr>
              <w:pStyle w:val="Tablas"/>
              <w:rPr>
                <w:sz w:val="12"/>
                <w:szCs w:val="12"/>
              </w:rPr>
            </w:pPr>
            <w:r w:rsidRPr="00483EBE">
              <w:rPr>
                <w:sz w:val="12"/>
                <w:szCs w:val="12"/>
              </w:rPr>
              <w:t>$1,764</w:t>
            </w:r>
          </w:p>
        </w:tc>
        <w:tc>
          <w:tcPr>
            <w:tcW w:w="0" w:type="auto"/>
            <w:tcBorders>
              <w:top w:val="nil"/>
              <w:left w:val="nil"/>
              <w:bottom w:val="single" w:sz="4" w:space="0" w:color="auto"/>
              <w:right w:val="single" w:sz="4" w:space="0" w:color="auto"/>
            </w:tcBorders>
            <w:shd w:val="clear" w:color="auto" w:fill="auto"/>
            <w:vAlign w:val="center"/>
            <w:hideMark/>
          </w:tcPr>
          <w:p w14:paraId="24CC4500" w14:textId="77777777" w:rsidR="00572995" w:rsidRPr="00483EBE" w:rsidRDefault="00572995" w:rsidP="00E8324D">
            <w:pPr>
              <w:pStyle w:val="Tablas"/>
              <w:rPr>
                <w:sz w:val="12"/>
                <w:szCs w:val="12"/>
              </w:rPr>
            </w:pPr>
            <w:r w:rsidRPr="00483EBE">
              <w:rPr>
                <w:sz w:val="12"/>
                <w:szCs w:val="12"/>
              </w:rPr>
              <w:t>$882</w:t>
            </w:r>
          </w:p>
        </w:tc>
        <w:tc>
          <w:tcPr>
            <w:tcW w:w="0" w:type="auto"/>
            <w:tcBorders>
              <w:top w:val="nil"/>
              <w:left w:val="nil"/>
              <w:bottom w:val="single" w:sz="4" w:space="0" w:color="auto"/>
              <w:right w:val="single" w:sz="4" w:space="0" w:color="auto"/>
            </w:tcBorders>
            <w:shd w:val="clear" w:color="auto" w:fill="auto"/>
            <w:vAlign w:val="center"/>
            <w:hideMark/>
          </w:tcPr>
          <w:p w14:paraId="4B7FCB38"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00A4025B"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2EFB1CD3" w14:textId="77777777" w:rsidR="00572995" w:rsidRPr="00483EBE" w:rsidRDefault="00572995" w:rsidP="00E8324D">
            <w:pPr>
              <w:pStyle w:val="Tablas"/>
              <w:rPr>
                <w:sz w:val="12"/>
                <w:szCs w:val="12"/>
              </w:rPr>
            </w:pPr>
            <w:r w:rsidRPr="00483EBE">
              <w:rPr>
                <w:sz w:val="12"/>
                <w:szCs w:val="12"/>
              </w:rPr>
              <w:t>SEBD</w:t>
            </w:r>
          </w:p>
        </w:tc>
      </w:tr>
      <w:tr w:rsidR="00572995" w:rsidRPr="00483EBE" w14:paraId="2D5024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C7C8F03"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118733CB"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0ADAB416" w14:textId="77777777" w:rsidR="00572995" w:rsidRPr="00483EBE" w:rsidRDefault="00572995" w:rsidP="00E8324D">
            <w:pPr>
              <w:pStyle w:val="Tablas"/>
              <w:rPr>
                <w:sz w:val="12"/>
                <w:szCs w:val="12"/>
              </w:rPr>
            </w:pPr>
            <w:r w:rsidRPr="00483EBE">
              <w:rPr>
                <w:sz w:val="12"/>
                <w:szCs w:val="12"/>
              </w:rPr>
              <w:t>$41,815</w:t>
            </w:r>
          </w:p>
        </w:tc>
        <w:tc>
          <w:tcPr>
            <w:tcW w:w="0" w:type="auto"/>
            <w:tcBorders>
              <w:top w:val="nil"/>
              <w:left w:val="nil"/>
              <w:bottom w:val="single" w:sz="4" w:space="0" w:color="auto"/>
              <w:right w:val="single" w:sz="4" w:space="0" w:color="auto"/>
            </w:tcBorders>
            <w:shd w:val="clear" w:color="auto" w:fill="auto"/>
            <w:vAlign w:val="center"/>
            <w:hideMark/>
          </w:tcPr>
          <w:p w14:paraId="033B7275" w14:textId="77777777" w:rsidR="00572995" w:rsidRPr="00483EBE" w:rsidRDefault="00572995" w:rsidP="00E8324D">
            <w:pPr>
              <w:pStyle w:val="Tablas"/>
              <w:rPr>
                <w:sz w:val="12"/>
                <w:szCs w:val="12"/>
              </w:rPr>
            </w:pPr>
            <w:r w:rsidRPr="00483EBE">
              <w:rPr>
                <w:sz w:val="12"/>
                <w:szCs w:val="12"/>
              </w:rPr>
              <w:t>$1,307</w:t>
            </w:r>
          </w:p>
        </w:tc>
        <w:tc>
          <w:tcPr>
            <w:tcW w:w="0" w:type="auto"/>
            <w:tcBorders>
              <w:top w:val="nil"/>
              <w:left w:val="nil"/>
              <w:bottom w:val="single" w:sz="4" w:space="0" w:color="auto"/>
              <w:right w:val="single" w:sz="4" w:space="0" w:color="auto"/>
            </w:tcBorders>
            <w:shd w:val="clear" w:color="auto" w:fill="auto"/>
            <w:vAlign w:val="center"/>
            <w:hideMark/>
          </w:tcPr>
          <w:p w14:paraId="1AA2AA67" w14:textId="77777777" w:rsidR="00572995" w:rsidRPr="00483EBE" w:rsidRDefault="00572995" w:rsidP="00E8324D">
            <w:pPr>
              <w:pStyle w:val="Tablas"/>
              <w:rPr>
                <w:sz w:val="12"/>
                <w:szCs w:val="12"/>
              </w:rPr>
            </w:pPr>
            <w:r w:rsidRPr="00483EBE">
              <w:rPr>
                <w:sz w:val="12"/>
                <w:szCs w:val="12"/>
              </w:rPr>
              <w:t>$109</w:t>
            </w:r>
          </w:p>
        </w:tc>
        <w:tc>
          <w:tcPr>
            <w:tcW w:w="0" w:type="auto"/>
            <w:tcBorders>
              <w:top w:val="nil"/>
              <w:left w:val="nil"/>
              <w:bottom w:val="single" w:sz="4" w:space="0" w:color="auto"/>
              <w:right w:val="single" w:sz="4" w:space="0" w:color="auto"/>
            </w:tcBorders>
            <w:shd w:val="clear" w:color="auto" w:fill="auto"/>
            <w:vAlign w:val="center"/>
            <w:hideMark/>
          </w:tcPr>
          <w:p w14:paraId="6D6FF83A"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7B92AC7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F085D6"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5A4B4CC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5CCD5DF" w14:textId="77777777" w:rsidR="00572995" w:rsidRPr="00483EBE" w:rsidRDefault="00572995" w:rsidP="00E8324D">
            <w:pPr>
              <w:pStyle w:val="Tablas"/>
              <w:rPr>
                <w:sz w:val="12"/>
                <w:szCs w:val="12"/>
              </w:rPr>
            </w:pPr>
            <w:r w:rsidRPr="00483EBE">
              <w:rPr>
                <w:sz w:val="12"/>
                <w:szCs w:val="12"/>
              </w:rPr>
              <w:t>$870</w:t>
            </w:r>
          </w:p>
        </w:tc>
        <w:tc>
          <w:tcPr>
            <w:tcW w:w="0" w:type="auto"/>
            <w:tcBorders>
              <w:top w:val="nil"/>
              <w:left w:val="nil"/>
              <w:bottom w:val="single" w:sz="4" w:space="0" w:color="auto"/>
              <w:right w:val="single" w:sz="4" w:space="0" w:color="auto"/>
            </w:tcBorders>
            <w:shd w:val="clear" w:color="auto" w:fill="auto"/>
            <w:vAlign w:val="center"/>
            <w:hideMark/>
          </w:tcPr>
          <w:p w14:paraId="6E35773E" w14:textId="77777777" w:rsidR="00572995" w:rsidRPr="00483EBE" w:rsidRDefault="00572995" w:rsidP="00E8324D">
            <w:pPr>
              <w:pStyle w:val="Tablas"/>
              <w:rPr>
                <w:sz w:val="12"/>
                <w:szCs w:val="12"/>
              </w:rPr>
            </w:pPr>
            <w:r w:rsidRPr="00483EBE">
              <w:rPr>
                <w:sz w:val="12"/>
                <w:szCs w:val="12"/>
              </w:rPr>
              <w:t>$870</w:t>
            </w:r>
          </w:p>
        </w:tc>
        <w:tc>
          <w:tcPr>
            <w:tcW w:w="0" w:type="auto"/>
            <w:tcBorders>
              <w:top w:val="nil"/>
              <w:left w:val="nil"/>
              <w:bottom w:val="single" w:sz="4" w:space="0" w:color="auto"/>
              <w:right w:val="single" w:sz="4" w:space="0" w:color="auto"/>
            </w:tcBorders>
            <w:shd w:val="clear" w:color="auto" w:fill="auto"/>
            <w:vAlign w:val="center"/>
            <w:hideMark/>
          </w:tcPr>
          <w:p w14:paraId="142C7E50"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09F66F0D"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4E0EEABD" w14:textId="77777777" w:rsidR="00572995" w:rsidRPr="00483EBE" w:rsidRDefault="00572995" w:rsidP="00E8324D">
            <w:pPr>
              <w:pStyle w:val="Tablas"/>
              <w:rPr>
                <w:sz w:val="12"/>
                <w:szCs w:val="12"/>
              </w:rPr>
            </w:pPr>
            <w:r w:rsidRPr="00483EBE">
              <w:rPr>
                <w:sz w:val="12"/>
                <w:szCs w:val="12"/>
              </w:rPr>
              <w:t>SEBD</w:t>
            </w:r>
          </w:p>
        </w:tc>
      </w:tr>
      <w:tr w:rsidR="00572995" w:rsidRPr="00483EBE" w14:paraId="2491694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6880804"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5BA87A76"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696EE831" w14:textId="77777777" w:rsidR="00572995" w:rsidRPr="00483EBE" w:rsidRDefault="00572995" w:rsidP="00E8324D">
            <w:pPr>
              <w:pStyle w:val="Tablas"/>
              <w:rPr>
                <w:sz w:val="12"/>
                <w:szCs w:val="12"/>
              </w:rPr>
            </w:pPr>
            <w:r w:rsidRPr="00483EBE">
              <w:rPr>
                <w:sz w:val="12"/>
                <w:szCs w:val="12"/>
              </w:rPr>
              <w:t>$53,193</w:t>
            </w:r>
          </w:p>
        </w:tc>
        <w:tc>
          <w:tcPr>
            <w:tcW w:w="0" w:type="auto"/>
            <w:tcBorders>
              <w:top w:val="nil"/>
              <w:left w:val="nil"/>
              <w:bottom w:val="single" w:sz="4" w:space="0" w:color="auto"/>
              <w:right w:val="single" w:sz="4" w:space="0" w:color="auto"/>
            </w:tcBorders>
            <w:shd w:val="clear" w:color="auto" w:fill="auto"/>
            <w:vAlign w:val="center"/>
            <w:hideMark/>
          </w:tcPr>
          <w:p w14:paraId="5ECE8C25" w14:textId="77777777" w:rsidR="00572995" w:rsidRPr="00483EBE" w:rsidRDefault="00572995" w:rsidP="00E8324D">
            <w:pPr>
              <w:pStyle w:val="Tablas"/>
              <w:rPr>
                <w:sz w:val="12"/>
                <w:szCs w:val="12"/>
              </w:rPr>
            </w:pPr>
            <w:r w:rsidRPr="00483EBE">
              <w:rPr>
                <w:sz w:val="12"/>
                <w:szCs w:val="12"/>
              </w:rPr>
              <w:t>$1,716</w:t>
            </w:r>
          </w:p>
        </w:tc>
        <w:tc>
          <w:tcPr>
            <w:tcW w:w="0" w:type="auto"/>
            <w:tcBorders>
              <w:top w:val="nil"/>
              <w:left w:val="nil"/>
              <w:bottom w:val="single" w:sz="4" w:space="0" w:color="auto"/>
              <w:right w:val="single" w:sz="4" w:space="0" w:color="auto"/>
            </w:tcBorders>
            <w:shd w:val="clear" w:color="auto" w:fill="auto"/>
            <w:vAlign w:val="center"/>
            <w:hideMark/>
          </w:tcPr>
          <w:p w14:paraId="34E35A4F" w14:textId="77777777" w:rsidR="00572995" w:rsidRPr="00483EBE" w:rsidRDefault="00572995" w:rsidP="00E8324D">
            <w:pPr>
              <w:pStyle w:val="Tablas"/>
              <w:rPr>
                <w:sz w:val="12"/>
                <w:szCs w:val="12"/>
              </w:rPr>
            </w:pPr>
            <w:r w:rsidRPr="00483EBE">
              <w:rPr>
                <w:sz w:val="12"/>
                <w:szCs w:val="12"/>
              </w:rPr>
              <w:t>$143</w:t>
            </w:r>
          </w:p>
        </w:tc>
        <w:tc>
          <w:tcPr>
            <w:tcW w:w="0" w:type="auto"/>
            <w:tcBorders>
              <w:top w:val="nil"/>
              <w:left w:val="nil"/>
              <w:bottom w:val="single" w:sz="4" w:space="0" w:color="auto"/>
              <w:right w:val="single" w:sz="4" w:space="0" w:color="auto"/>
            </w:tcBorders>
            <w:shd w:val="clear" w:color="auto" w:fill="auto"/>
            <w:vAlign w:val="center"/>
            <w:hideMark/>
          </w:tcPr>
          <w:p w14:paraId="110C4DA3"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00B1DE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8665BA"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FF98FB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40B8F69" w14:textId="77777777" w:rsidR="00572995" w:rsidRPr="00483EBE" w:rsidRDefault="00572995" w:rsidP="00E8324D">
            <w:pPr>
              <w:pStyle w:val="Tablas"/>
              <w:rPr>
                <w:sz w:val="12"/>
                <w:szCs w:val="12"/>
              </w:rPr>
            </w:pPr>
            <w:r w:rsidRPr="00483EBE">
              <w:rPr>
                <w:sz w:val="12"/>
                <w:szCs w:val="12"/>
              </w:rPr>
              <w:t>$1,607</w:t>
            </w:r>
          </w:p>
        </w:tc>
        <w:tc>
          <w:tcPr>
            <w:tcW w:w="0" w:type="auto"/>
            <w:tcBorders>
              <w:top w:val="nil"/>
              <w:left w:val="nil"/>
              <w:bottom w:val="single" w:sz="4" w:space="0" w:color="auto"/>
              <w:right w:val="single" w:sz="4" w:space="0" w:color="auto"/>
            </w:tcBorders>
            <w:shd w:val="clear" w:color="auto" w:fill="auto"/>
            <w:vAlign w:val="center"/>
            <w:hideMark/>
          </w:tcPr>
          <w:p w14:paraId="5A899BDD" w14:textId="77777777" w:rsidR="00572995" w:rsidRPr="00483EBE" w:rsidRDefault="00572995" w:rsidP="00E8324D">
            <w:pPr>
              <w:pStyle w:val="Tablas"/>
              <w:rPr>
                <w:sz w:val="12"/>
                <w:szCs w:val="12"/>
              </w:rPr>
            </w:pPr>
            <w:r w:rsidRPr="00483EBE">
              <w:rPr>
                <w:sz w:val="12"/>
                <w:szCs w:val="12"/>
              </w:rPr>
              <w:t>$1,607</w:t>
            </w:r>
          </w:p>
        </w:tc>
        <w:tc>
          <w:tcPr>
            <w:tcW w:w="0" w:type="auto"/>
            <w:tcBorders>
              <w:top w:val="nil"/>
              <w:left w:val="nil"/>
              <w:bottom w:val="single" w:sz="4" w:space="0" w:color="auto"/>
              <w:right w:val="single" w:sz="4" w:space="0" w:color="auto"/>
            </w:tcBorders>
            <w:shd w:val="clear" w:color="auto" w:fill="auto"/>
            <w:vAlign w:val="center"/>
            <w:hideMark/>
          </w:tcPr>
          <w:p w14:paraId="6C2D5CA0" w14:textId="77777777" w:rsidR="00572995" w:rsidRPr="00483EBE" w:rsidRDefault="00572995" w:rsidP="00E8324D">
            <w:pPr>
              <w:pStyle w:val="Tablas"/>
              <w:rPr>
                <w:sz w:val="12"/>
                <w:szCs w:val="12"/>
              </w:rPr>
            </w:pPr>
            <w:r w:rsidRPr="00483EBE">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2347632F"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04B4BBB3" w14:textId="77777777" w:rsidR="00572995" w:rsidRPr="00483EBE" w:rsidRDefault="00572995" w:rsidP="00E8324D">
            <w:pPr>
              <w:pStyle w:val="Tablas"/>
              <w:rPr>
                <w:sz w:val="12"/>
                <w:szCs w:val="12"/>
              </w:rPr>
            </w:pPr>
            <w:r w:rsidRPr="00483EBE">
              <w:rPr>
                <w:sz w:val="12"/>
                <w:szCs w:val="12"/>
              </w:rPr>
              <w:t>SEBD</w:t>
            </w:r>
          </w:p>
        </w:tc>
      </w:tr>
      <w:tr w:rsidR="00572995" w:rsidRPr="00483EBE" w14:paraId="638CFA0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9811C9D"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69339FFB"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7C8D3E37" w14:textId="77777777" w:rsidR="00572995" w:rsidRPr="00483EBE" w:rsidRDefault="00572995" w:rsidP="00E8324D">
            <w:pPr>
              <w:pStyle w:val="Tablas"/>
              <w:rPr>
                <w:sz w:val="12"/>
                <w:szCs w:val="12"/>
              </w:rPr>
            </w:pPr>
            <w:r w:rsidRPr="00483EBE">
              <w:rPr>
                <w:sz w:val="12"/>
                <w:szCs w:val="12"/>
              </w:rPr>
              <w:t>$37,936</w:t>
            </w:r>
          </w:p>
        </w:tc>
        <w:tc>
          <w:tcPr>
            <w:tcW w:w="0" w:type="auto"/>
            <w:tcBorders>
              <w:top w:val="nil"/>
              <w:left w:val="nil"/>
              <w:bottom w:val="single" w:sz="4" w:space="0" w:color="auto"/>
              <w:right w:val="single" w:sz="4" w:space="0" w:color="auto"/>
            </w:tcBorders>
            <w:shd w:val="clear" w:color="auto" w:fill="auto"/>
            <w:vAlign w:val="center"/>
            <w:hideMark/>
          </w:tcPr>
          <w:p w14:paraId="5198C29C" w14:textId="77777777" w:rsidR="00572995" w:rsidRPr="00483EBE" w:rsidRDefault="00572995" w:rsidP="00E8324D">
            <w:pPr>
              <w:pStyle w:val="Tablas"/>
              <w:rPr>
                <w:sz w:val="12"/>
                <w:szCs w:val="12"/>
              </w:rPr>
            </w:pPr>
            <w:r w:rsidRPr="00483EBE">
              <w:rPr>
                <w:sz w:val="12"/>
                <w:szCs w:val="12"/>
              </w:rPr>
              <w:t>$1,150</w:t>
            </w:r>
          </w:p>
        </w:tc>
        <w:tc>
          <w:tcPr>
            <w:tcW w:w="0" w:type="auto"/>
            <w:tcBorders>
              <w:top w:val="nil"/>
              <w:left w:val="nil"/>
              <w:bottom w:val="single" w:sz="4" w:space="0" w:color="auto"/>
              <w:right w:val="single" w:sz="4" w:space="0" w:color="auto"/>
            </w:tcBorders>
            <w:shd w:val="clear" w:color="auto" w:fill="auto"/>
            <w:vAlign w:val="center"/>
            <w:hideMark/>
          </w:tcPr>
          <w:p w14:paraId="6C6EB39C"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DED58D0"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575083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C8178B"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583BFDDF"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0872DB4" w14:textId="77777777" w:rsidR="00572995" w:rsidRPr="00483EBE" w:rsidRDefault="00572995" w:rsidP="00E8324D">
            <w:pPr>
              <w:pStyle w:val="Tablas"/>
              <w:rPr>
                <w:sz w:val="12"/>
                <w:szCs w:val="12"/>
              </w:rPr>
            </w:pPr>
            <w:r w:rsidRPr="00483EBE">
              <w:rPr>
                <w:sz w:val="12"/>
                <w:szCs w:val="12"/>
              </w:rPr>
              <w:t>$1,920</w:t>
            </w:r>
          </w:p>
        </w:tc>
        <w:tc>
          <w:tcPr>
            <w:tcW w:w="0" w:type="auto"/>
            <w:tcBorders>
              <w:top w:val="nil"/>
              <w:left w:val="nil"/>
              <w:bottom w:val="single" w:sz="4" w:space="0" w:color="auto"/>
              <w:right w:val="single" w:sz="4" w:space="0" w:color="auto"/>
            </w:tcBorders>
            <w:shd w:val="clear" w:color="auto" w:fill="auto"/>
            <w:vAlign w:val="center"/>
            <w:hideMark/>
          </w:tcPr>
          <w:p w14:paraId="2CF11621" w14:textId="77777777" w:rsidR="00572995" w:rsidRPr="00483EBE" w:rsidRDefault="00572995" w:rsidP="00E8324D">
            <w:pPr>
              <w:pStyle w:val="Tablas"/>
              <w:rPr>
                <w:sz w:val="12"/>
                <w:szCs w:val="12"/>
              </w:rPr>
            </w:pPr>
            <w:r w:rsidRPr="00483EBE">
              <w:rPr>
                <w:sz w:val="12"/>
                <w:szCs w:val="12"/>
              </w:rPr>
              <w:t>$960</w:t>
            </w:r>
          </w:p>
        </w:tc>
        <w:tc>
          <w:tcPr>
            <w:tcW w:w="0" w:type="auto"/>
            <w:tcBorders>
              <w:top w:val="nil"/>
              <w:left w:val="nil"/>
              <w:bottom w:val="single" w:sz="4" w:space="0" w:color="auto"/>
              <w:right w:val="single" w:sz="4" w:space="0" w:color="auto"/>
            </w:tcBorders>
            <w:shd w:val="clear" w:color="auto" w:fill="auto"/>
            <w:vAlign w:val="center"/>
            <w:hideMark/>
          </w:tcPr>
          <w:p w14:paraId="37EAAB42"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40B8D074"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0D21C4F1" w14:textId="77777777" w:rsidR="00572995" w:rsidRPr="00483EBE" w:rsidRDefault="00572995" w:rsidP="00E8324D">
            <w:pPr>
              <w:pStyle w:val="Tablas"/>
              <w:rPr>
                <w:sz w:val="12"/>
                <w:szCs w:val="12"/>
              </w:rPr>
            </w:pPr>
            <w:r w:rsidRPr="00483EBE">
              <w:rPr>
                <w:sz w:val="12"/>
                <w:szCs w:val="12"/>
              </w:rPr>
              <w:t>SEBD</w:t>
            </w:r>
          </w:p>
        </w:tc>
      </w:tr>
      <w:tr w:rsidR="00572995" w:rsidRPr="00483EBE" w14:paraId="19C3E9E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260223A"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2D0DDC72" w14:textId="77777777" w:rsidR="00572995" w:rsidRPr="00483EBE" w:rsidRDefault="00572995" w:rsidP="00E8324D">
            <w:pPr>
              <w:pStyle w:val="Tablas"/>
              <w:rPr>
                <w:sz w:val="12"/>
                <w:szCs w:val="12"/>
              </w:rPr>
            </w:pPr>
            <w:r w:rsidRPr="00483EBE">
              <w:rPr>
                <w:sz w:val="12"/>
                <w:szCs w:val="12"/>
              </w:rPr>
              <w:t xml:space="preserve">39 </w:t>
            </w:r>
          </w:p>
        </w:tc>
        <w:tc>
          <w:tcPr>
            <w:tcW w:w="0" w:type="auto"/>
            <w:tcBorders>
              <w:top w:val="nil"/>
              <w:left w:val="nil"/>
              <w:bottom w:val="single" w:sz="4" w:space="0" w:color="auto"/>
              <w:right w:val="single" w:sz="4" w:space="0" w:color="auto"/>
            </w:tcBorders>
            <w:shd w:val="clear" w:color="auto" w:fill="auto"/>
            <w:vAlign w:val="center"/>
            <w:hideMark/>
          </w:tcPr>
          <w:p w14:paraId="07CEBEEF" w14:textId="77777777" w:rsidR="00572995" w:rsidRPr="00483EBE" w:rsidRDefault="00572995" w:rsidP="00E8324D">
            <w:pPr>
              <w:pStyle w:val="Tablas"/>
              <w:rPr>
                <w:sz w:val="12"/>
                <w:szCs w:val="12"/>
              </w:rPr>
            </w:pPr>
            <w:r w:rsidRPr="00483EBE">
              <w:rPr>
                <w:sz w:val="12"/>
                <w:szCs w:val="12"/>
              </w:rPr>
              <w:t>$62,745</w:t>
            </w:r>
          </w:p>
        </w:tc>
        <w:tc>
          <w:tcPr>
            <w:tcW w:w="0" w:type="auto"/>
            <w:tcBorders>
              <w:top w:val="nil"/>
              <w:left w:val="nil"/>
              <w:bottom w:val="single" w:sz="4" w:space="0" w:color="auto"/>
              <w:right w:val="single" w:sz="4" w:space="0" w:color="auto"/>
            </w:tcBorders>
            <w:shd w:val="clear" w:color="auto" w:fill="auto"/>
            <w:vAlign w:val="center"/>
            <w:hideMark/>
          </w:tcPr>
          <w:p w14:paraId="217F8F2C" w14:textId="77777777" w:rsidR="00572995" w:rsidRPr="00483EBE" w:rsidRDefault="00572995" w:rsidP="00E8324D">
            <w:pPr>
              <w:pStyle w:val="Tablas"/>
              <w:rPr>
                <w:sz w:val="12"/>
                <w:szCs w:val="12"/>
              </w:rPr>
            </w:pPr>
            <w:r w:rsidRPr="00483EBE">
              <w:rPr>
                <w:sz w:val="12"/>
                <w:szCs w:val="12"/>
              </w:rPr>
              <w:t>$1,609</w:t>
            </w:r>
          </w:p>
        </w:tc>
        <w:tc>
          <w:tcPr>
            <w:tcW w:w="0" w:type="auto"/>
            <w:tcBorders>
              <w:top w:val="nil"/>
              <w:left w:val="nil"/>
              <w:bottom w:val="single" w:sz="4" w:space="0" w:color="auto"/>
              <w:right w:val="single" w:sz="4" w:space="0" w:color="auto"/>
            </w:tcBorders>
            <w:shd w:val="clear" w:color="auto" w:fill="auto"/>
            <w:vAlign w:val="center"/>
            <w:hideMark/>
          </w:tcPr>
          <w:p w14:paraId="35A4553D" w14:textId="77777777" w:rsidR="00572995" w:rsidRPr="00483EBE" w:rsidRDefault="00572995" w:rsidP="00E8324D">
            <w:pPr>
              <w:pStyle w:val="Tablas"/>
              <w:rPr>
                <w:sz w:val="12"/>
                <w:szCs w:val="12"/>
              </w:rPr>
            </w:pPr>
            <w:r w:rsidRPr="00483EBE">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7C66DF38"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18E744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0FE19F"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794F671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6324DB1" w14:textId="77777777" w:rsidR="00572995" w:rsidRPr="00483EBE" w:rsidRDefault="00572995" w:rsidP="00E8324D">
            <w:pPr>
              <w:pStyle w:val="Tablas"/>
              <w:rPr>
                <w:sz w:val="12"/>
                <w:szCs w:val="12"/>
              </w:rPr>
            </w:pPr>
            <w:r w:rsidRPr="00483EBE">
              <w:rPr>
                <w:sz w:val="12"/>
                <w:szCs w:val="12"/>
              </w:rPr>
              <w:t>$990</w:t>
            </w:r>
          </w:p>
        </w:tc>
        <w:tc>
          <w:tcPr>
            <w:tcW w:w="0" w:type="auto"/>
            <w:tcBorders>
              <w:top w:val="nil"/>
              <w:left w:val="nil"/>
              <w:bottom w:val="single" w:sz="4" w:space="0" w:color="auto"/>
              <w:right w:val="single" w:sz="4" w:space="0" w:color="auto"/>
            </w:tcBorders>
            <w:shd w:val="clear" w:color="auto" w:fill="auto"/>
            <w:vAlign w:val="center"/>
            <w:hideMark/>
          </w:tcPr>
          <w:p w14:paraId="02DB8101" w14:textId="77777777" w:rsidR="00572995" w:rsidRPr="00483EBE" w:rsidRDefault="00572995" w:rsidP="00E8324D">
            <w:pPr>
              <w:pStyle w:val="Tablas"/>
              <w:rPr>
                <w:sz w:val="12"/>
                <w:szCs w:val="12"/>
              </w:rPr>
            </w:pPr>
            <w:r w:rsidRPr="00483EBE">
              <w:rPr>
                <w:sz w:val="12"/>
                <w:szCs w:val="12"/>
              </w:rPr>
              <w:t>$990</w:t>
            </w:r>
          </w:p>
        </w:tc>
        <w:tc>
          <w:tcPr>
            <w:tcW w:w="0" w:type="auto"/>
            <w:tcBorders>
              <w:top w:val="nil"/>
              <w:left w:val="nil"/>
              <w:bottom w:val="single" w:sz="4" w:space="0" w:color="auto"/>
              <w:right w:val="single" w:sz="4" w:space="0" w:color="auto"/>
            </w:tcBorders>
            <w:shd w:val="clear" w:color="auto" w:fill="auto"/>
            <w:vAlign w:val="center"/>
            <w:hideMark/>
          </w:tcPr>
          <w:p w14:paraId="39F0C706"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5100BD8"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33A34612" w14:textId="77777777" w:rsidR="00572995" w:rsidRPr="00483EBE" w:rsidRDefault="00572995" w:rsidP="00E8324D">
            <w:pPr>
              <w:pStyle w:val="Tablas"/>
              <w:rPr>
                <w:sz w:val="12"/>
                <w:szCs w:val="12"/>
              </w:rPr>
            </w:pPr>
            <w:r w:rsidRPr="00483EBE">
              <w:rPr>
                <w:sz w:val="12"/>
                <w:szCs w:val="12"/>
              </w:rPr>
              <w:t>SEBD</w:t>
            </w:r>
          </w:p>
        </w:tc>
      </w:tr>
      <w:tr w:rsidR="00572995" w:rsidRPr="00483EBE" w14:paraId="558B1C1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BF0C95E"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2F69C017"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06FAFAE4" w14:textId="77777777" w:rsidR="00572995" w:rsidRPr="00483EBE" w:rsidRDefault="00572995" w:rsidP="00E8324D">
            <w:pPr>
              <w:pStyle w:val="Tablas"/>
              <w:rPr>
                <w:sz w:val="12"/>
                <w:szCs w:val="12"/>
              </w:rPr>
            </w:pPr>
            <w:r w:rsidRPr="00483EBE">
              <w:rPr>
                <w:sz w:val="12"/>
                <w:szCs w:val="12"/>
              </w:rPr>
              <w:t>$37,992</w:t>
            </w:r>
          </w:p>
        </w:tc>
        <w:tc>
          <w:tcPr>
            <w:tcW w:w="0" w:type="auto"/>
            <w:tcBorders>
              <w:top w:val="nil"/>
              <w:left w:val="nil"/>
              <w:bottom w:val="single" w:sz="4" w:space="0" w:color="auto"/>
              <w:right w:val="single" w:sz="4" w:space="0" w:color="auto"/>
            </w:tcBorders>
            <w:shd w:val="clear" w:color="auto" w:fill="auto"/>
            <w:vAlign w:val="center"/>
            <w:hideMark/>
          </w:tcPr>
          <w:p w14:paraId="6577A9B5" w14:textId="77777777" w:rsidR="00572995" w:rsidRPr="00483EBE" w:rsidRDefault="00572995" w:rsidP="00E8324D">
            <w:pPr>
              <w:pStyle w:val="Tablas"/>
              <w:rPr>
                <w:sz w:val="12"/>
                <w:szCs w:val="12"/>
              </w:rPr>
            </w:pPr>
            <w:r w:rsidRPr="00483EBE">
              <w:rPr>
                <w:sz w:val="12"/>
                <w:szCs w:val="12"/>
              </w:rPr>
              <w:t>$1,117</w:t>
            </w:r>
          </w:p>
        </w:tc>
        <w:tc>
          <w:tcPr>
            <w:tcW w:w="0" w:type="auto"/>
            <w:tcBorders>
              <w:top w:val="nil"/>
              <w:left w:val="nil"/>
              <w:bottom w:val="single" w:sz="4" w:space="0" w:color="auto"/>
              <w:right w:val="single" w:sz="4" w:space="0" w:color="auto"/>
            </w:tcBorders>
            <w:shd w:val="clear" w:color="auto" w:fill="auto"/>
            <w:vAlign w:val="center"/>
            <w:hideMark/>
          </w:tcPr>
          <w:p w14:paraId="3AB67D64"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05F529BE"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94F0B4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87097E8"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280757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5269245" w14:textId="77777777" w:rsidR="00572995" w:rsidRPr="00483EBE" w:rsidRDefault="00572995" w:rsidP="00E8324D">
            <w:pPr>
              <w:pStyle w:val="Tablas"/>
              <w:rPr>
                <w:sz w:val="12"/>
                <w:szCs w:val="12"/>
              </w:rPr>
            </w:pPr>
            <w:r w:rsidRPr="00483EBE">
              <w:rPr>
                <w:sz w:val="12"/>
                <w:szCs w:val="12"/>
              </w:rPr>
              <w:t>$1,021</w:t>
            </w:r>
          </w:p>
        </w:tc>
        <w:tc>
          <w:tcPr>
            <w:tcW w:w="0" w:type="auto"/>
            <w:tcBorders>
              <w:top w:val="nil"/>
              <w:left w:val="nil"/>
              <w:bottom w:val="single" w:sz="4" w:space="0" w:color="auto"/>
              <w:right w:val="single" w:sz="4" w:space="0" w:color="auto"/>
            </w:tcBorders>
            <w:shd w:val="clear" w:color="auto" w:fill="auto"/>
            <w:vAlign w:val="center"/>
            <w:hideMark/>
          </w:tcPr>
          <w:p w14:paraId="73C644A5" w14:textId="77777777" w:rsidR="00572995" w:rsidRPr="00483EBE" w:rsidRDefault="00572995" w:rsidP="00E8324D">
            <w:pPr>
              <w:pStyle w:val="Tablas"/>
              <w:rPr>
                <w:sz w:val="12"/>
                <w:szCs w:val="12"/>
              </w:rPr>
            </w:pPr>
            <w:r w:rsidRPr="00483EBE">
              <w:rPr>
                <w:sz w:val="12"/>
                <w:szCs w:val="12"/>
              </w:rPr>
              <w:t>$1,021</w:t>
            </w:r>
          </w:p>
        </w:tc>
        <w:tc>
          <w:tcPr>
            <w:tcW w:w="0" w:type="auto"/>
            <w:tcBorders>
              <w:top w:val="nil"/>
              <w:left w:val="nil"/>
              <w:bottom w:val="single" w:sz="4" w:space="0" w:color="auto"/>
              <w:right w:val="single" w:sz="4" w:space="0" w:color="auto"/>
            </w:tcBorders>
            <w:shd w:val="clear" w:color="auto" w:fill="auto"/>
            <w:vAlign w:val="center"/>
            <w:hideMark/>
          </w:tcPr>
          <w:p w14:paraId="18445725"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10CFDAD2"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110A5C7F" w14:textId="77777777" w:rsidR="00572995" w:rsidRPr="00483EBE" w:rsidRDefault="00572995" w:rsidP="00E8324D">
            <w:pPr>
              <w:pStyle w:val="Tablas"/>
              <w:rPr>
                <w:sz w:val="12"/>
                <w:szCs w:val="12"/>
              </w:rPr>
            </w:pPr>
            <w:r w:rsidRPr="00483EBE">
              <w:rPr>
                <w:sz w:val="12"/>
                <w:szCs w:val="12"/>
              </w:rPr>
              <w:t>SEBD</w:t>
            </w:r>
          </w:p>
        </w:tc>
      </w:tr>
      <w:tr w:rsidR="00572995" w:rsidRPr="00483EBE" w14:paraId="4D203C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C0D79F"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051CDCFC"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3F566A71" w14:textId="77777777" w:rsidR="00572995" w:rsidRPr="00483EBE" w:rsidRDefault="00572995" w:rsidP="00E8324D">
            <w:pPr>
              <w:pStyle w:val="Tablas"/>
              <w:rPr>
                <w:sz w:val="12"/>
                <w:szCs w:val="12"/>
              </w:rPr>
            </w:pPr>
            <w:r w:rsidRPr="00483EBE">
              <w:rPr>
                <w:sz w:val="12"/>
                <w:szCs w:val="12"/>
              </w:rPr>
              <w:t>$51,955</w:t>
            </w:r>
          </w:p>
        </w:tc>
        <w:tc>
          <w:tcPr>
            <w:tcW w:w="0" w:type="auto"/>
            <w:tcBorders>
              <w:top w:val="nil"/>
              <w:left w:val="nil"/>
              <w:bottom w:val="single" w:sz="4" w:space="0" w:color="auto"/>
              <w:right w:val="single" w:sz="4" w:space="0" w:color="auto"/>
            </w:tcBorders>
            <w:shd w:val="clear" w:color="auto" w:fill="auto"/>
            <w:vAlign w:val="center"/>
            <w:hideMark/>
          </w:tcPr>
          <w:p w14:paraId="713E420C" w14:textId="77777777" w:rsidR="00572995" w:rsidRPr="00483EBE" w:rsidRDefault="00572995" w:rsidP="00E8324D">
            <w:pPr>
              <w:pStyle w:val="Tablas"/>
              <w:rPr>
                <w:sz w:val="12"/>
                <w:szCs w:val="12"/>
              </w:rPr>
            </w:pPr>
            <w:r w:rsidRPr="00483EBE">
              <w:rPr>
                <w:sz w:val="12"/>
                <w:szCs w:val="12"/>
              </w:rPr>
              <w:t>$1,267</w:t>
            </w:r>
          </w:p>
        </w:tc>
        <w:tc>
          <w:tcPr>
            <w:tcW w:w="0" w:type="auto"/>
            <w:tcBorders>
              <w:top w:val="nil"/>
              <w:left w:val="nil"/>
              <w:bottom w:val="single" w:sz="4" w:space="0" w:color="auto"/>
              <w:right w:val="single" w:sz="4" w:space="0" w:color="auto"/>
            </w:tcBorders>
            <w:shd w:val="clear" w:color="auto" w:fill="auto"/>
            <w:vAlign w:val="center"/>
            <w:hideMark/>
          </w:tcPr>
          <w:p w14:paraId="7C78ADC2"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3CAEDECB"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BA5DA3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B0C92B"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4D224D0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7F1567D" w14:textId="77777777" w:rsidR="00572995" w:rsidRPr="00483EBE" w:rsidRDefault="00572995" w:rsidP="00E8324D">
            <w:pPr>
              <w:pStyle w:val="Tablas"/>
              <w:rPr>
                <w:sz w:val="12"/>
                <w:szCs w:val="12"/>
              </w:rPr>
            </w:pPr>
            <w:r w:rsidRPr="00483EBE">
              <w:rPr>
                <w:sz w:val="12"/>
                <w:szCs w:val="12"/>
              </w:rPr>
              <w:t>$1,584</w:t>
            </w:r>
          </w:p>
        </w:tc>
        <w:tc>
          <w:tcPr>
            <w:tcW w:w="0" w:type="auto"/>
            <w:tcBorders>
              <w:top w:val="nil"/>
              <w:left w:val="nil"/>
              <w:bottom w:val="single" w:sz="4" w:space="0" w:color="auto"/>
              <w:right w:val="single" w:sz="4" w:space="0" w:color="auto"/>
            </w:tcBorders>
            <w:shd w:val="clear" w:color="auto" w:fill="auto"/>
            <w:vAlign w:val="center"/>
            <w:hideMark/>
          </w:tcPr>
          <w:p w14:paraId="408FD08D" w14:textId="77777777" w:rsidR="00572995" w:rsidRPr="00483EBE" w:rsidRDefault="00572995" w:rsidP="00E8324D">
            <w:pPr>
              <w:pStyle w:val="Tablas"/>
              <w:rPr>
                <w:sz w:val="12"/>
                <w:szCs w:val="12"/>
              </w:rPr>
            </w:pPr>
            <w:r w:rsidRPr="00483EBE">
              <w:rPr>
                <w:sz w:val="12"/>
                <w:szCs w:val="12"/>
              </w:rPr>
              <w:t>$1,584</w:t>
            </w:r>
          </w:p>
        </w:tc>
        <w:tc>
          <w:tcPr>
            <w:tcW w:w="0" w:type="auto"/>
            <w:tcBorders>
              <w:top w:val="nil"/>
              <w:left w:val="nil"/>
              <w:bottom w:val="single" w:sz="4" w:space="0" w:color="auto"/>
              <w:right w:val="single" w:sz="4" w:space="0" w:color="auto"/>
            </w:tcBorders>
            <w:shd w:val="clear" w:color="auto" w:fill="auto"/>
            <w:vAlign w:val="center"/>
            <w:hideMark/>
          </w:tcPr>
          <w:p w14:paraId="68409493" w14:textId="77777777" w:rsidR="00572995" w:rsidRPr="00483EBE" w:rsidRDefault="00572995" w:rsidP="00E8324D">
            <w:pPr>
              <w:pStyle w:val="Tablas"/>
              <w:rPr>
                <w:sz w:val="12"/>
                <w:szCs w:val="12"/>
              </w:rPr>
            </w:pPr>
            <w:r w:rsidRPr="00483EBE">
              <w:rPr>
                <w:sz w:val="12"/>
                <w:szCs w:val="12"/>
              </w:rPr>
              <w:t>$132</w:t>
            </w:r>
          </w:p>
        </w:tc>
        <w:tc>
          <w:tcPr>
            <w:tcW w:w="0" w:type="auto"/>
            <w:tcBorders>
              <w:top w:val="nil"/>
              <w:left w:val="nil"/>
              <w:bottom w:val="single" w:sz="4" w:space="0" w:color="auto"/>
              <w:right w:val="single" w:sz="4" w:space="0" w:color="auto"/>
            </w:tcBorders>
            <w:shd w:val="clear" w:color="auto" w:fill="auto"/>
            <w:vAlign w:val="center"/>
            <w:hideMark/>
          </w:tcPr>
          <w:p w14:paraId="1090C610"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1D0B148E" w14:textId="77777777" w:rsidR="00572995" w:rsidRPr="00483EBE" w:rsidRDefault="00572995" w:rsidP="00E8324D">
            <w:pPr>
              <w:pStyle w:val="Tablas"/>
              <w:rPr>
                <w:sz w:val="12"/>
                <w:szCs w:val="12"/>
              </w:rPr>
            </w:pPr>
            <w:r w:rsidRPr="00483EBE">
              <w:rPr>
                <w:sz w:val="12"/>
                <w:szCs w:val="12"/>
              </w:rPr>
              <w:t>SEBD</w:t>
            </w:r>
          </w:p>
        </w:tc>
      </w:tr>
      <w:tr w:rsidR="00572995" w:rsidRPr="00483EBE" w14:paraId="2306928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8C41E9F"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46D7A3EF" w14:textId="77777777" w:rsidR="00572995" w:rsidRPr="00483EBE" w:rsidRDefault="00572995" w:rsidP="00E8324D">
            <w:pPr>
              <w:pStyle w:val="Tablas"/>
              <w:rPr>
                <w:sz w:val="12"/>
                <w:szCs w:val="12"/>
              </w:rPr>
            </w:pPr>
            <w:r w:rsidRPr="00483EBE">
              <w:rPr>
                <w:sz w:val="12"/>
                <w:szCs w:val="12"/>
              </w:rPr>
              <w:t xml:space="preserve">51 </w:t>
            </w:r>
          </w:p>
        </w:tc>
        <w:tc>
          <w:tcPr>
            <w:tcW w:w="0" w:type="auto"/>
            <w:tcBorders>
              <w:top w:val="nil"/>
              <w:left w:val="nil"/>
              <w:bottom w:val="single" w:sz="4" w:space="0" w:color="auto"/>
              <w:right w:val="single" w:sz="4" w:space="0" w:color="auto"/>
            </w:tcBorders>
            <w:shd w:val="clear" w:color="auto" w:fill="auto"/>
            <w:vAlign w:val="center"/>
            <w:hideMark/>
          </w:tcPr>
          <w:p w14:paraId="59B8F06C" w14:textId="77777777" w:rsidR="00572995" w:rsidRPr="00483EBE" w:rsidRDefault="00572995" w:rsidP="00E8324D">
            <w:pPr>
              <w:pStyle w:val="Tablas"/>
              <w:rPr>
                <w:sz w:val="12"/>
                <w:szCs w:val="12"/>
              </w:rPr>
            </w:pPr>
            <w:r w:rsidRPr="00483EBE">
              <w:rPr>
                <w:sz w:val="12"/>
                <w:szCs w:val="12"/>
              </w:rPr>
              <w:t>$69,984</w:t>
            </w:r>
          </w:p>
        </w:tc>
        <w:tc>
          <w:tcPr>
            <w:tcW w:w="0" w:type="auto"/>
            <w:tcBorders>
              <w:top w:val="nil"/>
              <w:left w:val="nil"/>
              <w:bottom w:val="single" w:sz="4" w:space="0" w:color="auto"/>
              <w:right w:val="single" w:sz="4" w:space="0" w:color="auto"/>
            </w:tcBorders>
            <w:shd w:val="clear" w:color="auto" w:fill="auto"/>
            <w:vAlign w:val="center"/>
            <w:hideMark/>
          </w:tcPr>
          <w:p w14:paraId="26EC4EF4" w14:textId="77777777" w:rsidR="00572995" w:rsidRPr="00483EBE" w:rsidRDefault="00572995" w:rsidP="00E8324D">
            <w:pPr>
              <w:pStyle w:val="Tablas"/>
              <w:rPr>
                <w:sz w:val="12"/>
                <w:szCs w:val="12"/>
              </w:rPr>
            </w:pPr>
            <w:r w:rsidRPr="00483EBE">
              <w:rPr>
                <w:sz w:val="12"/>
                <w:szCs w:val="12"/>
              </w:rPr>
              <w:t>$1,372</w:t>
            </w:r>
          </w:p>
        </w:tc>
        <w:tc>
          <w:tcPr>
            <w:tcW w:w="0" w:type="auto"/>
            <w:tcBorders>
              <w:top w:val="nil"/>
              <w:left w:val="nil"/>
              <w:bottom w:val="single" w:sz="4" w:space="0" w:color="auto"/>
              <w:right w:val="single" w:sz="4" w:space="0" w:color="auto"/>
            </w:tcBorders>
            <w:shd w:val="clear" w:color="auto" w:fill="auto"/>
            <w:vAlign w:val="center"/>
            <w:hideMark/>
          </w:tcPr>
          <w:p w14:paraId="529DB9CF"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07EE2BD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715AC2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57B33F4"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1285104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5CE385B" w14:textId="77777777" w:rsidR="00572995" w:rsidRPr="00483EBE" w:rsidRDefault="00572995" w:rsidP="00E8324D">
            <w:pPr>
              <w:pStyle w:val="Tablas"/>
              <w:rPr>
                <w:sz w:val="12"/>
                <w:szCs w:val="12"/>
              </w:rPr>
            </w:pPr>
            <w:r w:rsidRPr="00483EBE">
              <w:rPr>
                <w:sz w:val="12"/>
                <w:szCs w:val="12"/>
              </w:rPr>
              <w:t>$1,444</w:t>
            </w:r>
          </w:p>
        </w:tc>
        <w:tc>
          <w:tcPr>
            <w:tcW w:w="0" w:type="auto"/>
            <w:tcBorders>
              <w:top w:val="nil"/>
              <w:left w:val="nil"/>
              <w:bottom w:val="single" w:sz="4" w:space="0" w:color="auto"/>
              <w:right w:val="single" w:sz="4" w:space="0" w:color="auto"/>
            </w:tcBorders>
            <w:shd w:val="clear" w:color="auto" w:fill="auto"/>
            <w:vAlign w:val="center"/>
            <w:hideMark/>
          </w:tcPr>
          <w:p w14:paraId="2354B641" w14:textId="77777777" w:rsidR="00572995" w:rsidRPr="00483EBE" w:rsidRDefault="00572995" w:rsidP="00E8324D">
            <w:pPr>
              <w:pStyle w:val="Tablas"/>
              <w:rPr>
                <w:sz w:val="12"/>
                <w:szCs w:val="12"/>
              </w:rPr>
            </w:pPr>
            <w:r w:rsidRPr="00483EBE">
              <w:rPr>
                <w:sz w:val="12"/>
                <w:szCs w:val="12"/>
              </w:rPr>
              <w:t>$1,444</w:t>
            </w:r>
          </w:p>
        </w:tc>
        <w:tc>
          <w:tcPr>
            <w:tcW w:w="0" w:type="auto"/>
            <w:tcBorders>
              <w:top w:val="nil"/>
              <w:left w:val="nil"/>
              <w:bottom w:val="single" w:sz="4" w:space="0" w:color="auto"/>
              <w:right w:val="single" w:sz="4" w:space="0" w:color="auto"/>
            </w:tcBorders>
            <w:shd w:val="clear" w:color="auto" w:fill="auto"/>
            <w:vAlign w:val="center"/>
            <w:hideMark/>
          </w:tcPr>
          <w:p w14:paraId="03E0A220"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5BB8562D"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49CEF129" w14:textId="77777777" w:rsidR="00572995" w:rsidRPr="00483EBE" w:rsidRDefault="00572995" w:rsidP="00E8324D">
            <w:pPr>
              <w:pStyle w:val="Tablas"/>
              <w:rPr>
                <w:sz w:val="12"/>
                <w:szCs w:val="12"/>
              </w:rPr>
            </w:pPr>
            <w:r w:rsidRPr="00483EBE">
              <w:rPr>
                <w:sz w:val="12"/>
                <w:szCs w:val="12"/>
              </w:rPr>
              <w:t>SEBD</w:t>
            </w:r>
          </w:p>
        </w:tc>
      </w:tr>
      <w:tr w:rsidR="00572995" w:rsidRPr="00483EBE" w14:paraId="1EAD3F1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311133"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4B6DB388" w14:textId="77777777" w:rsidR="00572995" w:rsidRPr="00483EBE" w:rsidRDefault="00572995" w:rsidP="00E8324D">
            <w:pPr>
              <w:pStyle w:val="Tablas"/>
              <w:rPr>
                <w:sz w:val="12"/>
                <w:szCs w:val="12"/>
              </w:rPr>
            </w:pPr>
            <w:r w:rsidRPr="00483EBE">
              <w:rPr>
                <w:sz w:val="12"/>
                <w:szCs w:val="12"/>
              </w:rPr>
              <w:t xml:space="preserve">39 </w:t>
            </w:r>
          </w:p>
        </w:tc>
        <w:tc>
          <w:tcPr>
            <w:tcW w:w="0" w:type="auto"/>
            <w:tcBorders>
              <w:top w:val="nil"/>
              <w:left w:val="nil"/>
              <w:bottom w:val="single" w:sz="4" w:space="0" w:color="auto"/>
              <w:right w:val="single" w:sz="4" w:space="0" w:color="auto"/>
            </w:tcBorders>
            <w:shd w:val="clear" w:color="auto" w:fill="auto"/>
            <w:vAlign w:val="center"/>
            <w:hideMark/>
          </w:tcPr>
          <w:p w14:paraId="4A8D58B9" w14:textId="77777777" w:rsidR="00572995" w:rsidRPr="00483EBE" w:rsidRDefault="00572995" w:rsidP="00E8324D">
            <w:pPr>
              <w:pStyle w:val="Tablas"/>
              <w:rPr>
                <w:sz w:val="12"/>
                <w:szCs w:val="12"/>
              </w:rPr>
            </w:pPr>
            <w:r w:rsidRPr="00483EBE">
              <w:rPr>
                <w:sz w:val="12"/>
                <w:szCs w:val="12"/>
              </w:rPr>
              <w:t>$43,302</w:t>
            </w:r>
          </w:p>
        </w:tc>
        <w:tc>
          <w:tcPr>
            <w:tcW w:w="0" w:type="auto"/>
            <w:tcBorders>
              <w:top w:val="nil"/>
              <w:left w:val="nil"/>
              <w:bottom w:val="single" w:sz="4" w:space="0" w:color="auto"/>
              <w:right w:val="single" w:sz="4" w:space="0" w:color="auto"/>
            </w:tcBorders>
            <w:shd w:val="clear" w:color="auto" w:fill="auto"/>
            <w:vAlign w:val="center"/>
            <w:hideMark/>
          </w:tcPr>
          <w:p w14:paraId="2B9195C3" w14:textId="77777777" w:rsidR="00572995" w:rsidRPr="00483EBE" w:rsidRDefault="00572995" w:rsidP="00E8324D">
            <w:pPr>
              <w:pStyle w:val="Tablas"/>
              <w:rPr>
                <w:sz w:val="12"/>
                <w:szCs w:val="12"/>
              </w:rPr>
            </w:pPr>
            <w:r w:rsidRPr="00483EBE">
              <w:rPr>
                <w:sz w:val="12"/>
                <w:szCs w:val="12"/>
              </w:rPr>
              <w:t>$1,110</w:t>
            </w:r>
          </w:p>
        </w:tc>
        <w:tc>
          <w:tcPr>
            <w:tcW w:w="0" w:type="auto"/>
            <w:tcBorders>
              <w:top w:val="nil"/>
              <w:left w:val="nil"/>
              <w:bottom w:val="single" w:sz="4" w:space="0" w:color="auto"/>
              <w:right w:val="single" w:sz="4" w:space="0" w:color="auto"/>
            </w:tcBorders>
            <w:shd w:val="clear" w:color="auto" w:fill="auto"/>
            <w:vAlign w:val="center"/>
            <w:hideMark/>
          </w:tcPr>
          <w:p w14:paraId="0B2B2A8B"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120BBBAA"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72B1FD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C70F542"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147DDEB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BD6B295" w14:textId="77777777" w:rsidR="00572995" w:rsidRPr="00483EBE" w:rsidRDefault="00572995" w:rsidP="00E8324D">
            <w:pPr>
              <w:pStyle w:val="Tablas"/>
              <w:rPr>
                <w:sz w:val="12"/>
                <w:szCs w:val="12"/>
              </w:rPr>
            </w:pPr>
            <w:r w:rsidRPr="00483EBE">
              <w:rPr>
                <w:sz w:val="12"/>
                <w:szCs w:val="12"/>
              </w:rPr>
              <w:t>$862</w:t>
            </w:r>
          </w:p>
        </w:tc>
        <w:tc>
          <w:tcPr>
            <w:tcW w:w="0" w:type="auto"/>
            <w:tcBorders>
              <w:top w:val="nil"/>
              <w:left w:val="nil"/>
              <w:bottom w:val="single" w:sz="4" w:space="0" w:color="auto"/>
              <w:right w:val="single" w:sz="4" w:space="0" w:color="auto"/>
            </w:tcBorders>
            <w:shd w:val="clear" w:color="auto" w:fill="auto"/>
            <w:vAlign w:val="center"/>
            <w:hideMark/>
          </w:tcPr>
          <w:p w14:paraId="368DC144" w14:textId="77777777" w:rsidR="00572995" w:rsidRPr="00483EBE" w:rsidRDefault="00572995" w:rsidP="00E8324D">
            <w:pPr>
              <w:pStyle w:val="Tablas"/>
              <w:rPr>
                <w:sz w:val="12"/>
                <w:szCs w:val="12"/>
              </w:rPr>
            </w:pPr>
            <w:r w:rsidRPr="00483EBE">
              <w:rPr>
                <w:sz w:val="12"/>
                <w:szCs w:val="12"/>
              </w:rPr>
              <w:t>$862</w:t>
            </w:r>
          </w:p>
        </w:tc>
        <w:tc>
          <w:tcPr>
            <w:tcW w:w="0" w:type="auto"/>
            <w:tcBorders>
              <w:top w:val="nil"/>
              <w:left w:val="nil"/>
              <w:bottom w:val="single" w:sz="4" w:space="0" w:color="auto"/>
              <w:right w:val="single" w:sz="4" w:space="0" w:color="auto"/>
            </w:tcBorders>
            <w:shd w:val="clear" w:color="auto" w:fill="auto"/>
            <w:vAlign w:val="center"/>
            <w:hideMark/>
          </w:tcPr>
          <w:p w14:paraId="773C1DF3"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5855E1B8"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71C14627" w14:textId="77777777" w:rsidR="00572995" w:rsidRPr="00483EBE" w:rsidRDefault="00572995" w:rsidP="00E8324D">
            <w:pPr>
              <w:pStyle w:val="Tablas"/>
              <w:rPr>
                <w:sz w:val="12"/>
                <w:szCs w:val="12"/>
              </w:rPr>
            </w:pPr>
            <w:r w:rsidRPr="00483EBE">
              <w:rPr>
                <w:sz w:val="12"/>
                <w:szCs w:val="12"/>
              </w:rPr>
              <w:t>SEBD</w:t>
            </w:r>
          </w:p>
        </w:tc>
      </w:tr>
      <w:tr w:rsidR="00572995" w:rsidRPr="00483EBE" w14:paraId="0DF159C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5AA8E0"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6C0D90CF"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5F7943B8" w14:textId="77777777" w:rsidR="00572995" w:rsidRPr="00483EBE" w:rsidRDefault="00572995" w:rsidP="00E8324D">
            <w:pPr>
              <w:pStyle w:val="Tablas"/>
              <w:rPr>
                <w:sz w:val="12"/>
                <w:szCs w:val="12"/>
              </w:rPr>
            </w:pPr>
            <w:r w:rsidRPr="00483EBE">
              <w:rPr>
                <w:sz w:val="12"/>
                <w:szCs w:val="12"/>
              </w:rPr>
              <w:t>$53,283</w:t>
            </w:r>
          </w:p>
        </w:tc>
        <w:tc>
          <w:tcPr>
            <w:tcW w:w="0" w:type="auto"/>
            <w:tcBorders>
              <w:top w:val="nil"/>
              <w:left w:val="nil"/>
              <w:bottom w:val="single" w:sz="4" w:space="0" w:color="auto"/>
              <w:right w:val="single" w:sz="4" w:space="0" w:color="auto"/>
            </w:tcBorders>
            <w:shd w:val="clear" w:color="auto" w:fill="auto"/>
            <w:vAlign w:val="center"/>
            <w:hideMark/>
          </w:tcPr>
          <w:p w14:paraId="4A27C0AF" w14:textId="77777777" w:rsidR="00572995" w:rsidRPr="00483EBE" w:rsidRDefault="00572995" w:rsidP="00E8324D">
            <w:pPr>
              <w:pStyle w:val="Tablas"/>
              <w:rPr>
                <w:sz w:val="12"/>
                <w:szCs w:val="12"/>
              </w:rPr>
            </w:pPr>
            <w:r w:rsidRPr="00483EBE">
              <w:rPr>
                <w:sz w:val="12"/>
                <w:szCs w:val="12"/>
              </w:rPr>
              <w:t>$1,567</w:t>
            </w:r>
          </w:p>
        </w:tc>
        <w:tc>
          <w:tcPr>
            <w:tcW w:w="0" w:type="auto"/>
            <w:tcBorders>
              <w:top w:val="nil"/>
              <w:left w:val="nil"/>
              <w:bottom w:val="single" w:sz="4" w:space="0" w:color="auto"/>
              <w:right w:val="single" w:sz="4" w:space="0" w:color="auto"/>
            </w:tcBorders>
            <w:shd w:val="clear" w:color="auto" w:fill="auto"/>
            <w:vAlign w:val="center"/>
            <w:hideMark/>
          </w:tcPr>
          <w:p w14:paraId="7217E76B" w14:textId="77777777" w:rsidR="00572995" w:rsidRPr="00483EBE" w:rsidRDefault="00572995" w:rsidP="00E8324D">
            <w:pPr>
              <w:pStyle w:val="Tablas"/>
              <w:rPr>
                <w:sz w:val="12"/>
                <w:szCs w:val="12"/>
              </w:rPr>
            </w:pPr>
            <w:r w:rsidRPr="00483EBE">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1A15D8A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3253DF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6C7B2AE"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461E97A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EAC9E5D" w14:textId="77777777" w:rsidR="00572995" w:rsidRPr="00483EBE" w:rsidRDefault="00572995" w:rsidP="00E8324D">
            <w:pPr>
              <w:pStyle w:val="Tablas"/>
              <w:rPr>
                <w:sz w:val="12"/>
                <w:szCs w:val="12"/>
              </w:rPr>
            </w:pPr>
            <w:r w:rsidRPr="00483EBE">
              <w:rPr>
                <w:sz w:val="12"/>
                <w:szCs w:val="12"/>
              </w:rPr>
              <w:t>$1,654</w:t>
            </w:r>
          </w:p>
        </w:tc>
        <w:tc>
          <w:tcPr>
            <w:tcW w:w="0" w:type="auto"/>
            <w:tcBorders>
              <w:top w:val="nil"/>
              <w:left w:val="nil"/>
              <w:bottom w:val="single" w:sz="4" w:space="0" w:color="auto"/>
              <w:right w:val="single" w:sz="4" w:space="0" w:color="auto"/>
            </w:tcBorders>
            <w:shd w:val="clear" w:color="auto" w:fill="auto"/>
            <w:vAlign w:val="center"/>
            <w:hideMark/>
          </w:tcPr>
          <w:p w14:paraId="5F440E34" w14:textId="77777777" w:rsidR="00572995" w:rsidRPr="00483EBE" w:rsidRDefault="00572995" w:rsidP="00E8324D">
            <w:pPr>
              <w:pStyle w:val="Tablas"/>
              <w:rPr>
                <w:sz w:val="12"/>
                <w:szCs w:val="12"/>
              </w:rPr>
            </w:pPr>
            <w:r w:rsidRPr="00483EBE">
              <w:rPr>
                <w:sz w:val="12"/>
                <w:szCs w:val="12"/>
              </w:rPr>
              <w:t>$1,654</w:t>
            </w:r>
          </w:p>
        </w:tc>
        <w:tc>
          <w:tcPr>
            <w:tcW w:w="0" w:type="auto"/>
            <w:tcBorders>
              <w:top w:val="nil"/>
              <w:left w:val="nil"/>
              <w:bottom w:val="single" w:sz="4" w:space="0" w:color="auto"/>
              <w:right w:val="single" w:sz="4" w:space="0" w:color="auto"/>
            </w:tcBorders>
            <w:shd w:val="clear" w:color="auto" w:fill="auto"/>
            <w:vAlign w:val="center"/>
            <w:hideMark/>
          </w:tcPr>
          <w:p w14:paraId="50E1D87A" w14:textId="77777777" w:rsidR="00572995" w:rsidRPr="00483EBE" w:rsidRDefault="00572995" w:rsidP="00E8324D">
            <w:pPr>
              <w:pStyle w:val="Tablas"/>
              <w:rPr>
                <w:sz w:val="12"/>
                <w:szCs w:val="12"/>
              </w:rPr>
            </w:pPr>
            <w:r w:rsidRPr="00483EBE">
              <w:rPr>
                <w:sz w:val="12"/>
                <w:szCs w:val="12"/>
              </w:rPr>
              <w:t>$138</w:t>
            </w:r>
          </w:p>
        </w:tc>
        <w:tc>
          <w:tcPr>
            <w:tcW w:w="0" w:type="auto"/>
            <w:tcBorders>
              <w:top w:val="nil"/>
              <w:left w:val="nil"/>
              <w:bottom w:val="single" w:sz="4" w:space="0" w:color="auto"/>
              <w:right w:val="single" w:sz="4" w:space="0" w:color="auto"/>
            </w:tcBorders>
            <w:shd w:val="clear" w:color="auto" w:fill="auto"/>
            <w:vAlign w:val="center"/>
            <w:hideMark/>
          </w:tcPr>
          <w:p w14:paraId="033A9644"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79A36F4A" w14:textId="77777777" w:rsidR="00572995" w:rsidRPr="00483EBE" w:rsidRDefault="00572995" w:rsidP="00E8324D">
            <w:pPr>
              <w:pStyle w:val="Tablas"/>
              <w:rPr>
                <w:sz w:val="12"/>
                <w:szCs w:val="12"/>
              </w:rPr>
            </w:pPr>
            <w:r w:rsidRPr="00483EBE">
              <w:rPr>
                <w:sz w:val="12"/>
                <w:szCs w:val="12"/>
              </w:rPr>
              <w:t>SEBD</w:t>
            </w:r>
          </w:p>
        </w:tc>
      </w:tr>
      <w:tr w:rsidR="00572995" w:rsidRPr="00483EBE" w14:paraId="3C884A8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0D12DB"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33996248" w14:textId="77777777" w:rsidR="00572995" w:rsidRPr="00483EBE" w:rsidRDefault="00572995" w:rsidP="00E8324D">
            <w:pPr>
              <w:pStyle w:val="Tablas"/>
              <w:rPr>
                <w:sz w:val="12"/>
                <w:szCs w:val="12"/>
              </w:rPr>
            </w:pPr>
            <w:r w:rsidRPr="00483EBE">
              <w:rPr>
                <w:sz w:val="12"/>
                <w:szCs w:val="12"/>
              </w:rPr>
              <w:t xml:space="preserve">37 </w:t>
            </w:r>
          </w:p>
        </w:tc>
        <w:tc>
          <w:tcPr>
            <w:tcW w:w="0" w:type="auto"/>
            <w:tcBorders>
              <w:top w:val="nil"/>
              <w:left w:val="nil"/>
              <w:bottom w:val="single" w:sz="4" w:space="0" w:color="auto"/>
              <w:right w:val="single" w:sz="4" w:space="0" w:color="auto"/>
            </w:tcBorders>
            <w:shd w:val="clear" w:color="auto" w:fill="auto"/>
            <w:vAlign w:val="center"/>
            <w:hideMark/>
          </w:tcPr>
          <w:p w14:paraId="1E5C2E6A" w14:textId="77777777" w:rsidR="00572995" w:rsidRPr="00483EBE" w:rsidRDefault="00572995" w:rsidP="00E8324D">
            <w:pPr>
              <w:pStyle w:val="Tablas"/>
              <w:rPr>
                <w:sz w:val="12"/>
                <w:szCs w:val="12"/>
              </w:rPr>
            </w:pPr>
            <w:r w:rsidRPr="00483EBE">
              <w:rPr>
                <w:sz w:val="12"/>
                <w:szCs w:val="12"/>
              </w:rPr>
              <w:t>$46,596</w:t>
            </w:r>
          </w:p>
        </w:tc>
        <w:tc>
          <w:tcPr>
            <w:tcW w:w="0" w:type="auto"/>
            <w:tcBorders>
              <w:top w:val="nil"/>
              <w:left w:val="nil"/>
              <w:bottom w:val="single" w:sz="4" w:space="0" w:color="auto"/>
              <w:right w:val="single" w:sz="4" w:space="0" w:color="auto"/>
            </w:tcBorders>
            <w:shd w:val="clear" w:color="auto" w:fill="auto"/>
            <w:vAlign w:val="center"/>
            <w:hideMark/>
          </w:tcPr>
          <w:p w14:paraId="516D4C35" w14:textId="77777777" w:rsidR="00572995" w:rsidRPr="00483EBE" w:rsidRDefault="00572995" w:rsidP="00E8324D">
            <w:pPr>
              <w:pStyle w:val="Tablas"/>
              <w:rPr>
                <w:sz w:val="12"/>
                <w:szCs w:val="12"/>
              </w:rPr>
            </w:pPr>
            <w:r w:rsidRPr="00483EBE">
              <w:rPr>
                <w:sz w:val="12"/>
                <w:szCs w:val="12"/>
              </w:rPr>
              <w:t>$1,259</w:t>
            </w:r>
          </w:p>
        </w:tc>
        <w:tc>
          <w:tcPr>
            <w:tcW w:w="0" w:type="auto"/>
            <w:tcBorders>
              <w:top w:val="nil"/>
              <w:left w:val="nil"/>
              <w:bottom w:val="single" w:sz="4" w:space="0" w:color="auto"/>
              <w:right w:val="single" w:sz="4" w:space="0" w:color="auto"/>
            </w:tcBorders>
            <w:shd w:val="clear" w:color="auto" w:fill="auto"/>
            <w:vAlign w:val="center"/>
            <w:hideMark/>
          </w:tcPr>
          <w:p w14:paraId="691173D4"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5D957F6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B45882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84418A" w14:textId="77777777" w:rsidR="00572995" w:rsidRPr="00483EBE" w:rsidRDefault="00572995" w:rsidP="00E8324D">
            <w:pPr>
              <w:pStyle w:val="Tablas"/>
              <w:rPr>
                <w:sz w:val="12"/>
                <w:szCs w:val="12"/>
              </w:rPr>
            </w:pPr>
            <w:r w:rsidRPr="00483EBE">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7DD3260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8667452" w14:textId="77777777" w:rsidR="00572995" w:rsidRPr="00483EBE" w:rsidRDefault="00572995" w:rsidP="00E8324D">
            <w:pPr>
              <w:pStyle w:val="Tablas"/>
              <w:rPr>
                <w:sz w:val="12"/>
                <w:szCs w:val="12"/>
              </w:rPr>
            </w:pPr>
            <w:r w:rsidRPr="00483EBE">
              <w:rPr>
                <w:sz w:val="12"/>
                <w:szCs w:val="12"/>
              </w:rPr>
              <w:t>$2,220</w:t>
            </w:r>
          </w:p>
        </w:tc>
        <w:tc>
          <w:tcPr>
            <w:tcW w:w="0" w:type="auto"/>
            <w:tcBorders>
              <w:top w:val="nil"/>
              <w:left w:val="nil"/>
              <w:bottom w:val="single" w:sz="4" w:space="0" w:color="auto"/>
              <w:right w:val="single" w:sz="4" w:space="0" w:color="auto"/>
            </w:tcBorders>
            <w:shd w:val="clear" w:color="auto" w:fill="auto"/>
            <w:vAlign w:val="center"/>
            <w:hideMark/>
          </w:tcPr>
          <w:p w14:paraId="7D8933D8" w14:textId="77777777" w:rsidR="00572995" w:rsidRPr="00483EBE" w:rsidRDefault="00572995" w:rsidP="00E8324D">
            <w:pPr>
              <w:pStyle w:val="Tablas"/>
              <w:rPr>
                <w:sz w:val="12"/>
                <w:szCs w:val="12"/>
              </w:rPr>
            </w:pPr>
            <w:r w:rsidRPr="00483EBE">
              <w:rPr>
                <w:sz w:val="12"/>
                <w:szCs w:val="12"/>
              </w:rPr>
              <w:t>$2,220</w:t>
            </w:r>
          </w:p>
        </w:tc>
        <w:tc>
          <w:tcPr>
            <w:tcW w:w="0" w:type="auto"/>
            <w:tcBorders>
              <w:top w:val="nil"/>
              <w:left w:val="nil"/>
              <w:bottom w:val="single" w:sz="4" w:space="0" w:color="auto"/>
              <w:right w:val="single" w:sz="4" w:space="0" w:color="auto"/>
            </w:tcBorders>
            <w:shd w:val="clear" w:color="auto" w:fill="auto"/>
            <w:vAlign w:val="center"/>
            <w:hideMark/>
          </w:tcPr>
          <w:p w14:paraId="1396DF4E" w14:textId="77777777" w:rsidR="00572995" w:rsidRPr="00483EBE" w:rsidRDefault="00572995" w:rsidP="00E8324D">
            <w:pPr>
              <w:pStyle w:val="Tablas"/>
              <w:rPr>
                <w:sz w:val="12"/>
                <w:szCs w:val="12"/>
              </w:rPr>
            </w:pPr>
            <w:r w:rsidRPr="00483EBE">
              <w:rPr>
                <w:sz w:val="12"/>
                <w:szCs w:val="12"/>
              </w:rPr>
              <w:t>$185</w:t>
            </w:r>
          </w:p>
        </w:tc>
        <w:tc>
          <w:tcPr>
            <w:tcW w:w="0" w:type="auto"/>
            <w:tcBorders>
              <w:top w:val="nil"/>
              <w:left w:val="nil"/>
              <w:bottom w:val="single" w:sz="4" w:space="0" w:color="auto"/>
              <w:right w:val="single" w:sz="4" w:space="0" w:color="auto"/>
            </w:tcBorders>
            <w:shd w:val="clear" w:color="auto" w:fill="auto"/>
            <w:vAlign w:val="center"/>
            <w:hideMark/>
          </w:tcPr>
          <w:p w14:paraId="1E01744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8D773F5" w14:textId="77777777" w:rsidR="00572995" w:rsidRPr="00483EBE" w:rsidRDefault="00572995" w:rsidP="00E8324D">
            <w:pPr>
              <w:pStyle w:val="Tablas"/>
              <w:rPr>
                <w:sz w:val="12"/>
                <w:szCs w:val="12"/>
              </w:rPr>
            </w:pPr>
            <w:r w:rsidRPr="00483EBE">
              <w:rPr>
                <w:sz w:val="12"/>
                <w:szCs w:val="12"/>
              </w:rPr>
              <w:t>SM</w:t>
            </w:r>
          </w:p>
        </w:tc>
      </w:tr>
      <w:tr w:rsidR="00572995" w:rsidRPr="00483EBE" w14:paraId="1EF6245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9F2229"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1AEE5CEF" w14:textId="77777777" w:rsidR="00572995" w:rsidRPr="00483EBE" w:rsidRDefault="00572995" w:rsidP="00E8324D">
            <w:pPr>
              <w:pStyle w:val="Tablas"/>
              <w:rPr>
                <w:sz w:val="12"/>
                <w:szCs w:val="12"/>
              </w:rPr>
            </w:pPr>
            <w:r w:rsidRPr="00483EBE">
              <w:rPr>
                <w:sz w:val="12"/>
                <w:szCs w:val="12"/>
              </w:rPr>
              <w:t xml:space="preserve">43 </w:t>
            </w:r>
          </w:p>
        </w:tc>
        <w:tc>
          <w:tcPr>
            <w:tcW w:w="0" w:type="auto"/>
            <w:tcBorders>
              <w:top w:val="nil"/>
              <w:left w:val="nil"/>
              <w:bottom w:val="single" w:sz="4" w:space="0" w:color="auto"/>
              <w:right w:val="single" w:sz="4" w:space="0" w:color="auto"/>
            </w:tcBorders>
            <w:shd w:val="clear" w:color="auto" w:fill="auto"/>
            <w:vAlign w:val="center"/>
            <w:hideMark/>
          </w:tcPr>
          <w:p w14:paraId="456FEEBA" w14:textId="77777777" w:rsidR="00572995" w:rsidRPr="00483EBE" w:rsidRDefault="00572995" w:rsidP="00E8324D">
            <w:pPr>
              <w:pStyle w:val="Tablas"/>
              <w:rPr>
                <w:sz w:val="12"/>
                <w:szCs w:val="12"/>
              </w:rPr>
            </w:pPr>
            <w:r w:rsidRPr="00483EBE">
              <w:rPr>
                <w:sz w:val="12"/>
                <w:szCs w:val="12"/>
              </w:rPr>
              <w:t>$60,375</w:t>
            </w:r>
          </w:p>
        </w:tc>
        <w:tc>
          <w:tcPr>
            <w:tcW w:w="0" w:type="auto"/>
            <w:tcBorders>
              <w:top w:val="nil"/>
              <w:left w:val="nil"/>
              <w:bottom w:val="single" w:sz="4" w:space="0" w:color="auto"/>
              <w:right w:val="single" w:sz="4" w:space="0" w:color="auto"/>
            </w:tcBorders>
            <w:shd w:val="clear" w:color="auto" w:fill="auto"/>
            <w:vAlign w:val="center"/>
            <w:hideMark/>
          </w:tcPr>
          <w:p w14:paraId="72262E5C" w14:textId="77777777" w:rsidR="00572995" w:rsidRPr="00483EBE" w:rsidRDefault="00572995" w:rsidP="00E8324D">
            <w:pPr>
              <w:pStyle w:val="Tablas"/>
              <w:rPr>
                <w:sz w:val="12"/>
                <w:szCs w:val="12"/>
              </w:rPr>
            </w:pPr>
            <w:r w:rsidRPr="00483EBE">
              <w:rPr>
                <w:sz w:val="12"/>
                <w:szCs w:val="12"/>
              </w:rPr>
              <w:t>$1,404</w:t>
            </w:r>
          </w:p>
        </w:tc>
        <w:tc>
          <w:tcPr>
            <w:tcW w:w="0" w:type="auto"/>
            <w:tcBorders>
              <w:top w:val="nil"/>
              <w:left w:val="nil"/>
              <w:bottom w:val="single" w:sz="4" w:space="0" w:color="auto"/>
              <w:right w:val="single" w:sz="4" w:space="0" w:color="auto"/>
            </w:tcBorders>
            <w:shd w:val="clear" w:color="auto" w:fill="auto"/>
            <w:vAlign w:val="center"/>
            <w:hideMark/>
          </w:tcPr>
          <w:p w14:paraId="3DCD62A1" w14:textId="77777777" w:rsidR="00572995" w:rsidRPr="00483EBE" w:rsidRDefault="00572995" w:rsidP="00E8324D">
            <w:pPr>
              <w:pStyle w:val="Tablas"/>
              <w:rPr>
                <w:sz w:val="12"/>
                <w:szCs w:val="12"/>
              </w:rPr>
            </w:pPr>
            <w:r w:rsidRPr="00483EBE">
              <w:rPr>
                <w:sz w:val="12"/>
                <w:szCs w:val="12"/>
              </w:rPr>
              <w:t>$117</w:t>
            </w:r>
          </w:p>
        </w:tc>
        <w:tc>
          <w:tcPr>
            <w:tcW w:w="0" w:type="auto"/>
            <w:tcBorders>
              <w:top w:val="nil"/>
              <w:left w:val="nil"/>
              <w:bottom w:val="single" w:sz="4" w:space="0" w:color="auto"/>
              <w:right w:val="single" w:sz="4" w:space="0" w:color="auto"/>
            </w:tcBorders>
            <w:shd w:val="clear" w:color="auto" w:fill="auto"/>
            <w:vAlign w:val="center"/>
            <w:hideMark/>
          </w:tcPr>
          <w:p w14:paraId="0B4D80D9"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754CDD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687B41" w14:textId="77777777" w:rsidR="00572995" w:rsidRPr="00483EBE" w:rsidRDefault="00572995" w:rsidP="00E8324D">
            <w:pPr>
              <w:pStyle w:val="Tablas"/>
              <w:rPr>
                <w:sz w:val="12"/>
                <w:szCs w:val="12"/>
              </w:rPr>
            </w:pPr>
            <w:r w:rsidRPr="00483EBE">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024D4C87"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A7D7756" w14:textId="77777777" w:rsidR="00572995" w:rsidRPr="00483EBE" w:rsidRDefault="00572995" w:rsidP="00E8324D">
            <w:pPr>
              <w:pStyle w:val="Tablas"/>
              <w:rPr>
                <w:sz w:val="12"/>
                <w:szCs w:val="12"/>
              </w:rPr>
            </w:pPr>
            <w:r w:rsidRPr="00483EBE">
              <w:rPr>
                <w:sz w:val="12"/>
                <w:szCs w:val="12"/>
              </w:rPr>
              <w:t>$10,380</w:t>
            </w:r>
          </w:p>
        </w:tc>
        <w:tc>
          <w:tcPr>
            <w:tcW w:w="0" w:type="auto"/>
            <w:tcBorders>
              <w:top w:val="nil"/>
              <w:left w:val="nil"/>
              <w:bottom w:val="single" w:sz="4" w:space="0" w:color="auto"/>
              <w:right w:val="single" w:sz="4" w:space="0" w:color="auto"/>
            </w:tcBorders>
            <w:shd w:val="clear" w:color="auto" w:fill="auto"/>
            <w:vAlign w:val="center"/>
            <w:hideMark/>
          </w:tcPr>
          <w:p w14:paraId="6A580319" w14:textId="77777777" w:rsidR="00572995" w:rsidRPr="00483EBE" w:rsidRDefault="00572995" w:rsidP="00E8324D">
            <w:pPr>
              <w:pStyle w:val="Tablas"/>
              <w:rPr>
                <w:sz w:val="12"/>
                <w:szCs w:val="12"/>
              </w:rPr>
            </w:pPr>
            <w:r w:rsidRPr="00483EBE">
              <w:rPr>
                <w:sz w:val="12"/>
                <w:szCs w:val="12"/>
              </w:rPr>
              <w:t>$3,460</w:t>
            </w:r>
          </w:p>
        </w:tc>
        <w:tc>
          <w:tcPr>
            <w:tcW w:w="0" w:type="auto"/>
            <w:tcBorders>
              <w:top w:val="nil"/>
              <w:left w:val="nil"/>
              <w:bottom w:val="single" w:sz="4" w:space="0" w:color="auto"/>
              <w:right w:val="single" w:sz="4" w:space="0" w:color="auto"/>
            </w:tcBorders>
            <w:shd w:val="clear" w:color="auto" w:fill="auto"/>
            <w:vAlign w:val="center"/>
            <w:hideMark/>
          </w:tcPr>
          <w:p w14:paraId="4D7BB34B" w14:textId="77777777" w:rsidR="00572995" w:rsidRPr="00483EBE" w:rsidRDefault="00572995" w:rsidP="00E8324D">
            <w:pPr>
              <w:pStyle w:val="Tablas"/>
              <w:rPr>
                <w:sz w:val="12"/>
                <w:szCs w:val="12"/>
              </w:rPr>
            </w:pPr>
            <w:r w:rsidRPr="00483EBE">
              <w:rPr>
                <w:sz w:val="12"/>
                <w:szCs w:val="12"/>
              </w:rPr>
              <w:t>$288</w:t>
            </w:r>
          </w:p>
        </w:tc>
        <w:tc>
          <w:tcPr>
            <w:tcW w:w="0" w:type="auto"/>
            <w:tcBorders>
              <w:top w:val="nil"/>
              <w:left w:val="nil"/>
              <w:bottom w:val="single" w:sz="4" w:space="0" w:color="auto"/>
              <w:right w:val="single" w:sz="4" w:space="0" w:color="auto"/>
            </w:tcBorders>
            <w:shd w:val="clear" w:color="auto" w:fill="auto"/>
            <w:vAlign w:val="center"/>
            <w:hideMark/>
          </w:tcPr>
          <w:p w14:paraId="1D9A1C9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C478640" w14:textId="77777777" w:rsidR="00572995" w:rsidRPr="00483EBE" w:rsidRDefault="00572995" w:rsidP="00E8324D">
            <w:pPr>
              <w:pStyle w:val="Tablas"/>
              <w:rPr>
                <w:sz w:val="12"/>
                <w:szCs w:val="12"/>
              </w:rPr>
            </w:pPr>
            <w:r w:rsidRPr="00483EBE">
              <w:rPr>
                <w:sz w:val="12"/>
                <w:szCs w:val="12"/>
              </w:rPr>
              <w:t>SM</w:t>
            </w:r>
          </w:p>
        </w:tc>
      </w:tr>
      <w:tr w:rsidR="00572995" w:rsidRPr="00483EBE" w14:paraId="4B8CF2A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3DCBDF9"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2670E548" w14:textId="77777777" w:rsidR="00572995" w:rsidRPr="00483EBE" w:rsidRDefault="00572995" w:rsidP="00E8324D">
            <w:pPr>
              <w:pStyle w:val="Tablas"/>
              <w:rPr>
                <w:sz w:val="12"/>
                <w:szCs w:val="12"/>
              </w:rPr>
            </w:pPr>
            <w:r w:rsidRPr="00483EBE">
              <w:rPr>
                <w:sz w:val="12"/>
                <w:szCs w:val="12"/>
              </w:rPr>
              <w:t xml:space="preserve">52 </w:t>
            </w:r>
          </w:p>
        </w:tc>
        <w:tc>
          <w:tcPr>
            <w:tcW w:w="0" w:type="auto"/>
            <w:tcBorders>
              <w:top w:val="nil"/>
              <w:left w:val="nil"/>
              <w:bottom w:val="single" w:sz="4" w:space="0" w:color="auto"/>
              <w:right w:val="single" w:sz="4" w:space="0" w:color="auto"/>
            </w:tcBorders>
            <w:shd w:val="clear" w:color="auto" w:fill="auto"/>
            <w:vAlign w:val="center"/>
            <w:hideMark/>
          </w:tcPr>
          <w:p w14:paraId="5418BD3E" w14:textId="77777777" w:rsidR="00572995" w:rsidRPr="00483EBE" w:rsidRDefault="00572995" w:rsidP="00E8324D">
            <w:pPr>
              <w:pStyle w:val="Tablas"/>
              <w:rPr>
                <w:sz w:val="12"/>
                <w:szCs w:val="12"/>
              </w:rPr>
            </w:pPr>
            <w:r w:rsidRPr="00483EBE">
              <w:rPr>
                <w:sz w:val="12"/>
                <w:szCs w:val="12"/>
              </w:rPr>
              <w:t>$73,913</w:t>
            </w:r>
          </w:p>
        </w:tc>
        <w:tc>
          <w:tcPr>
            <w:tcW w:w="0" w:type="auto"/>
            <w:tcBorders>
              <w:top w:val="nil"/>
              <w:left w:val="nil"/>
              <w:bottom w:val="single" w:sz="4" w:space="0" w:color="auto"/>
              <w:right w:val="single" w:sz="4" w:space="0" w:color="auto"/>
            </w:tcBorders>
            <w:shd w:val="clear" w:color="auto" w:fill="auto"/>
            <w:vAlign w:val="center"/>
            <w:hideMark/>
          </w:tcPr>
          <w:p w14:paraId="5420D54E" w14:textId="77777777" w:rsidR="00572995" w:rsidRPr="00483EBE" w:rsidRDefault="00572995" w:rsidP="00E8324D">
            <w:pPr>
              <w:pStyle w:val="Tablas"/>
              <w:rPr>
                <w:sz w:val="12"/>
                <w:szCs w:val="12"/>
              </w:rPr>
            </w:pPr>
            <w:r w:rsidRPr="00483EBE">
              <w:rPr>
                <w:sz w:val="12"/>
                <w:szCs w:val="12"/>
              </w:rPr>
              <w:t>$1,421</w:t>
            </w:r>
          </w:p>
        </w:tc>
        <w:tc>
          <w:tcPr>
            <w:tcW w:w="0" w:type="auto"/>
            <w:tcBorders>
              <w:top w:val="nil"/>
              <w:left w:val="nil"/>
              <w:bottom w:val="single" w:sz="4" w:space="0" w:color="auto"/>
              <w:right w:val="single" w:sz="4" w:space="0" w:color="auto"/>
            </w:tcBorders>
            <w:shd w:val="clear" w:color="auto" w:fill="auto"/>
            <w:vAlign w:val="center"/>
            <w:hideMark/>
          </w:tcPr>
          <w:p w14:paraId="0AA3ECC1"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4DBE4C4E"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8821BE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758FBD"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0318143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DCB36B3" w14:textId="77777777" w:rsidR="00572995" w:rsidRPr="00483EBE" w:rsidRDefault="00572995" w:rsidP="00E8324D">
            <w:pPr>
              <w:pStyle w:val="Tablas"/>
              <w:rPr>
                <w:sz w:val="12"/>
                <w:szCs w:val="12"/>
              </w:rPr>
            </w:pPr>
            <w:r w:rsidRPr="00483EBE">
              <w:rPr>
                <w:sz w:val="12"/>
                <w:szCs w:val="12"/>
              </w:rPr>
              <w:t>$9,862</w:t>
            </w:r>
          </w:p>
        </w:tc>
        <w:tc>
          <w:tcPr>
            <w:tcW w:w="0" w:type="auto"/>
            <w:tcBorders>
              <w:top w:val="nil"/>
              <w:left w:val="nil"/>
              <w:bottom w:val="single" w:sz="4" w:space="0" w:color="auto"/>
              <w:right w:val="single" w:sz="4" w:space="0" w:color="auto"/>
            </w:tcBorders>
            <w:shd w:val="clear" w:color="auto" w:fill="auto"/>
            <w:vAlign w:val="center"/>
            <w:hideMark/>
          </w:tcPr>
          <w:p w14:paraId="07FE52E4" w14:textId="77777777" w:rsidR="00572995" w:rsidRPr="00483EBE" w:rsidRDefault="00572995" w:rsidP="00E8324D">
            <w:pPr>
              <w:pStyle w:val="Tablas"/>
              <w:rPr>
                <w:sz w:val="12"/>
                <w:szCs w:val="12"/>
              </w:rPr>
            </w:pPr>
            <w:r w:rsidRPr="00483EBE">
              <w:rPr>
                <w:sz w:val="12"/>
                <w:szCs w:val="12"/>
              </w:rPr>
              <w:t>$3,287</w:t>
            </w:r>
          </w:p>
        </w:tc>
        <w:tc>
          <w:tcPr>
            <w:tcW w:w="0" w:type="auto"/>
            <w:tcBorders>
              <w:top w:val="nil"/>
              <w:left w:val="nil"/>
              <w:bottom w:val="single" w:sz="4" w:space="0" w:color="auto"/>
              <w:right w:val="single" w:sz="4" w:space="0" w:color="auto"/>
            </w:tcBorders>
            <w:shd w:val="clear" w:color="auto" w:fill="auto"/>
            <w:vAlign w:val="center"/>
            <w:hideMark/>
          </w:tcPr>
          <w:p w14:paraId="42BEA17C" w14:textId="77777777" w:rsidR="00572995" w:rsidRPr="00483EBE" w:rsidRDefault="00572995" w:rsidP="00E8324D">
            <w:pPr>
              <w:pStyle w:val="Tablas"/>
              <w:rPr>
                <w:sz w:val="12"/>
                <w:szCs w:val="12"/>
              </w:rPr>
            </w:pPr>
            <w:r w:rsidRPr="00483EBE">
              <w:rPr>
                <w:sz w:val="12"/>
                <w:szCs w:val="12"/>
              </w:rPr>
              <w:t>$274</w:t>
            </w:r>
          </w:p>
        </w:tc>
        <w:tc>
          <w:tcPr>
            <w:tcW w:w="0" w:type="auto"/>
            <w:tcBorders>
              <w:top w:val="nil"/>
              <w:left w:val="nil"/>
              <w:bottom w:val="single" w:sz="4" w:space="0" w:color="auto"/>
              <w:right w:val="single" w:sz="4" w:space="0" w:color="auto"/>
            </w:tcBorders>
            <w:shd w:val="clear" w:color="auto" w:fill="auto"/>
            <w:vAlign w:val="center"/>
            <w:hideMark/>
          </w:tcPr>
          <w:p w14:paraId="2645F5C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4F2A410" w14:textId="77777777" w:rsidR="00572995" w:rsidRPr="00483EBE" w:rsidRDefault="00572995" w:rsidP="00E8324D">
            <w:pPr>
              <w:pStyle w:val="Tablas"/>
              <w:rPr>
                <w:sz w:val="12"/>
                <w:szCs w:val="12"/>
              </w:rPr>
            </w:pPr>
            <w:r w:rsidRPr="00483EBE">
              <w:rPr>
                <w:sz w:val="12"/>
                <w:szCs w:val="12"/>
              </w:rPr>
              <w:t>SM</w:t>
            </w:r>
          </w:p>
        </w:tc>
      </w:tr>
      <w:tr w:rsidR="00572995" w:rsidRPr="00483EBE" w14:paraId="6BEE57C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94689CC"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222144BB"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715689E1" w14:textId="77777777" w:rsidR="00572995" w:rsidRPr="00483EBE" w:rsidRDefault="00572995" w:rsidP="00E8324D">
            <w:pPr>
              <w:pStyle w:val="Tablas"/>
              <w:rPr>
                <w:sz w:val="12"/>
                <w:szCs w:val="12"/>
              </w:rPr>
            </w:pPr>
            <w:r w:rsidRPr="00483EBE">
              <w:rPr>
                <w:sz w:val="12"/>
                <w:szCs w:val="12"/>
              </w:rPr>
              <w:t>$56,816</w:t>
            </w:r>
          </w:p>
        </w:tc>
        <w:tc>
          <w:tcPr>
            <w:tcW w:w="0" w:type="auto"/>
            <w:tcBorders>
              <w:top w:val="nil"/>
              <w:left w:val="nil"/>
              <w:bottom w:val="single" w:sz="4" w:space="0" w:color="auto"/>
              <w:right w:val="single" w:sz="4" w:space="0" w:color="auto"/>
            </w:tcBorders>
            <w:shd w:val="clear" w:color="auto" w:fill="auto"/>
            <w:vAlign w:val="center"/>
            <w:hideMark/>
          </w:tcPr>
          <w:p w14:paraId="1FF475AD" w14:textId="77777777" w:rsidR="00572995" w:rsidRPr="00483EBE" w:rsidRDefault="00572995" w:rsidP="00E8324D">
            <w:pPr>
              <w:pStyle w:val="Tablas"/>
              <w:rPr>
                <w:sz w:val="12"/>
                <w:szCs w:val="12"/>
              </w:rPr>
            </w:pPr>
            <w:r w:rsidRPr="00483EBE">
              <w:rPr>
                <w:sz w:val="12"/>
                <w:szCs w:val="12"/>
              </w:rPr>
              <w:t>$1,495</w:t>
            </w:r>
          </w:p>
        </w:tc>
        <w:tc>
          <w:tcPr>
            <w:tcW w:w="0" w:type="auto"/>
            <w:tcBorders>
              <w:top w:val="nil"/>
              <w:left w:val="nil"/>
              <w:bottom w:val="single" w:sz="4" w:space="0" w:color="auto"/>
              <w:right w:val="single" w:sz="4" w:space="0" w:color="auto"/>
            </w:tcBorders>
            <w:shd w:val="clear" w:color="auto" w:fill="auto"/>
            <w:vAlign w:val="center"/>
            <w:hideMark/>
          </w:tcPr>
          <w:p w14:paraId="005327EC" w14:textId="77777777" w:rsidR="00572995" w:rsidRPr="00483EBE" w:rsidRDefault="00572995" w:rsidP="00E8324D">
            <w:pPr>
              <w:pStyle w:val="Tablas"/>
              <w:rPr>
                <w:sz w:val="12"/>
                <w:szCs w:val="12"/>
              </w:rPr>
            </w:pPr>
            <w:r w:rsidRPr="00483EBE">
              <w:rPr>
                <w:sz w:val="12"/>
                <w:szCs w:val="12"/>
              </w:rPr>
              <w:t>$125</w:t>
            </w:r>
          </w:p>
        </w:tc>
        <w:tc>
          <w:tcPr>
            <w:tcW w:w="0" w:type="auto"/>
            <w:tcBorders>
              <w:top w:val="nil"/>
              <w:left w:val="nil"/>
              <w:bottom w:val="single" w:sz="4" w:space="0" w:color="auto"/>
              <w:right w:val="single" w:sz="4" w:space="0" w:color="auto"/>
            </w:tcBorders>
            <w:shd w:val="clear" w:color="auto" w:fill="auto"/>
            <w:vAlign w:val="center"/>
            <w:hideMark/>
          </w:tcPr>
          <w:p w14:paraId="112F3372"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AD5646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77A5A6F" w14:textId="77777777" w:rsidR="00572995" w:rsidRPr="00483EBE" w:rsidRDefault="00572995" w:rsidP="00E8324D">
            <w:pPr>
              <w:pStyle w:val="Tablas"/>
              <w:rPr>
                <w:sz w:val="12"/>
                <w:szCs w:val="12"/>
              </w:rPr>
            </w:pPr>
            <w:r w:rsidRPr="00483EBE">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3BEC202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6C9A4B1C" w14:textId="77777777" w:rsidR="00572995" w:rsidRPr="00483EBE" w:rsidRDefault="00572995" w:rsidP="00E8324D">
            <w:pPr>
              <w:pStyle w:val="Tablas"/>
              <w:rPr>
                <w:sz w:val="12"/>
                <w:szCs w:val="12"/>
              </w:rPr>
            </w:pPr>
            <w:r w:rsidRPr="00483EBE">
              <w:rPr>
                <w:sz w:val="12"/>
                <w:szCs w:val="12"/>
              </w:rPr>
              <w:t>$16,173</w:t>
            </w:r>
          </w:p>
        </w:tc>
        <w:tc>
          <w:tcPr>
            <w:tcW w:w="0" w:type="auto"/>
            <w:tcBorders>
              <w:top w:val="nil"/>
              <w:left w:val="nil"/>
              <w:bottom w:val="single" w:sz="4" w:space="0" w:color="auto"/>
              <w:right w:val="single" w:sz="4" w:space="0" w:color="auto"/>
            </w:tcBorders>
            <w:shd w:val="clear" w:color="auto" w:fill="auto"/>
            <w:vAlign w:val="center"/>
            <w:hideMark/>
          </w:tcPr>
          <w:p w14:paraId="7640744B" w14:textId="77777777" w:rsidR="00572995" w:rsidRPr="00483EBE" w:rsidRDefault="00572995" w:rsidP="00E8324D">
            <w:pPr>
              <w:pStyle w:val="Tablas"/>
              <w:rPr>
                <w:sz w:val="12"/>
                <w:szCs w:val="12"/>
              </w:rPr>
            </w:pPr>
            <w:r w:rsidRPr="00483EBE">
              <w:rPr>
                <w:sz w:val="12"/>
                <w:szCs w:val="12"/>
              </w:rPr>
              <w:t>$3,235</w:t>
            </w:r>
          </w:p>
        </w:tc>
        <w:tc>
          <w:tcPr>
            <w:tcW w:w="0" w:type="auto"/>
            <w:tcBorders>
              <w:top w:val="nil"/>
              <w:left w:val="nil"/>
              <w:bottom w:val="single" w:sz="4" w:space="0" w:color="auto"/>
              <w:right w:val="single" w:sz="4" w:space="0" w:color="auto"/>
            </w:tcBorders>
            <w:shd w:val="clear" w:color="auto" w:fill="auto"/>
            <w:vAlign w:val="center"/>
            <w:hideMark/>
          </w:tcPr>
          <w:p w14:paraId="21BA5CA8"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058152C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D525E09" w14:textId="77777777" w:rsidR="00572995" w:rsidRPr="00483EBE" w:rsidRDefault="00572995" w:rsidP="00E8324D">
            <w:pPr>
              <w:pStyle w:val="Tablas"/>
              <w:rPr>
                <w:sz w:val="12"/>
                <w:szCs w:val="12"/>
              </w:rPr>
            </w:pPr>
            <w:r w:rsidRPr="00483EBE">
              <w:rPr>
                <w:sz w:val="12"/>
                <w:szCs w:val="12"/>
              </w:rPr>
              <w:t>SM</w:t>
            </w:r>
          </w:p>
        </w:tc>
      </w:tr>
      <w:tr w:rsidR="00572995" w:rsidRPr="00483EBE" w14:paraId="68EE19B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1A99B2C"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52B2BDD3"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2E293580" w14:textId="77777777" w:rsidR="00572995" w:rsidRPr="00483EBE" w:rsidRDefault="00572995" w:rsidP="00E8324D">
            <w:pPr>
              <w:pStyle w:val="Tablas"/>
              <w:rPr>
                <w:sz w:val="12"/>
                <w:szCs w:val="12"/>
              </w:rPr>
            </w:pPr>
            <w:r w:rsidRPr="00483EBE">
              <w:rPr>
                <w:sz w:val="12"/>
                <w:szCs w:val="12"/>
              </w:rPr>
              <w:t>$47,374</w:t>
            </w:r>
          </w:p>
        </w:tc>
        <w:tc>
          <w:tcPr>
            <w:tcW w:w="0" w:type="auto"/>
            <w:tcBorders>
              <w:top w:val="nil"/>
              <w:left w:val="nil"/>
              <w:bottom w:val="single" w:sz="4" w:space="0" w:color="auto"/>
              <w:right w:val="single" w:sz="4" w:space="0" w:color="auto"/>
            </w:tcBorders>
            <w:shd w:val="clear" w:color="auto" w:fill="auto"/>
            <w:vAlign w:val="center"/>
            <w:hideMark/>
          </w:tcPr>
          <w:p w14:paraId="7DF62DE9" w14:textId="77777777" w:rsidR="00572995" w:rsidRPr="00483EBE" w:rsidRDefault="00572995" w:rsidP="00E8324D">
            <w:pPr>
              <w:pStyle w:val="Tablas"/>
              <w:rPr>
                <w:sz w:val="12"/>
                <w:szCs w:val="12"/>
              </w:rPr>
            </w:pPr>
            <w:r w:rsidRPr="00483EBE">
              <w:rPr>
                <w:sz w:val="12"/>
                <w:szCs w:val="12"/>
              </w:rPr>
              <w:t>$1,155</w:t>
            </w:r>
          </w:p>
        </w:tc>
        <w:tc>
          <w:tcPr>
            <w:tcW w:w="0" w:type="auto"/>
            <w:tcBorders>
              <w:top w:val="nil"/>
              <w:left w:val="nil"/>
              <w:bottom w:val="single" w:sz="4" w:space="0" w:color="auto"/>
              <w:right w:val="single" w:sz="4" w:space="0" w:color="auto"/>
            </w:tcBorders>
            <w:shd w:val="clear" w:color="auto" w:fill="auto"/>
            <w:vAlign w:val="center"/>
            <w:hideMark/>
          </w:tcPr>
          <w:p w14:paraId="684C4F9C"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5296F933"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4E2F81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5446AD"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462816CA"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AFF2937" w14:textId="77777777" w:rsidR="00572995" w:rsidRPr="00483EBE" w:rsidRDefault="00572995" w:rsidP="00E8324D">
            <w:pPr>
              <w:pStyle w:val="Tablas"/>
              <w:rPr>
                <w:sz w:val="12"/>
                <w:szCs w:val="12"/>
              </w:rPr>
            </w:pPr>
            <w:r w:rsidRPr="00483EBE">
              <w:rPr>
                <w:sz w:val="12"/>
                <w:szCs w:val="12"/>
              </w:rPr>
              <w:t>$9,222</w:t>
            </w:r>
          </w:p>
        </w:tc>
        <w:tc>
          <w:tcPr>
            <w:tcW w:w="0" w:type="auto"/>
            <w:tcBorders>
              <w:top w:val="nil"/>
              <w:left w:val="nil"/>
              <w:bottom w:val="single" w:sz="4" w:space="0" w:color="auto"/>
              <w:right w:val="single" w:sz="4" w:space="0" w:color="auto"/>
            </w:tcBorders>
            <w:shd w:val="clear" w:color="auto" w:fill="auto"/>
            <w:vAlign w:val="center"/>
            <w:hideMark/>
          </w:tcPr>
          <w:p w14:paraId="79DCD0AF" w14:textId="77777777" w:rsidR="00572995" w:rsidRPr="00483EBE" w:rsidRDefault="00572995" w:rsidP="00E8324D">
            <w:pPr>
              <w:pStyle w:val="Tablas"/>
              <w:rPr>
                <w:sz w:val="12"/>
                <w:szCs w:val="12"/>
              </w:rPr>
            </w:pPr>
            <w:r w:rsidRPr="00483EBE">
              <w:rPr>
                <w:sz w:val="12"/>
                <w:szCs w:val="12"/>
              </w:rPr>
              <w:t>$3,074</w:t>
            </w:r>
          </w:p>
        </w:tc>
        <w:tc>
          <w:tcPr>
            <w:tcW w:w="0" w:type="auto"/>
            <w:tcBorders>
              <w:top w:val="nil"/>
              <w:left w:val="nil"/>
              <w:bottom w:val="single" w:sz="4" w:space="0" w:color="auto"/>
              <w:right w:val="single" w:sz="4" w:space="0" w:color="auto"/>
            </w:tcBorders>
            <w:shd w:val="clear" w:color="auto" w:fill="auto"/>
            <w:vAlign w:val="center"/>
            <w:hideMark/>
          </w:tcPr>
          <w:p w14:paraId="273EC223" w14:textId="77777777" w:rsidR="00572995" w:rsidRPr="00483EBE" w:rsidRDefault="00572995" w:rsidP="00E8324D">
            <w:pPr>
              <w:pStyle w:val="Tablas"/>
              <w:rPr>
                <w:sz w:val="12"/>
                <w:szCs w:val="12"/>
              </w:rPr>
            </w:pPr>
            <w:r w:rsidRPr="00483EBE">
              <w:rPr>
                <w:sz w:val="12"/>
                <w:szCs w:val="12"/>
              </w:rPr>
              <w:t>$256</w:t>
            </w:r>
          </w:p>
        </w:tc>
        <w:tc>
          <w:tcPr>
            <w:tcW w:w="0" w:type="auto"/>
            <w:tcBorders>
              <w:top w:val="nil"/>
              <w:left w:val="nil"/>
              <w:bottom w:val="single" w:sz="4" w:space="0" w:color="auto"/>
              <w:right w:val="single" w:sz="4" w:space="0" w:color="auto"/>
            </w:tcBorders>
            <w:shd w:val="clear" w:color="auto" w:fill="auto"/>
            <w:vAlign w:val="center"/>
            <w:hideMark/>
          </w:tcPr>
          <w:p w14:paraId="2DAA763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F869424" w14:textId="77777777" w:rsidR="00572995" w:rsidRPr="00483EBE" w:rsidRDefault="00572995" w:rsidP="00E8324D">
            <w:pPr>
              <w:pStyle w:val="Tablas"/>
              <w:rPr>
                <w:sz w:val="12"/>
                <w:szCs w:val="12"/>
              </w:rPr>
            </w:pPr>
            <w:r w:rsidRPr="00483EBE">
              <w:rPr>
                <w:sz w:val="12"/>
                <w:szCs w:val="12"/>
              </w:rPr>
              <w:t>SM</w:t>
            </w:r>
          </w:p>
        </w:tc>
      </w:tr>
      <w:tr w:rsidR="00572995" w:rsidRPr="00483EBE" w14:paraId="4EC11DC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5C9BCE" w14:textId="77777777" w:rsidR="00572995" w:rsidRPr="00483EBE" w:rsidRDefault="00572995" w:rsidP="00E8324D">
            <w:pPr>
              <w:pStyle w:val="Tablas"/>
              <w:rPr>
                <w:sz w:val="12"/>
                <w:szCs w:val="12"/>
              </w:rPr>
            </w:pPr>
            <w:r w:rsidRPr="00483EBE">
              <w:rPr>
                <w:sz w:val="12"/>
                <w:szCs w:val="12"/>
              </w:rPr>
              <w:lastRenderedPageBreak/>
              <w:t>60</w:t>
            </w:r>
          </w:p>
        </w:tc>
        <w:tc>
          <w:tcPr>
            <w:tcW w:w="0" w:type="auto"/>
            <w:tcBorders>
              <w:top w:val="nil"/>
              <w:left w:val="nil"/>
              <w:bottom w:val="single" w:sz="4" w:space="0" w:color="auto"/>
              <w:right w:val="single" w:sz="4" w:space="0" w:color="auto"/>
            </w:tcBorders>
            <w:shd w:val="clear" w:color="auto" w:fill="auto"/>
            <w:vAlign w:val="center"/>
            <w:hideMark/>
          </w:tcPr>
          <w:p w14:paraId="28D1F505"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19B189B9" w14:textId="77777777" w:rsidR="00572995" w:rsidRPr="00483EBE" w:rsidRDefault="00572995" w:rsidP="00E8324D">
            <w:pPr>
              <w:pStyle w:val="Tablas"/>
              <w:rPr>
                <w:sz w:val="12"/>
                <w:szCs w:val="12"/>
              </w:rPr>
            </w:pPr>
            <w:r w:rsidRPr="00483EBE">
              <w:rPr>
                <w:sz w:val="12"/>
                <w:szCs w:val="12"/>
              </w:rPr>
              <w:t>$45,209</w:t>
            </w:r>
          </w:p>
        </w:tc>
        <w:tc>
          <w:tcPr>
            <w:tcW w:w="0" w:type="auto"/>
            <w:tcBorders>
              <w:top w:val="nil"/>
              <w:left w:val="nil"/>
              <w:bottom w:val="single" w:sz="4" w:space="0" w:color="auto"/>
              <w:right w:val="single" w:sz="4" w:space="0" w:color="auto"/>
            </w:tcBorders>
            <w:shd w:val="clear" w:color="auto" w:fill="auto"/>
            <w:vAlign w:val="center"/>
            <w:hideMark/>
          </w:tcPr>
          <w:p w14:paraId="4AFD4DEE" w14:textId="77777777" w:rsidR="00572995" w:rsidRPr="00483EBE" w:rsidRDefault="00572995" w:rsidP="00E8324D">
            <w:pPr>
              <w:pStyle w:val="Tablas"/>
              <w:rPr>
                <w:sz w:val="12"/>
                <w:szCs w:val="12"/>
              </w:rPr>
            </w:pPr>
            <w:r w:rsidRPr="00483EBE">
              <w:rPr>
                <w:sz w:val="12"/>
                <w:szCs w:val="12"/>
              </w:rPr>
              <w:t>$1,292</w:t>
            </w:r>
          </w:p>
        </w:tc>
        <w:tc>
          <w:tcPr>
            <w:tcW w:w="0" w:type="auto"/>
            <w:tcBorders>
              <w:top w:val="nil"/>
              <w:left w:val="nil"/>
              <w:bottom w:val="single" w:sz="4" w:space="0" w:color="auto"/>
              <w:right w:val="single" w:sz="4" w:space="0" w:color="auto"/>
            </w:tcBorders>
            <w:shd w:val="clear" w:color="auto" w:fill="auto"/>
            <w:vAlign w:val="center"/>
            <w:hideMark/>
          </w:tcPr>
          <w:p w14:paraId="72A3877D"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0691B30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E8F089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04A316B"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6956D386"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42FDAD0C" w14:textId="77777777" w:rsidR="00572995" w:rsidRPr="00483EBE" w:rsidRDefault="00572995" w:rsidP="00E8324D">
            <w:pPr>
              <w:pStyle w:val="Tablas"/>
              <w:rPr>
                <w:sz w:val="12"/>
                <w:szCs w:val="12"/>
              </w:rPr>
            </w:pPr>
            <w:r w:rsidRPr="00483EBE">
              <w:rPr>
                <w:sz w:val="12"/>
                <w:szCs w:val="12"/>
              </w:rPr>
              <w:t>$36,369</w:t>
            </w:r>
          </w:p>
        </w:tc>
        <w:tc>
          <w:tcPr>
            <w:tcW w:w="0" w:type="auto"/>
            <w:tcBorders>
              <w:top w:val="nil"/>
              <w:left w:val="nil"/>
              <w:bottom w:val="single" w:sz="4" w:space="0" w:color="auto"/>
              <w:right w:val="single" w:sz="4" w:space="0" w:color="auto"/>
            </w:tcBorders>
            <w:shd w:val="clear" w:color="auto" w:fill="auto"/>
            <w:vAlign w:val="center"/>
            <w:hideMark/>
          </w:tcPr>
          <w:p w14:paraId="18E47862" w14:textId="77777777" w:rsidR="00572995" w:rsidRPr="00483EBE" w:rsidRDefault="00572995" w:rsidP="00E8324D">
            <w:pPr>
              <w:pStyle w:val="Tablas"/>
              <w:rPr>
                <w:sz w:val="12"/>
                <w:szCs w:val="12"/>
              </w:rPr>
            </w:pPr>
            <w:r w:rsidRPr="00483EBE">
              <w:rPr>
                <w:sz w:val="12"/>
                <w:szCs w:val="12"/>
              </w:rPr>
              <w:t>$3,306</w:t>
            </w:r>
          </w:p>
        </w:tc>
        <w:tc>
          <w:tcPr>
            <w:tcW w:w="0" w:type="auto"/>
            <w:tcBorders>
              <w:top w:val="nil"/>
              <w:left w:val="nil"/>
              <w:bottom w:val="single" w:sz="4" w:space="0" w:color="auto"/>
              <w:right w:val="single" w:sz="4" w:space="0" w:color="auto"/>
            </w:tcBorders>
            <w:shd w:val="clear" w:color="auto" w:fill="auto"/>
            <w:vAlign w:val="center"/>
            <w:hideMark/>
          </w:tcPr>
          <w:p w14:paraId="0FEB04F9" w14:textId="77777777" w:rsidR="00572995" w:rsidRPr="00483EBE" w:rsidRDefault="00572995" w:rsidP="00E8324D">
            <w:pPr>
              <w:pStyle w:val="Tablas"/>
              <w:rPr>
                <w:sz w:val="12"/>
                <w:szCs w:val="12"/>
              </w:rPr>
            </w:pPr>
            <w:r w:rsidRPr="00483EBE">
              <w:rPr>
                <w:sz w:val="12"/>
                <w:szCs w:val="12"/>
              </w:rPr>
              <w:t>$276</w:t>
            </w:r>
          </w:p>
        </w:tc>
        <w:tc>
          <w:tcPr>
            <w:tcW w:w="0" w:type="auto"/>
            <w:tcBorders>
              <w:top w:val="nil"/>
              <w:left w:val="nil"/>
              <w:bottom w:val="single" w:sz="4" w:space="0" w:color="auto"/>
              <w:right w:val="single" w:sz="4" w:space="0" w:color="auto"/>
            </w:tcBorders>
            <w:shd w:val="clear" w:color="auto" w:fill="auto"/>
            <w:vAlign w:val="center"/>
            <w:hideMark/>
          </w:tcPr>
          <w:p w14:paraId="462A6EDE"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4EC0D24" w14:textId="77777777" w:rsidR="00572995" w:rsidRPr="00483EBE" w:rsidRDefault="00572995" w:rsidP="00E8324D">
            <w:pPr>
              <w:pStyle w:val="Tablas"/>
              <w:rPr>
                <w:sz w:val="12"/>
                <w:szCs w:val="12"/>
              </w:rPr>
            </w:pPr>
            <w:r w:rsidRPr="00483EBE">
              <w:rPr>
                <w:sz w:val="12"/>
                <w:szCs w:val="12"/>
              </w:rPr>
              <w:t>SM</w:t>
            </w:r>
          </w:p>
        </w:tc>
      </w:tr>
      <w:tr w:rsidR="00572995" w:rsidRPr="00483EBE" w14:paraId="44772D2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9F62BB"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3A9B962C"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7DDCE195" w14:textId="77777777" w:rsidR="00572995" w:rsidRPr="00483EBE" w:rsidRDefault="00572995" w:rsidP="00E8324D">
            <w:pPr>
              <w:pStyle w:val="Tablas"/>
              <w:rPr>
                <w:sz w:val="12"/>
                <w:szCs w:val="12"/>
              </w:rPr>
            </w:pPr>
            <w:r w:rsidRPr="00483EBE">
              <w:rPr>
                <w:sz w:val="12"/>
                <w:szCs w:val="12"/>
              </w:rPr>
              <w:t>$40,620</w:t>
            </w:r>
          </w:p>
        </w:tc>
        <w:tc>
          <w:tcPr>
            <w:tcW w:w="0" w:type="auto"/>
            <w:tcBorders>
              <w:top w:val="nil"/>
              <w:left w:val="nil"/>
              <w:bottom w:val="single" w:sz="4" w:space="0" w:color="auto"/>
              <w:right w:val="single" w:sz="4" w:space="0" w:color="auto"/>
            </w:tcBorders>
            <w:shd w:val="clear" w:color="auto" w:fill="auto"/>
            <w:vAlign w:val="center"/>
            <w:hideMark/>
          </w:tcPr>
          <w:p w14:paraId="1DC71BE6" w14:textId="77777777" w:rsidR="00572995" w:rsidRPr="00483EBE" w:rsidRDefault="00572995" w:rsidP="00E8324D">
            <w:pPr>
              <w:pStyle w:val="Tablas"/>
              <w:rPr>
                <w:sz w:val="12"/>
                <w:szCs w:val="12"/>
              </w:rPr>
            </w:pPr>
            <w:r w:rsidRPr="00483EBE">
              <w:rPr>
                <w:sz w:val="12"/>
                <w:szCs w:val="12"/>
              </w:rPr>
              <w:t>$1,354</w:t>
            </w:r>
          </w:p>
        </w:tc>
        <w:tc>
          <w:tcPr>
            <w:tcW w:w="0" w:type="auto"/>
            <w:tcBorders>
              <w:top w:val="nil"/>
              <w:left w:val="nil"/>
              <w:bottom w:val="single" w:sz="4" w:space="0" w:color="auto"/>
              <w:right w:val="single" w:sz="4" w:space="0" w:color="auto"/>
            </w:tcBorders>
            <w:shd w:val="clear" w:color="auto" w:fill="auto"/>
            <w:vAlign w:val="center"/>
            <w:hideMark/>
          </w:tcPr>
          <w:p w14:paraId="7A860950"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03203C33"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6B2270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8F06DC"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39073148"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63FA5C2A" w14:textId="77777777" w:rsidR="00572995" w:rsidRPr="00483EBE" w:rsidRDefault="00572995" w:rsidP="00E8324D">
            <w:pPr>
              <w:pStyle w:val="Tablas"/>
              <w:rPr>
                <w:sz w:val="12"/>
                <w:szCs w:val="12"/>
              </w:rPr>
            </w:pPr>
            <w:r w:rsidRPr="00483EBE">
              <w:rPr>
                <w:sz w:val="12"/>
                <w:szCs w:val="12"/>
              </w:rPr>
              <w:t>$31,087</w:t>
            </w:r>
          </w:p>
        </w:tc>
        <w:tc>
          <w:tcPr>
            <w:tcW w:w="0" w:type="auto"/>
            <w:tcBorders>
              <w:top w:val="nil"/>
              <w:left w:val="nil"/>
              <w:bottom w:val="single" w:sz="4" w:space="0" w:color="auto"/>
              <w:right w:val="single" w:sz="4" w:space="0" w:color="auto"/>
            </w:tcBorders>
            <w:shd w:val="clear" w:color="auto" w:fill="auto"/>
            <w:vAlign w:val="center"/>
            <w:hideMark/>
          </w:tcPr>
          <w:p w14:paraId="16AE9C44" w14:textId="77777777" w:rsidR="00572995" w:rsidRPr="00483EBE" w:rsidRDefault="00572995" w:rsidP="00E8324D">
            <w:pPr>
              <w:pStyle w:val="Tablas"/>
              <w:rPr>
                <w:sz w:val="12"/>
                <w:szCs w:val="12"/>
              </w:rPr>
            </w:pPr>
            <w:r w:rsidRPr="00483EBE">
              <w:rPr>
                <w:sz w:val="12"/>
                <w:szCs w:val="12"/>
              </w:rPr>
              <w:t>$3,109</w:t>
            </w:r>
          </w:p>
        </w:tc>
        <w:tc>
          <w:tcPr>
            <w:tcW w:w="0" w:type="auto"/>
            <w:tcBorders>
              <w:top w:val="nil"/>
              <w:left w:val="nil"/>
              <w:bottom w:val="single" w:sz="4" w:space="0" w:color="auto"/>
              <w:right w:val="single" w:sz="4" w:space="0" w:color="auto"/>
            </w:tcBorders>
            <w:shd w:val="clear" w:color="auto" w:fill="auto"/>
            <w:vAlign w:val="center"/>
            <w:hideMark/>
          </w:tcPr>
          <w:p w14:paraId="43AD8A7C" w14:textId="77777777" w:rsidR="00572995" w:rsidRPr="00483EBE" w:rsidRDefault="00572995" w:rsidP="00E8324D">
            <w:pPr>
              <w:pStyle w:val="Tablas"/>
              <w:rPr>
                <w:sz w:val="12"/>
                <w:szCs w:val="12"/>
              </w:rPr>
            </w:pPr>
            <w:r w:rsidRPr="00483EBE">
              <w:rPr>
                <w:sz w:val="12"/>
                <w:szCs w:val="12"/>
              </w:rPr>
              <w:t>$259</w:t>
            </w:r>
          </w:p>
        </w:tc>
        <w:tc>
          <w:tcPr>
            <w:tcW w:w="0" w:type="auto"/>
            <w:tcBorders>
              <w:top w:val="nil"/>
              <w:left w:val="nil"/>
              <w:bottom w:val="single" w:sz="4" w:space="0" w:color="auto"/>
              <w:right w:val="single" w:sz="4" w:space="0" w:color="auto"/>
            </w:tcBorders>
            <w:shd w:val="clear" w:color="auto" w:fill="auto"/>
            <w:vAlign w:val="center"/>
            <w:hideMark/>
          </w:tcPr>
          <w:p w14:paraId="73A69035"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7F7474D" w14:textId="77777777" w:rsidR="00572995" w:rsidRPr="00483EBE" w:rsidRDefault="00572995" w:rsidP="00E8324D">
            <w:pPr>
              <w:pStyle w:val="Tablas"/>
              <w:rPr>
                <w:sz w:val="12"/>
                <w:szCs w:val="12"/>
              </w:rPr>
            </w:pPr>
            <w:r w:rsidRPr="00483EBE">
              <w:rPr>
                <w:sz w:val="12"/>
                <w:szCs w:val="12"/>
              </w:rPr>
              <w:t>SM</w:t>
            </w:r>
          </w:p>
        </w:tc>
      </w:tr>
      <w:tr w:rsidR="00572995" w:rsidRPr="00483EBE" w14:paraId="1686F9E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0C7615"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181AC498"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55F4C133" w14:textId="77777777" w:rsidR="00572995" w:rsidRPr="00483EBE" w:rsidRDefault="00572995" w:rsidP="00E8324D">
            <w:pPr>
              <w:pStyle w:val="Tablas"/>
              <w:rPr>
                <w:sz w:val="12"/>
                <w:szCs w:val="12"/>
              </w:rPr>
            </w:pPr>
            <w:r w:rsidRPr="00483EBE">
              <w:rPr>
                <w:sz w:val="12"/>
                <w:szCs w:val="12"/>
              </w:rPr>
              <w:t>$58,448</w:t>
            </w:r>
          </w:p>
        </w:tc>
        <w:tc>
          <w:tcPr>
            <w:tcW w:w="0" w:type="auto"/>
            <w:tcBorders>
              <w:top w:val="nil"/>
              <w:left w:val="nil"/>
              <w:bottom w:val="single" w:sz="4" w:space="0" w:color="auto"/>
              <w:right w:val="single" w:sz="4" w:space="0" w:color="auto"/>
            </w:tcBorders>
            <w:shd w:val="clear" w:color="auto" w:fill="auto"/>
            <w:vAlign w:val="center"/>
            <w:hideMark/>
          </w:tcPr>
          <w:p w14:paraId="29A4B465" w14:textId="77777777" w:rsidR="00572995" w:rsidRPr="00483EBE" w:rsidRDefault="00572995" w:rsidP="00E8324D">
            <w:pPr>
              <w:pStyle w:val="Tablas"/>
              <w:rPr>
                <w:sz w:val="12"/>
                <w:szCs w:val="12"/>
              </w:rPr>
            </w:pPr>
            <w:r w:rsidRPr="00483EBE">
              <w:rPr>
                <w:sz w:val="12"/>
                <w:szCs w:val="12"/>
              </w:rPr>
              <w:t>$1,538</w:t>
            </w:r>
          </w:p>
        </w:tc>
        <w:tc>
          <w:tcPr>
            <w:tcW w:w="0" w:type="auto"/>
            <w:tcBorders>
              <w:top w:val="nil"/>
              <w:left w:val="nil"/>
              <w:bottom w:val="single" w:sz="4" w:space="0" w:color="auto"/>
              <w:right w:val="single" w:sz="4" w:space="0" w:color="auto"/>
            </w:tcBorders>
            <w:shd w:val="clear" w:color="auto" w:fill="auto"/>
            <w:vAlign w:val="center"/>
            <w:hideMark/>
          </w:tcPr>
          <w:p w14:paraId="2EA94BA0" w14:textId="77777777" w:rsidR="00572995" w:rsidRPr="00483EBE" w:rsidRDefault="00572995" w:rsidP="00E8324D">
            <w:pPr>
              <w:pStyle w:val="Tablas"/>
              <w:rPr>
                <w:sz w:val="12"/>
                <w:szCs w:val="12"/>
              </w:rPr>
            </w:pPr>
            <w:r w:rsidRPr="00483EBE">
              <w:rPr>
                <w:sz w:val="12"/>
                <w:szCs w:val="12"/>
              </w:rPr>
              <w:t>$128</w:t>
            </w:r>
          </w:p>
        </w:tc>
        <w:tc>
          <w:tcPr>
            <w:tcW w:w="0" w:type="auto"/>
            <w:tcBorders>
              <w:top w:val="nil"/>
              <w:left w:val="nil"/>
              <w:bottom w:val="single" w:sz="4" w:space="0" w:color="auto"/>
              <w:right w:val="single" w:sz="4" w:space="0" w:color="auto"/>
            </w:tcBorders>
            <w:shd w:val="clear" w:color="auto" w:fill="auto"/>
            <w:vAlign w:val="center"/>
            <w:hideMark/>
          </w:tcPr>
          <w:p w14:paraId="2FC71729"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3D0582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AD2F5AF"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3A281DC8"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300B4804" w14:textId="77777777" w:rsidR="00572995" w:rsidRPr="00483EBE" w:rsidRDefault="00572995" w:rsidP="00E8324D">
            <w:pPr>
              <w:pStyle w:val="Tablas"/>
              <w:rPr>
                <w:sz w:val="12"/>
                <w:szCs w:val="12"/>
              </w:rPr>
            </w:pPr>
            <w:r w:rsidRPr="00483EBE">
              <w:rPr>
                <w:sz w:val="12"/>
                <w:szCs w:val="12"/>
              </w:rPr>
              <w:t>$35,993</w:t>
            </w:r>
          </w:p>
        </w:tc>
        <w:tc>
          <w:tcPr>
            <w:tcW w:w="0" w:type="auto"/>
            <w:tcBorders>
              <w:top w:val="nil"/>
              <w:left w:val="nil"/>
              <w:bottom w:val="single" w:sz="4" w:space="0" w:color="auto"/>
              <w:right w:val="single" w:sz="4" w:space="0" w:color="auto"/>
            </w:tcBorders>
            <w:shd w:val="clear" w:color="auto" w:fill="auto"/>
            <w:vAlign w:val="center"/>
            <w:hideMark/>
          </w:tcPr>
          <w:p w14:paraId="3BD68A6F" w14:textId="77777777" w:rsidR="00572995" w:rsidRPr="00483EBE" w:rsidRDefault="00572995" w:rsidP="00E8324D">
            <w:pPr>
              <w:pStyle w:val="Tablas"/>
              <w:rPr>
                <w:sz w:val="12"/>
                <w:szCs w:val="12"/>
              </w:rPr>
            </w:pPr>
            <w:r w:rsidRPr="00483EBE">
              <w:rPr>
                <w:sz w:val="12"/>
                <w:szCs w:val="12"/>
              </w:rPr>
              <w:t>$3,272</w:t>
            </w:r>
          </w:p>
        </w:tc>
        <w:tc>
          <w:tcPr>
            <w:tcW w:w="0" w:type="auto"/>
            <w:tcBorders>
              <w:top w:val="nil"/>
              <w:left w:val="nil"/>
              <w:bottom w:val="single" w:sz="4" w:space="0" w:color="auto"/>
              <w:right w:val="single" w:sz="4" w:space="0" w:color="auto"/>
            </w:tcBorders>
            <w:shd w:val="clear" w:color="auto" w:fill="auto"/>
            <w:vAlign w:val="center"/>
            <w:hideMark/>
          </w:tcPr>
          <w:p w14:paraId="30899B04"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2A0CC85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76F5E71" w14:textId="77777777" w:rsidR="00572995" w:rsidRPr="00483EBE" w:rsidRDefault="00572995" w:rsidP="00E8324D">
            <w:pPr>
              <w:pStyle w:val="Tablas"/>
              <w:rPr>
                <w:sz w:val="12"/>
                <w:szCs w:val="12"/>
              </w:rPr>
            </w:pPr>
            <w:r w:rsidRPr="00483EBE">
              <w:rPr>
                <w:sz w:val="12"/>
                <w:szCs w:val="12"/>
              </w:rPr>
              <w:t>SM</w:t>
            </w:r>
          </w:p>
        </w:tc>
      </w:tr>
      <w:tr w:rsidR="00572995" w:rsidRPr="00483EBE" w14:paraId="01E6CAF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2DFF7D"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26AF3FD2"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2C3013DD" w14:textId="77777777" w:rsidR="00572995" w:rsidRPr="00483EBE" w:rsidRDefault="00572995" w:rsidP="00E8324D">
            <w:pPr>
              <w:pStyle w:val="Tablas"/>
              <w:rPr>
                <w:sz w:val="12"/>
                <w:szCs w:val="12"/>
              </w:rPr>
            </w:pPr>
            <w:r w:rsidRPr="00483EBE">
              <w:rPr>
                <w:sz w:val="12"/>
                <w:szCs w:val="12"/>
              </w:rPr>
              <w:t>$50,378</w:t>
            </w:r>
          </w:p>
        </w:tc>
        <w:tc>
          <w:tcPr>
            <w:tcW w:w="0" w:type="auto"/>
            <w:tcBorders>
              <w:top w:val="nil"/>
              <w:left w:val="nil"/>
              <w:bottom w:val="single" w:sz="4" w:space="0" w:color="auto"/>
              <w:right w:val="single" w:sz="4" w:space="0" w:color="auto"/>
            </w:tcBorders>
            <w:shd w:val="clear" w:color="auto" w:fill="auto"/>
            <w:vAlign w:val="center"/>
            <w:hideMark/>
          </w:tcPr>
          <w:p w14:paraId="4B76BE15" w14:textId="77777777" w:rsidR="00572995" w:rsidRPr="00483EBE" w:rsidRDefault="00572995" w:rsidP="00E8324D">
            <w:pPr>
              <w:pStyle w:val="Tablas"/>
              <w:rPr>
                <w:sz w:val="12"/>
                <w:szCs w:val="12"/>
              </w:rPr>
            </w:pPr>
            <w:r w:rsidRPr="00483EBE">
              <w:rPr>
                <w:sz w:val="12"/>
                <w:szCs w:val="12"/>
              </w:rPr>
              <w:t>$1,439</w:t>
            </w:r>
          </w:p>
        </w:tc>
        <w:tc>
          <w:tcPr>
            <w:tcW w:w="0" w:type="auto"/>
            <w:tcBorders>
              <w:top w:val="nil"/>
              <w:left w:val="nil"/>
              <w:bottom w:val="single" w:sz="4" w:space="0" w:color="auto"/>
              <w:right w:val="single" w:sz="4" w:space="0" w:color="auto"/>
            </w:tcBorders>
            <w:shd w:val="clear" w:color="auto" w:fill="auto"/>
            <w:vAlign w:val="center"/>
            <w:hideMark/>
          </w:tcPr>
          <w:p w14:paraId="2566F955"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7A77F33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6BA6DC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913562C"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15DDA3C3"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72E03825" w14:textId="77777777" w:rsidR="00572995" w:rsidRPr="00483EBE" w:rsidRDefault="00572995" w:rsidP="00E8324D">
            <w:pPr>
              <w:pStyle w:val="Tablas"/>
              <w:rPr>
                <w:sz w:val="12"/>
                <w:szCs w:val="12"/>
              </w:rPr>
            </w:pPr>
            <w:r w:rsidRPr="00483EBE">
              <w:rPr>
                <w:sz w:val="12"/>
                <w:szCs w:val="12"/>
              </w:rPr>
              <w:t>$25,534</w:t>
            </w:r>
          </w:p>
        </w:tc>
        <w:tc>
          <w:tcPr>
            <w:tcW w:w="0" w:type="auto"/>
            <w:tcBorders>
              <w:top w:val="nil"/>
              <w:left w:val="nil"/>
              <w:bottom w:val="single" w:sz="4" w:space="0" w:color="auto"/>
              <w:right w:val="single" w:sz="4" w:space="0" w:color="auto"/>
            </w:tcBorders>
            <w:shd w:val="clear" w:color="auto" w:fill="auto"/>
            <w:vAlign w:val="center"/>
            <w:hideMark/>
          </w:tcPr>
          <w:p w14:paraId="1ED6C826" w14:textId="77777777" w:rsidR="00572995" w:rsidRPr="00483EBE" w:rsidRDefault="00572995" w:rsidP="00E8324D">
            <w:pPr>
              <w:pStyle w:val="Tablas"/>
              <w:rPr>
                <w:sz w:val="12"/>
                <w:szCs w:val="12"/>
              </w:rPr>
            </w:pPr>
            <w:r w:rsidRPr="00483EBE">
              <w:rPr>
                <w:sz w:val="12"/>
                <w:szCs w:val="12"/>
              </w:rPr>
              <w:t>$3,192</w:t>
            </w:r>
          </w:p>
        </w:tc>
        <w:tc>
          <w:tcPr>
            <w:tcW w:w="0" w:type="auto"/>
            <w:tcBorders>
              <w:top w:val="nil"/>
              <w:left w:val="nil"/>
              <w:bottom w:val="single" w:sz="4" w:space="0" w:color="auto"/>
              <w:right w:val="single" w:sz="4" w:space="0" w:color="auto"/>
            </w:tcBorders>
            <w:shd w:val="clear" w:color="auto" w:fill="auto"/>
            <w:vAlign w:val="center"/>
            <w:hideMark/>
          </w:tcPr>
          <w:p w14:paraId="30C91214" w14:textId="77777777" w:rsidR="00572995" w:rsidRPr="00483EBE" w:rsidRDefault="00572995" w:rsidP="00E8324D">
            <w:pPr>
              <w:pStyle w:val="Tablas"/>
              <w:rPr>
                <w:sz w:val="12"/>
                <w:szCs w:val="12"/>
              </w:rPr>
            </w:pPr>
            <w:r w:rsidRPr="00483EBE">
              <w:rPr>
                <w:sz w:val="12"/>
                <w:szCs w:val="12"/>
              </w:rPr>
              <w:t>$266</w:t>
            </w:r>
          </w:p>
        </w:tc>
        <w:tc>
          <w:tcPr>
            <w:tcW w:w="0" w:type="auto"/>
            <w:tcBorders>
              <w:top w:val="nil"/>
              <w:left w:val="nil"/>
              <w:bottom w:val="single" w:sz="4" w:space="0" w:color="auto"/>
              <w:right w:val="single" w:sz="4" w:space="0" w:color="auto"/>
            </w:tcBorders>
            <w:shd w:val="clear" w:color="auto" w:fill="auto"/>
            <w:vAlign w:val="center"/>
            <w:hideMark/>
          </w:tcPr>
          <w:p w14:paraId="2CC74C8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4D09B68" w14:textId="77777777" w:rsidR="00572995" w:rsidRPr="00483EBE" w:rsidRDefault="00572995" w:rsidP="00E8324D">
            <w:pPr>
              <w:pStyle w:val="Tablas"/>
              <w:rPr>
                <w:sz w:val="12"/>
                <w:szCs w:val="12"/>
              </w:rPr>
            </w:pPr>
            <w:r w:rsidRPr="00483EBE">
              <w:rPr>
                <w:sz w:val="12"/>
                <w:szCs w:val="12"/>
              </w:rPr>
              <w:t>SM</w:t>
            </w:r>
          </w:p>
        </w:tc>
      </w:tr>
      <w:tr w:rsidR="00572995" w:rsidRPr="00483EBE" w14:paraId="02960E3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E05F619"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15BEDAAE"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55D7F52A" w14:textId="77777777" w:rsidR="00572995" w:rsidRPr="00483EBE" w:rsidRDefault="00572995" w:rsidP="00E8324D">
            <w:pPr>
              <w:pStyle w:val="Tablas"/>
              <w:rPr>
                <w:sz w:val="12"/>
                <w:szCs w:val="12"/>
              </w:rPr>
            </w:pPr>
            <w:r w:rsidRPr="00483EBE">
              <w:rPr>
                <w:sz w:val="12"/>
                <w:szCs w:val="12"/>
              </w:rPr>
              <w:t>$28,898</w:t>
            </w:r>
          </w:p>
        </w:tc>
        <w:tc>
          <w:tcPr>
            <w:tcW w:w="0" w:type="auto"/>
            <w:tcBorders>
              <w:top w:val="nil"/>
              <w:left w:val="nil"/>
              <w:bottom w:val="single" w:sz="4" w:space="0" w:color="auto"/>
              <w:right w:val="single" w:sz="4" w:space="0" w:color="auto"/>
            </w:tcBorders>
            <w:shd w:val="clear" w:color="auto" w:fill="auto"/>
            <w:vAlign w:val="center"/>
            <w:hideMark/>
          </w:tcPr>
          <w:p w14:paraId="58E52FB0" w14:textId="77777777" w:rsidR="00572995" w:rsidRPr="00483EBE" w:rsidRDefault="00572995" w:rsidP="00E8324D">
            <w:pPr>
              <w:pStyle w:val="Tablas"/>
              <w:rPr>
                <w:sz w:val="12"/>
                <w:szCs w:val="12"/>
              </w:rPr>
            </w:pPr>
            <w:r w:rsidRPr="00483EBE">
              <w:rPr>
                <w:sz w:val="12"/>
                <w:szCs w:val="12"/>
              </w:rPr>
              <w:t>$1,376</w:t>
            </w:r>
          </w:p>
        </w:tc>
        <w:tc>
          <w:tcPr>
            <w:tcW w:w="0" w:type="auto"/>
            <w:tcBorders>
              <w:top w:val="nil"/>
              <w:left w:val="nil"/>
              <w:bottom w:val="single" w:sz="4" w:space="0" w:color="auto"/>
              <w:right w:val="single" w:sz="4" w:space="0" w:color="auto"/>
            </w:tcBorders>
            <w:shd w:val="clear" w:color="auto" w:fill="auto"/>
            <w:vAlign w:val="center"/>
            <w:hideMark/>
          </w:tcPr>
          <w:p w14:paraId="6B634E33" w14:textId="77777777" w:rsidR="00572995" w:rsidRPr="00483EBE" w:rsidRDefault="00572995" w:rsidP="00E8324D">
            <w:pPr>
              <w:pStyle w:val="Tablas"/>
              <w:rPr>
                <w:sz w:val="12"/>
                <w:szCs w:val="12"/>
              </w:rPr>
            </w:pPr>
            <w:r w:rsidRPr="00483EBE">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5BBBDD82"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12D9C1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DCB0735"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50E07410"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4DD174A9" w14:textId="77777777" w:rsidR="00572995" w:rsidRPr="00483EBE" w:rsidRDefault="00572995" w:rsidP="00E8324D">
            <w:pPr>
              <w:pStyle w:val="Tablas"/>
              <w:rPr>
                <w:sz w:val="12"/>
                <w:szCs w:val="12"/>
              </w:rPr>
            </w:pPr>
            <w:r w:rsidRPr="00483EBE">
              <w:rPr>
                <w:sz w:val="12"/>
                <w:szCs w:val="12"/>
              </w:rPr>
              <w:t>$25,233</w:t>
            </w:r>
          </w:p>
        </w:tc>
        <w:tc>
          <w:tcPr>
            <w:tcW w:w="0" w:type="auto"/>
            <w:tcBorders>
              <w:top w:val="nil"/>
              <w:left w:val="nil"/>
              <w:bottom w:val="single" w:sz="4" w:space="0" w:color="auto"/>
              <w:right w:val="single" w:sz="4" w:space="0" w:color="auto"/>
            </w:tcBorders>
            <w:shd w:val="clear" w:color="auto" w:fill="auto"/>
            <w:vAlign w:val="center"/>
            <w:hideMark/>
          </w:tcPr>
          <w:p w14:paraId="777551FB" w14:textId="77777777" w:rsidR="00572995" w:rsidRPr="00483EBE" w:rsidRDefault="00572995" w:rsidP="00E8324D">
            <w:pPr>
              <w:pStyle w:val="Tablas"/>
              <w:rPr>
                <w:sz w:val="12"/>
                <w:szCs w:val="12"/>
              </w:rPr>
            </w:pPr>
            <w:r w:rsidRPr="00483EBE">
              <w:rPr>
                <w:sz w:val="12"/>
                <w:szCs w:val="12"/>
              </w:rPr>
              <w:t>$3,154</w:t>
            </w:r>
          </w:p>
        </w:tc>
        <w:tc>
          <w:tcPr>
            <w:tcW w:w="0" w:type="auto"/>
            <w:tcBorders>
              <w:top w:val="nil"/>
              <w:left w:val="nil"/>
              <w:bottom w:val="single" w:sz="4" w:space="0" w:color="auto"/>
              <w:right w:val="single" w:sz="4" w:space="0" w:color="auto"/>
            </w:tcBorders>
            <w:shd w:val="clear" w:color="auto" w:fill="auto"/>
            <w:vAlign w:val="center"/>
            <w:hideMark/>
          </w:tcPr>
          <w:p w14:paraId="6AD6FB2C"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546EC3E4"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85DD3E0" w14:textId="77777777" w:rsidR="00572995" w:rsidRPr="00483EBE" w:rsidRDefault="00572995" w:rsidP="00E8324D">
            <w:pPr>
              <w:pStyle w:val="Tablas"/>
              <w:rPr>
                <w:sz w:val="12"/>
                <w:szCs w:val="12"/>
              </w:rPr>
            </w:pPr>
            <w:r w:rsidRPr="00483EBE">
              <w:rPr>
                <w:sz w:val="12"/>
                <w:szCs w:val="12"/>
              </w:rPr>
              <w:t>SM</w:t>
            </w:r>
          </w:p>
        </w:tc>
      </w:tr>
      <w:tr w:rsidR="00572995" w:rsidRPr="00483EBE" w14:paraId="5773DCD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AD4081"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7E9088DA"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09DF0AEF" w14:textId="77777777" w:rsidR="00572995" w:rsidRPr="00483EBE" w:rsidRDefault="00572995" w:rsidP="00E8324D">
            <w:pPr>
              <w:pStyle w:val="Tablas"/>
              <w:rPr>
                <w:sz w:val="12"/>
                <w:szCs w:val="12"/>
              </w:rPr>
            </w:pPr>
            <w:r w:rsidRPr="00483EBE">
              <w:rPr>
                <w:sz w:val="12"/>
                <w:szCs w:val="12"/>
              </w:rPr>
              <w:t>$32,422</w:t>
            </w:r>
          </w:p>
        </w:tc>
        <w:tc>
          <w:tcPr>
            <w:tcW w:w="0" w:type="auto"/>
            <w:tcBorders>
              <w:top w:val="nil"/>
              <w:left w:val="nil"/>
              <w:bottom w:val="single" w:sz="4" w:space="0" w:color="auto"/>
              <w:right w:val="single" w:sz="4" w:space="0" w:color="auto"/>
            </w:tcBorders>
            <w:shd w:val="clear" w:color="auto" w:fill="auto"/>
            <w:vAlign w:val="center"/>
            <w:hideMark/>
          </w:tcPr>
          <w:p w14:paraId="4CB3307D" w14:textId="77777777" w:rsidR="00572995" w:rsidRPr="00483EBE" w:rsidRDefault="00572995" w:rsidP="00E8324D">
            <w:pPr>
              <w:pStyle w:val="Tablas"/>
              <w:rPr>
                <w:sz w:val="12"/>
                <w:szCs w:val="12"/>
              </w:rPr>
            </w:pPr>
            <w:r w:rsidRPr="00483EBE">
              <w:rPr>
                <w:sz w:val="12"/>
                <w:szCs w:val="12"/>
              </w:rPr>
              <w:t>$1,158</w:t>
            </w:r>
          </w:p>
        </w:tc>
        <w:tc>
          <w:tcPr>
            <w:tcW w:w="0" w:type="auto"/>
            <w:tcBorders>
              <w:top w:val="nil"/>
              <w:left w:val="nil"/>
              <w:bottom w:val="single" w:sz="4" w:space="0" w:color="auto"/>
              <w:right w:val="single" w:sz="4" w:space="0" w:color="auto"/>
            </w:tcBorders>
            <w:shd w:val="clear" w:color="auto" w:fill="auto"/>
            <w:vAlign w:val="center"/>
            <w:hideMark/>
          </w:tcPr>
          <w:p w14:paraId="1158180F"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7B9FB97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99ABEA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91F8C0"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7B008190"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5D776AC5" w14:textId="77777777" w:rsidR="00572995" w:rsidRPr="00483EBE" w:rsidRDefault="00572995" w:rsidP="00E8324D">
            <w:pPr>
              <w:pStyle w:val="Tablas"/>
              <w:rPr>
                <w:sz w:val="12"/>
                <w:szCs w:val="12"/>
              </w:rPr>
            </w:pPr>
            <w:r w:rsidRPr="00483EBE">
              <w:rPr>
                <w:sz w:val="12"/>
                <w:szCs w:val="12"/>
              </w:rPr>
              <w:t>$28,749</w:t>
            </w:r>
          </w:p>
        </w:tc>
        <w:tc>
          <w:tcPr>
            <w:tcW w:w="0" w:type="auto"/>
            <w:tcBorders>
              <w:top w:val="nil"/>
              <w:left w:val="nil"/>
              <w:bottom w:val="single" w:sz="4" w:space="0" w:color="auto"/>
              <w:right w:val="single" w:sz="4" w:space="0" w:color="auto"/>
            </w:tcBorders>
            <w:shd w:val="clear" w:color="auto" w:fill="auto"/>
            <w:vAlign w:val="center"/>
            <w:hideMark/>
          </w:tcPr>
          <w:p w14:paraId="4947FDE1" w14:textId="77777777" w:rsidR="00572995" w:rsidRPr="00483EBE" w:rsidRDefault="00572995" w:rsidP="00E8324D">
            <w:pPr>
              <w:pStyle w:val="Tablas"/>
              <w:rPr>
                <w:sz w:val="12"/>
                <w:szCs w:val="12"/>
              </w:rPr>
            </w:pPr>
            <w:r w:rsidRPr="00483EBE">
              <w:rPr>
                <w:sz w:val="12"/>
                <w:szCs w:val="12"/>
              </w:rPr>
              <w:t>$3,194</w:t>
            </w:r>
          </w:p>
        </w:tc>
        <w:tc>
          <w:tcPr>
            <w:tcW w:w="0" w:type="auto"/>
            <w:tcBorders>
              <w:top w:val="nil"/>
              <w:left w:val="nil"/>
              <w:bottom w:val="single" w:sz="4" w:space="0" w:color="auto"/>
              <w:right w:val="single" w:sz="4" w:space="0" w:color="auto"/>
            </w:tcBorders>
            <w:shd w:val="clear" w:color="auto" w:fill="auto"/>
            <w:vAlign w:val="center"/>
            <w:hideMark/>
          </w:tcPr>
          <w:p w14:paraId="69E3734F" w14:textId="77777777" w:rsidR="00572995" w:rsidRPr="00483EBE" w:rsidRDefault="00572995" w:rsidP="00E8324D">
            <w:pPr>
              <w:pStyle w:val="Tablas"/>
              <w:rPr>
                <w:sz w:val="12"/>
                <w:szCs w:val="12"/>
              </w:rPr>
            </w:pPr>
            <w:r w:rsidRPr="00483EBE">
              <w:rPr>
                <w:sz w:val="12"/>
                <w:szCs w:val="12"/>
              </w:rPr>
              <w:t>$266</w:t>
            </w:r>
          </w:p>
        </w:tc>
        <w:tc>
          <w:tcPr>
            <w:tcW w:w="0" w:type="auto"/>
            <w:tcBorders>
              <w:top w:val="nil"/>
              <w:left w:val="nil"/>
              <w:bottom w:val="single" w:sz="4" w:space="0" w:color="auto"/>
              <w:right w:val="single" w:sz="4" w:space="0" w:color="auto"/>
            </w:tcBorders>
            <w:shd w:val="clear" w:color="auto" w:fill="auto"/>
            <w:vAlign w:val="center"/>
            <w:hideMark/>
          </w:tcPr>
          <w:p w14:paraId="55CB7DFB"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AACEFAE" w14:textId="77777777" w:rsidR="00572995" w:rsidRPr="00483EBE" w:rsidRDefault="00572995" w:rsidP="00E8324D">
            <w:pPr>
              <w:pStyle w:val="Tablas"/>
              <w:rPr>
                <w:sz w:val="12"/>
                <w:szCs w:val="12"/>
              </w:rPr>
            </w:pPr>
            <w:r w:rsidRPr="00483EBE">
              <w:rPr>
                <w:sz w:val="12"/>
                <w:szCs w:val="12"/>
              </w:rPr>
              <w:t>SM</w:t>
            </w:r>
          </w:p>
        </w:tc>
      </w:tr>
      <w:tr w:rsidR="00572995" w:rsidRPr="00483EBE" w14:paraId="70C9D2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2EB52D0"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8D4A5F7" w14:textId="77777777" w:rsidR="00572995" w:rsidRPr="00483EBE" w:rsidRDefault="00572995" w:rsidP="00E8324D">
            <w:pPr>
              <w:pStyle w:val="Tablas"/>
              <w:rPr>
                <w:sz w:val="12"/>
                <w:szCs w:val="12"/>
              </w:rPr>
            </w:pPr>
            <w:r w:rsidRPr="00483EBE">
              <w:rPr>
                <w:sz w:val="12"/>
                <w:szCs w:val="12"/>
              </w:rPr>
              <w:t xml:space="preserve">23 </w:t>
            </w:r>
          </w:p>
        </w:tc>
        <w:tc>
          <w:tcPr>
            <w:tcW w:w="0" w:type="auto"/>
            <w:tcBorders>
              <w:top w:val="nil"/>
              <w:left w:val="nil"/>
              <w:bottom w:val="single" w:sz="4" w:space="0" w:color="auto"/>
              <w:right w:val="single" w:sz="4" w:space="0" w:color="auto"/>
            </w:tcBorders>
            <w:shd w:val="clear" w:color="auto" w:fill="auto"/>
            <w:vAlign w:val="center"/>
            <w:hideMark/>
          </w:tcPr>
          <w:p w14:paraId="40EFDB9B" w14:textId="77777777" w:rsidR="00572995" w:rsidRPr="00483EBE" w:rsidRDefault="00572995" w:rsidP="00E8324D">
            <w:pPr>
              <w:pStyle w:val="Tablas"/>
              <w:rPr>
                <w:sz w:val="12"/>
                <w:szCs w:val="12"/>
              </w:rPr>
            </w:pPr>
            <w:r w:rsidRPr="00483EBE">
              <w:rPr>
                <w:sz w:val="12"/>
                <w:szCs w:val="12"/>
              </w:rPr>
              <w:t>$36,432</w:t>
            </w:r>
          </w:p>
        </w:tc>
        <w:tc>
          <w:tcPr>
            <w:tcW w:w="0" w:type="auto"/>
            <w:tcBorders>
              <w:top w:val="nil"/>
              <w:left w:val="nil"/>
              <w:bottom w:val="single" w:sz="4" w:space="0" w:color="auto"/>
              <w:right w:val="single" w:sz="4" w:space="0" w:color="auto"/>
            </w:tcBorders>
            <w:shd w:val="clear" w:color="auto" w:fill="auto"/>
            <w:vAlign w:val="center"/>
            <w:hideMark/>
          </w:tcPr>
          <w:p w14:paraId="4CC8B235" w14:textId="77777777" w:rsidR="00572995" w:rsidRPr="00483EBE" w:rsidRDefault="00572995" w:rsidP="00E8324D">
            <w:pPr>
              <w:pStyle w:val="Tablas"/>
              <w:rPr>
                <w:sz w:val="12"/>
                <w:szCs w:val="12"/>
              </w:rPr>
            </w:pPr>
            <w:r w:rsidRPr="00483EBE">
              <w:rPr>
                <w:sz w:val="12"/>
                <w:szCs w:val="12"/>
              </w:rPr>
              <w:t>$1,584</w:t>
            </w:r>
          </w:p>
        </w:tc>
        <w:tc>
          <w:tcPr>
            <w:tcW w:w="0" w:type="auto"/>
            <w:tcBorders>
              <w:top w:val="nil"/>
              <w:left w:val="nil"/>
              <w:bottom w:val="single" w:sz="4" w:space="0" w:color="auto"/>
              <w:right w:val="single" w:sz="4" w:space="0" w:color="auto"/>
            </w:tcBorders>
            <w:shd w:val="clear" w:color="auto" w:fill="auto"/>
            <w:vAlign w:val="center"/>
            <w:hideMark/>
          </w:tcPr>
          <w:p w14:paraId="4A69807B" w14:textId="77777777" w:rsidR="00572995" w:rsidRPr="00483EBE" w:rsidRDefault="00572995" w:rsidP="00E8324D">
            <w:pPr>
              <w:pStyle w:val="Tablas"/>
              <w:rPr>
                <w:sz w:val="12"/>
                <w:szCs w:val="12"/>
              </w:rPr>
            </w:pPr>
            <w:r w:rsidRPr="00483EBE">
              <w:rPr>
                <w:sz w:val="12"/>
                <w:szCs w:val="12"/>
              </w:rPr>
              <w:t>$132</w:t>
            </w:r>
          </w:p>
        </w:tc>
        <w:tc>
          <w:tcPr>
            <w:tcW w:w="0" w:type="auto"/>
            <w:tcBorders>
              <w:top w:val="nil"/>
              <w:left w:val="nil"/>
              <w:bottom w:val="single" w:sz="4" w:space="0" w:color="auto"/>
              <w:right w:val="single" w:sz="4" w:space="0" w:color="auto"/>
            </w:tcBorders>
            <w:shd w:val="clear" w:color="auto" w:fill="auto"/>
            <w:vAlign w:val="center"/>
            <w:hideMark/>
          </w:tcPr>
          <w:p w14:paraId="4C72D7B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CCB141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CEE3E4"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2D096F61"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E02B600" w14:textId="77777777" w:rsidR="00572995" w:rsidRPr="00483EBE" w:rsidRDefault="00572995" w:rsidP="00E8324D">
            <w:pPr>
              <w:pStyle w:val="Tablas"/>
              <w:rPr>
                <w:sz w:val="12"/>
                <w:szCs w:val="12"/>
              </w:rPr>
            </w:pPr>
            <w:r w:rsidRPr="00483EBE">
              <w:rPr>
                <w:sz w:val="12"/>
                <w:szCs w:val="12"/>
              </w:rPr>
              <w:t>$12,035</w:t>
            </w:r>
          </w:p>
        </w:tc>
        <w:tc>
          <w:tcPr>
            <w:tcW w:w="0" w:type="auto"/>
            <w:tcBorders>
              <w:top w:val="nil"/>
              <w:left w:val="nil"/>
              <w:bottom w:val="single" w:sz="4" w:space="0" w:color="auto"/>
              <w:right w:val="single" w:sz="4" w:space="0" w:color="auto"/>
            </w:tcBorders>
            <w:shd w:val="clear" w:color="auto" w:fill="auto"/>
            <w:vAlign w:val="center"/>
            <w:hideMark/>
          </w:tcPr>
          <w:p w14:paraId="290D0F12" w14:textId="77777777" w:rsidR="00572995" w:rsidRPr="00483EBE" w:rsidRDefault="00572995" w:rsidP="00E8324D">
            <w:pPr>
              <w:pStyle w:val="Tablas"/>
              <w:rPr>
                <w:sz w:val="12"/>
                <w:szCs w:val="12"/>
              </w:rPr>
            </w:pPr>
            <w:r w:rsidRPr="00483EBE">
              <w:rPr>
                <w:sz w:val="12"/>
                <w:szCs w:val="12"/>
              </w:rPr>
              <w:t>$3,009</w:t>
            </w:r>
          </w:p>
        </w:tc>
        <w:tc>
          <w:tcPr>
            <w:tcW w:w="0" w:type="auto"/>
            <w:tcBorders>
              <w:top w:val="nil"/>
              <w:left w:val="nil"/>
              <w:bottom w:val="single" w:sz="4" w:space="0" w:color="auto"/>
              <w:right w:val="single" w:sz="4" w:space="0" w:color="auto"/>
            </w:tcBorders>
            <w:shd w:val="clear" w:color="auto" w:fill="auto"/>
            <w:vAlign w:val="center"/>
            <w:hideMark/>
          </w:tcPr>
          <w:p w14:paraId="7507DCAF" w14:textId="77777777" w:rsidR="00572995" w:rsidRPr="00483EBE" w:rsidRDefault="00572995" w:rsidP="00E8324D">
            <w:pPr>
              <w:pStyle w:val="Tablas"/>
              <w:rPr>
                <w:sz w:val="12"/>
                <w:szCs w:val="12"/>
              </w:rPr>
            </w:pPr>
            <w:r w:rsidRPr="00483EBE">
              <w:rPr>
                <w:sz w:val="12"/>
                <w:szCs w:val="12"/>
              </w:rPr>
              <w:t>$251</w:t>
            </w:r>
          </w:p>
        </w:tc>
        <w:tc>
          <w:tcPr>
            <w:tcW w:w="0" w:type="auto"/>
            <w:tcBorders>
              <w:top w:val="nil"/>
              <w:left w:val="nil"/>
              <w:bottom w:val="single" w:sz="4" w:space="0" w:color="auto"/>
              <w:right w:val="single" w:sz="4" w:space="0" w:color="auto"/>
            </w:tcBorders>
            <w:shd w:val="clear" w:color="auto" w:fill="auto"/>
            <w:vAlign w:val="center"/>
            <w:hideMark/>
          </w:tcPr>
          <w:p w14:paraId="49AA19C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DAC29BC" w14:textId="77777777" w:rsidR="00572995" w:rsidRPr="00483EBE" w:rsidRDefault="00572995" w:rsidP="00E8324D">
            <w:pPr>
              <w:pStyle w:val="Tablas"/>
              <w:rPr>
                <w:sz w:val="12"/>
                <w:szCs w:val="12"/>
              </w:rPr>
            </w:pPr>
            <w:r w:rsidRPr="00483EBE">
              <w:rPr>
                <w:sz w:val="12"/>
                <w:szCs w:val="12"/>
              </w:rPr>
              <w:t>SM</w:t>
            </w:r>
          </w:p>
        </w:tc>
      </w:tr>
      <w:tr w:rsidR="00572995" w:rsidRPr="00483EBE" w14:paraId="4A79D38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99CB9F0"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5C95EC66"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7E9AF871" w14:textId="77777777" w:rsidR="00572995" w:rsidRPr="00483EBE" w:rsidRDefault="00572995" w:rsidP="00E8324D">
            <w:pPr>
              <w:pStyle w:val="Tablas"/>
              <w:rPr>
                <w:sz w:val="12"/>
                <w:szCs w:val="12"/>
              </w:rPr>
            </w:pPr>
            <w:r w:rsidRPr="00483EBE">
              <w:rPr>
                <w:sz w:val="12"/>
                <w:szCs w:val="12"/>
              </w:rPr>
              <w:t>$25,205</w:t>
            </w:r>
          </w:p>
        </w:tc>
        <w:tc>
          <w:tcPr>
            <w:tcW w:w="0" w:type="auto"/>
            <w:tcBorders>
              <w:top w:val="nil"/>
              <w:left w:val="nil"/>
              <w:bottom w:val="single" w:sz="4" w:space="0" w:color="auto"/>
              <w:right w:val="single" w:sz="4" w:space="0" w:color="auto"/>
            </w:tcBorders>
            <w:shd w:val="clear" w:color="auto" w:fill="auto"/>
            <w:vAlign w:val="center"/>
            <w:hideMark/>
          </w:tcPr>
          <w:p w14:paraId="1A39FCC4" w14:textId="77777777" w:rsidR="00572995" w:rsidRPr="00483EBE" w:rsidRDefault="00572995" w:rsidP="00E8324D">
            <w:pPr>
              <w:pStyle w:val="Tablas"/>
              <w:rPr>
                <w:sz w:val="12"/>
                <w:szCs w:val="12"/>
              </w:rPr>
            </w:pPr>
            <w:r w:rsidRPr="00483EBE">
              <w:rPr>
                <w:sz w:val="12"/>
                <w:szCs w:val="12"/>
              </w:rPr>
              <w:t>$1,575</w:t>
            </w:r>
          </w:p>
        </w:tc>
        <w:tc>
          <w:tcPr>
            <w:tcW w:w="0" w:type="auto"/>
            <w:tcBorders>
              <w:top w:val="nil"/>
              <w:left w:val="nil"/>
              <w:bottom w:val="single" w:sz="4" w:space="0" w:color="auto"/>
              <w:right w:val="single" w:sz="4" w:space="0" w:color="auto"/>
            </w:tcBorders>
            <w:shd w:val="clear" w:color="auto" w:fill="auto"/>
            <w:vAlign w:val="center"/>
            <w:hideMark/>
          </w:tcPr>
          <w:p w14:paraId="3DA2AC77" w14:textId="77777777" w:rsidR="00572995" w:rsidRPr="00483EBE" w:rsidRDefault="00572995" w:rsidP="00E8324D">
            <w:pPr>
              <w:pStyle w:val="Tablas"/>
              <w:rPr>
                <w:sz w:val="12"/>
                <w:szCs w:val="12"/>
              </w:rPr>
            </w:pPr>
            <w:r w:rsidRPr="00483EBE">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24BF331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617B55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95EA4E"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204AA8A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B34BAE0" w14:textId="77777777" w:rsidR="00572995" w:rsidRPr="00483EBE" w:rsidRDefault="00572995" w:rsidP="00E8324D">
            <w:pPr>
              <w:pStyle w:val="Tablas"/>
              <w:rPr>
                <w:sz w:val="12"/>
                <w:szCs w:val="12"/>
              </w:rPr>
            </w:pPr>
            <w:r w:rsidRPr="00483EBE">
              <w:rPr>
                <w:sz w:val="12"/>
                <w:szCs w:val="12"/>
              </w:rPr>
              <w:t>$11,432</w:t>
            </w:r>
          </w:p>
        </w:tc>
        <w:tc>
          <w:tcPr>
            <w:tcW w:w="0" w:type="auto"/>
            <w:tcBorders>
              <w:top w:val="nil"/>
              <w:left w:val="nil"/>
              <w:bottom w:val="single" w:sz="4" w:space="0" w:color="auto"/>
              <w:right w:val="single" w:sz="4" w:space="0" w:color="auto"/>
            </w:tcBorders>
            <w:shd w:val="clear" w:color="auto" w:fill="auto"/>
            <w:vAlign w:val="center"/>
            <w:hideMark/>
          </w:tcPr>
          <w:p w14:paraId="60F203A8" w14:textId="77777777" w:rsidR="00572995" w:rsidRPr="00483EBE" w:rsidRDefault="00572995" w:rsidP="00E8324D">
            <w:pPr>
              <w:pStyle w:val="Tablas"/>
              <w:rPr>
                <w:sz w:val="12"/>
                <w:szCs w:val="12"/>
              </w:rPr>
            </w:pPr>
            <w:r w:rsidRPr="00483EBE">
              <w:rPr>
                <w:sz w:val="12"/>
                <w:szCs w:val="12"/>
              </w:rPr>
              <w:t>$2,858</w:t>
            </w:r>
          </w:p>
        </w:tc>
        <w:tc>
          <w:tcPr>
            <w:tcW w:w="0" w:type="auto"/>
            <w:tcBorders>
              <w:top w:val="nil"/>
              <w:left w:val="nil"/>
              <w:bottom w:val="single" w:sz="4" w:space="0" w:color="auto"/>
              <w:right w:val="single" w:sz="4" w:space="0" w:color="auto"/>
            </w:tcBorders>
            <w:shd w:val="clear" w:color="auto" w:fill="auto"/>
            <w:vAlign w:val="center"/>
            <w:hideMark/>
          </w:tcPr>
          <w:p w14:paraId="3F832D9B"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26796A8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AF88101" w14:textId="77777777" w:rsidR="00572995" w:rsidRPr="00483EBE" w:rsidRDefault="00572995" w:rsidP="00E8324D">
            <w:pPr>
              <w:pStyle w:val="Tablas"/>
              <w:rPr>
                <w:sz w:val="12"/>
                <w:szCs w:val="12"/>
              </w:rPr>
            </w:pPr>
            <w:r w:rsidRPr="00483EBE">
              <w:rPr>
                <w:sz w:val="12"/>
                <w:szCs w:val="12"/>
              </w:rPr>
              <w:t>SM</w:t>
            </w:r>
          </w:p>
        </w:tc>
      </w:tr>
      <w:tr w:rsidR="00572995" w:rsidRPr="00483EBE" w14:paraId="6635E8F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EB5163F"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442342CE"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17C6C376" w14:textId="77777777" w:rsidR="00572995" w:rsidRPr="00483EBE" w:rsidRDefault="00572995" w:rsidP="00E8324D">
            <w:pPr>
              <w:pStyle w:val="Tablas"/>
              <w:rPr>
                <w:sz w:val="12"/>
                <w:szCs w:val="12"/>
              </w:rPr>
            </w:pPr>
            <w:r w:rsidRPr="00483EBE">
              <w:rPr>
                <w:sz w:val="12"/>
                <w:szCs w:val="12"/>
              </w:rPr>
              <w:t>$29,439</w:t>
            </w:r>
          </w:p>
        </w:tc>
        <w:tc>
          <w:tcPr>
            <w:tcW w:w="0" w:type="auto"/>
            <w:tcBorders>
              <w:top w:val="nil"/>
              <w:left w:val="nil"/>
              <w:bottom w:val="single" w:sz="4" w:space="0" w:color="auto"/>
              <w:right w:val="single" w:sz="4" w:space="0" w:color="auto"/>
            </w:tcBorders>
            <w:shd w:val="clear" w:color="auto" w:fill="auto"/>
            <w:vAlign w:val="center"/>
            <w:hideMark/>
          </w:tcPr>
          <w:p w14:paraId="3F454B8D" w14:textId="77777777" w:rsidR="00572995" w:rsidRPr="00483EBE" w:rsidRDefault="00572995" w:rsidP="00E8324D">
            <w:pPr>
              <w:pStyle w:val="Tablas"/>
              <w:rPr>
                <w:sz w:val="12"/>
                <w:szCs w:val="12"/>
              </w:rPr>
            </w:pPr>
            <w:r w:rsidRPr="00483EBE">
              <w:rPr>
                <w:sz w:val="12"/>
                <w:szCs w:val="12"/>
              </w:rPr>
              <w:t>$1,635</w:t>
            </w:r>
          </w:p>
        </w:tc>
        <w:tc>
          <w:tcPr>
            <w:tcW w:w="0" w:type="auto"/>
            <w:tcBorders>
              <w:top w:val="nil"/>
              <w:left w:val="nil"/>
              <w:bottom w:val="single" w:sz="4" w:space="0" w:color="auto"/>
              <w:right w:val="single" w:sz="4" w:space="0" w:color="auto"/>
            </w:tcBorders>
            <w:shd w:val="clear" w:color="auto" w:fill="auto"/>
            <w:vAlign w:val="center"/>
            <w:hideMark/>
          </w:tcPr>
          <w:p w14:paraId="60703736" w14:textId="77777777" w:rsidR="00572995" w:rsidRPr="00483EBE" w:rsidRDefault="00572995" w:rsidP="00E8324D">
            <w:pPr>
              <w:pStyle w:val="Tablas"/>
              <w:rPr>
                <w:sz w:val="12"/>
                <w:szCs w:val="12"/>
              </w:rPr>
            </w:pPr>
            <w:r w:rsidRPr="00483EBE">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4C030E66"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C4C3B9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396F636"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51702DBD"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5797875F" w14:textId="77777777" w:rsidR="00572995" w:rsidRPr="00483EBE" w:rsidRDefault="00572995" w:rsidP="00E8324D">
            <w:pPr>
              <w:pStyle w:val="Tablas"/>
              <w:rPr>
                <w:sz w:val="12"/>
                <w:szCs w:val="12"/>
              </w:rPr>
            </w:pPr>
            <w:r w:rsidRPr="00483EBE">
              <w:rPr>
                <w:sz w:val="12"/>
                <w:szCs w:val="12"/>
              </w:rPr>
              <w:t>$19,256</w:t>
            </w:r>
          </w:p>
        </w:tc>
        <w:tc>
          <w:tcPr>
            <w:tcW w:w="0" w:type="auto"/>
            <w:tcBorders>
              <w:top w:val="nil"/>
              <w:left w:val="nil"/>
              <w:bottom w:val="single" w:sz="4" w:space="0" w:color="auto"/>
              <w:right w:val="single" w:sz="4" w:space="0" w:color="auto"/>
            </w:tcBorders>
            <w:shd w:val="clear" w:color="auto" w:fill="auto"/>
            <w:vAlign w:val="center"/>
            <w:hideMark/>
          </w:tcPr>
          <w:p w14:paraId="6B312DF0" w14:textId="77777777" w:rsidR="00572995" w:rsidRPr="00483EBE" w:rsidRDefault="00572995" w:rsidP="00E8324D">
            <w:pPr>
              <w:pStyle w:val="Tablas"/>
              <w:rPr>
                <w:sz w:val="12"/>
                <w:szCs w:val="12"/>
              </w:rPr>
            </w:pPr>
            <w:r w:rsidRPr="00483EBE">
              <w:rPr>
                <w:sz w:val="12"/>
                <w:szCs w:val="12"/>
              </w:rPr>
              <w:t>$3,209</w:t>
            </w:r>
          </w:p>
        </w:tc>
        <w:tc>
          <w:tcPr>
            <w:tcW w:w="0" w:type="auto"/>
            <w:tcBorders>
              <w:top w:val="nil"/>
              <w:left w:val="nil"/>
              <w:bottom w:val="single" w:sz="4" w:space="0" w:color="auto"/>
              <w:right w:val="single" w:sz="4" w:space="0" w:color="auto"/>
            </w:tcBorders>
            <w:shd w:val="clear" w:color="auto" w:fill="auto"/>
            <w:vAlign w:val="center"/>
            <w:hideMark/>
          </w:tcPr>
          <w:p w14:paraId="58BC35A4" w14:textId="77777777" w:rsidR="00572995" w:rsidRPr="00483EBE" w:rsidRDefault="00572995" w:rsidP="00E8324D">
            <w:pPr>
              <w:pStyle w:val="Tablas"/>
              <w:rPr>
                <w:sz w:val="12"/>
                <w:szCs w:val="12"/>
              </w:rPr>
            </w:pPr>
            <w:r w:rsidRPr="00483EBE">
              <w:rPr>
                <w:sz w:val="12"/>
                <w:szCs w:val="12"/>
              </w:rPr>
              <w:t>$267</w:t>
            </w:r>
          </w:p>
        </w:tc>
        <w:tc>
          <w:tcPr>
            <w:tcW w:w="0" w:type="auto"/>
            <w:tcBorders>
              <w:top w:val="nil"/>
              <w:left w:val="nil"/>
              <w:bottom w:val="single" w:sz="4" w:space="0" w:color="auto"/>
              <w:right w:val="single" w:sz="4" w:space="0" w:color="auto"/>
            </w:tcBorders>
            <w:shd w:val="clear" w:color="auto" w:fill="auto"/>
            <w:vAlign w:val="center"/>
            <w:hideMark/>
          </w:tcPr>
          <w:p w14:paraId="4762AC52"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F79942A" w14:textId="77777777" w:rsidR="00572995" w:rsidRPr="00483EBE" w:rsidRDefault="00572995" w:rsidP="00E8324D">
            <w:pPr>
              <w:pStyle w:val="Tablas"/>
              <w:rPr>
                <w:sz w:val="12"/>
                <w:szCs w:val="12"/>
              </w:rPr>
            </w:pPr>
            <w:r w:rsidRPr="00483EBE">
              <w:rPr>
                <w:sz w:val="12"/>
                <w:szCs w:val="12"/>
              </w:rPr>
              <w:t>SM</w:t>
            </w:r>
          </w:p>
        </w:tc>
      </w:tr>
      <w:tr w:rsidR="00572995" w:rsidRPr="00483EBE" w14:paraId="1BF4567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D367603"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6D5A32B8"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3858B0AF" w14:textId="77777777" w:rsidR="00572995" w:rsidRPr="00483EBE" w:rsidRDefault="00572995" w:rsidP="00E8324D">
            <w:pPr>
              <w:pStyle w:val="Tablas"/>
              <w:rPr>
                <w:sz w:val="12"/>
                <w:szCs w:val="12"/>
              </w:rPr>
            </w:pPr>
            <w:r w:rsidRPr="00483EBE">
              <w:rPr>
                <w:sz w:val="12"/>
                <w:szCs w:val="12"/>
              </w:rPr>
              <w:t>$10,762</w:t>
            </w:r>
          </w:p>
        </w:tc>
        <w:tc>
          <w:tcPr>
            <w:tcW w:w="0" w:type="auto"/>
            <w:tcBorders>
              <w:top w:val="nil"/>
              <w:left w:val="nil"/>
              <w:bottom w:val="single" w:sz="4" w:space="0" w:color="auto"/>
              <w:right w:val="single" w:sz="4" w:space="0" w:color="auto"/>
            </w:tcBorders>
            <w:shd w:val="clear" w:color="auto" w:fill="auto"/>
            <w:vAlign w:val="center"/>
            <w:hideMark/>
          </w:tcPr>
          <w:p w14:paraId="3D7EFC85" w14:textId="77777777" w:rsidR="00572995" w:rsidRPr="00483EBE" w:rsidRDefault="00572995" w:rsidP="00E8324D">
            <w:pPr>
              <w:pStyle w:val="Tablas"/>
              <w:rPr>
                <w:sz w:val="12"/>
                <w:szCs w:val="12"/>
              </w:rPr>
            </w:pPr>
            <w:r w:rsidRPr="00483EBE">
              <w:rPr>
                <w:sz w:val="12"/>
                <w:szCs w:val="12"/>
              </w:rPr>
              <w:t>$1,345</w:t>
            </w:r>
          </w:p>
        </w:tc>
        <w:tc>
          <w:tcPr>
            <w:tcW w:w="0" w:type="auto"/>
            <w:tcBorders>
              <w:top w:val="nil"/>
              <w:left w:val="nil"/>
              <w:bottom w:val="single" w:sz="4" w:space="0" w:color="auto"/>
              <w:right w:val="single" w:sz="4" w:space="0" w:color="auto"/>
            </w:tcBorders>
            <w:shd w:val="clear" w:color="auto" w:fill="auto"/>
            <w:vAlign w:val="center"/>
            <w:hideMark/>
          </w:tcPr>
          <w:p w14:paraId="4BAA5714" w14:textId="77777777" w:rsidR="00572995" w:rsidRPr="00483EBE" w:rsidRDefault="00572995" w:rsidP="00E8324D">
            <w:pPr>
              <w:pStyle w:val="Tablas"/>
              <w:rPr>
                <w:sz w:val="12"/>
                <w:szCs w:val="12"/>
              </w:rPr>
            </w:pPr>
            <w:r w:rsidRPr="00483EBE">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60DB6F28"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D444A0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FD8584B"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49BFEABF"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629D6F63" w14:textId="77777777" w:rsidR="00572995" w:rsidRPr="00483EBE" w:rsidRDefault="00572995" w:rsidP="00E8324D">
            <w:pPr>
              <w:pStyle w:val="Tablas"/>
              <w:rPr>
                <w:sz w:val="12"/>
                <w:szCs w:val="12"/>
              </w:rPr>
            </w:pPr>
            <w:r w:rsidRPr="00483EBE">
              <w:rPr>
                <w:sz w:val="12"/>
                <w:szCs w:val="12"/>
              </w:rPr>
              <w:t>$26,378</w:t>
            </w:r>
          </w:p>
        </w:tc>
        <w:tc>
          <w:tcPr>
            <w:tcW w:w="0" w:type="auto"/>
            <w:tcBorders>
              <w:top w:val="nil"/>
              <w:left w:val="nil"/>
              <w:bottom w:val="single" w:sz="4" w:space="0" w:color="auto"/>
              <w:right w:val="single" w:sz="4" w:space="0" w:color="auto"/>
            </w:tcBorders>
            <w:shd w:val="clear" w:color="auto" w:fill="auto"/>
            <w:vAlign w:val="center"/>
            <w:hideMark/>
          </w:tcPr>
          <w:p w14:paraId="4CC7062D" w14:textId="77777777" w:rsidR="00572995" w:rsidRPr="00483EBE" w:rsidRDefault="00572995" w:rsidP="00E8324D">
            <w:pPr>
              <w:pStyle w:val="Tablas"/>
              <w:rPr>
                <w:sz w:val="12"/>
                <w:szCs w:val="12"/>
              </w:rPr>
            </w:pPr>
            <w:r w:rsidRPr="00483EBE">
              <w:rPr>
                <w:sz w:val="12"/>
                <w:szCs w:val="12"/>
              </w:rPr>
              <w:t>$2,931</w:t>
            </w:r>
          </w:p>
        </w:tc>
        <w:tc>
          <w:tcPr>
            <w:tcW w:w="0" w:type="auto"/>
            <w:tcBorders>
              <w:top w:val="nil"/>
              <w:left w:val="nil"/>
              <w:bottom w:val="single" w:sz="4" w:space="0" w:color="auto"/>
              <w:right w:val="single" w:sz="4" w:space="0" w:color="auto"/>
            </w:tcBorders>
            <w:shd w:val="clear" w:color="auto" w:fill="auto"/>
            <w:vAlign w:val="center"/>
            <w:hideMark/>
          </w:tcPr>
          <w:p w14:paraId="0A44C4B1" w14:textId="77777777" w:rsidR="00572995" w:rsidRPr="00483EBE" w:rsidRDefault="00572995" w:rsidP="00E8324D">
            <w:pPr>
              <w:pStyle w:val="Tablas"/>
              <w:rPr>
                <w:sz w:val="12"/>
                <w:szCs w:val="12"/>
              </w:rPr>
            </w:pPr>
            <w:r w:rsidRPr="00483EBE">
              <w:rPr>
                <w:sz w:val="12"/>
                <w:szCs w:val="12"/>
              </w:rPr>
              <w:t>$244</w:t>
            </w:r>
          </w:p>
        </w:tc>
        <w:tc>
          <w:tcPr>
            <w:tcW w:w="0" w:type="auto"/>
            <w:tcBorders>
              <w:top w:val="nil"/>
              <w:left w:val="nil"/>
              <w:bottom w:val="single" w:sz="4" w:space="0" w:color="auto"/>
              <w:right w:val="single" w:sz="4" w:space="0" w:color="auto"/>
            </w:tcBorders>
            <w:shd w:val="clear" w:color="auto" w:fill="auto"/>
            <w:vAlign w:val="center"/>
            <w:hideMark/>
          </w:tcPr>
          <w:p w14:paraId="0B3A73B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C7552BF" w14:textId="77777777" w:rsidR="00572995" w:rsidRPr="00483EBE" w:rsidRDefault="00572995" w:rsidP="00E8324D">
            <w:pPr>
              <w:pStyle w:val="Tablas"/>
              <w:rPr>
                <w:sz w:val="12"/>
                <w:szCs w:val="12"/>
              </w:rPr>
            </w:pPr>
            <w:r w:rsidRPr="00483EBE">
              <w:rPr>
                <w:sz w:val="12"/>
                <w:szCs w:val="12"/>
              </w:rPr>
              <w:t>SM</w:t>
            </w:r>
          </w:p>
        </w:tc>
      </w:tr>
      <w:tr w:rsidR="00572995" w:rsidRPr="00483EBE" w14:paraId="72814B1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A69882"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1D357551"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26E25FD9" w14:textId="77777777" w:rsidR="00572995" w:rsidRPr="00483EBE" w:rsidRDefault="00572995" w:rsidP="00E8324D">
            <w:pPr>
              <w:pStyle w:val="Tablas"/>
              <w:rPr>
                <w:sz w:val="12"/>
                <w:szCs w:val="12"/>
              </w:rPr>
            </w:pPr>
            <w:r w:rsidRPr="00483EBE">
              <w:rPr>
                <w:sz w:val="12"/>
                <w:szCs w:val="12"/>
              </w:rPr>
              <w:t>$12,570</w:t>
            </w:r>
          </w:p>
        </w:tc>
        <w:tc>
          <w:tcPr>
            <w:tcW w:w="0" w:type="auto"/>
            <w:tcBorders>
              <w:top w:val="nil"/>
              <w:left w:val="nil"/>
              <w:bottom w:val="single" w:sz="4" w:space="0" w:color="auto"/>
              <w:right w:val="single" w:sz="4" w:space="0" w:color="auto"/>
            </w:tcBorders>
            <w:shd w:val="clear" w:color="auto" w:fill="auto"/>
            <w:vAlign w:val="center"/>
            <w:hideMark/>
          </w:tcPr>
          <w:p w14:paraId="5583BCE1" w14:textId="77777777" w:rsidR="00572995" w:rsidRPr="00483EBE" w:rsidRDefault="00572995" w:rsidP="00E8324D">
            <w:pPr>
              <w:pStyle w:val="Tablas"/>
              <w:rPr>
                <w:sz w:val="12"/>
                <w:szCs w:val="12"/>
              </w:rPr>
            </w:pPr>
            <w:r w:rsidRPr="00483EBE">
              <w:rPr>
                <w:sz w:val="12"/>
                <w:szCs w:val="12"/>
              </w:rPr>
              <w:t>$1,397</w:t>
            </w:r>
          </w:p>
        </w:tc>
        <w:tc>
          <w:tcPr>
            <w:tcW w:w="0" w:type="auto"/>
            <w:tcBorders>
              <w:top w:val="nil"/>
              <w:left w:val="nil"/>
              <w:bottom w:val="single" w:sz="4" w:space="0" w:color="auto"/>
              <w:right w:val="single" w:sz="4" w:space="0" w:color="auto"/>
            </w:tcBorders>
            <w:shd w:val="clear" w:color="auto" w:fill="auto"/>
            <w:vAlign w:val="center"/>
            <w:hideMark/>
          </w:tcPr>
          <w:p w14:paraId="39F1F4A8" w14:textId="77777777" w:rsidR="00572995" w:rsidRPr="00483EBE" w:rsidRDefault="00572995" w:rsidP="00E8324D">
            <w:pPr>
              <w:pStyle w:val="Tablas"/>
              <w:rPr>
                <w:sz w:val="12"/>
                <w:szCs w:val="12"/>
              </w:rPr>
            </w:pPr>
            <w:r w:rsidRPr="00483EBE">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1243A09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775306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5CEADF1"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14F3DE2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A9F4647" w14:textId="77777777" w:rsidR="00572995" w:rsidRPr="00483EBE" w:rsidRDefault="00572995" w:rsidP="00E8324D">
            <w:pPr>
              <w:pStyle w:val="Tablas"/>
              <w:rPr>
                <w:sz w:val="12"/>
                <w:szCs w:val="12"/>
              </w:rPr>
            </w:pPr>
            <w:r w:rsidRPr="00483EBE">
              <w:rPr>
                <w:sz w:val="12"/>
                <w:szCs w:val="12"/>
              </w:rPr>
              <w:t>$10,090</w:t>
            </w:r>
          </w:p>
        </w:tc>
        <w:tc>
          <w:tcPr>
            <w:tcW w:w="0" w:type="auto"/>
            <w:tcBorders>
              <w:top w:val="nil"/>
              <w:left w:val="nil"/>
              <w:bottom w:val="single" w:sz="4" w:space="0" w:color="auto"/>
              <w:right w:val="single" w:sz="4" w:space="0" w:color="auto"/>
            </w:tcBorders>
            <w:shd w:val="clear" w:color="auto" w:fill="auto"/>
            <w:vAlign w:val="center"/>
            <w:hideMark/>
          </w:tcPr>
          <w:p w14:paraId="7B57FB24" w14:textId="77777777" w:rsidR="00572995" w:rsidRPr="00483EBE" w:rsidRDefault="00572995" w:rsidP="00E8324D">
            <w:pPr>
              <w:pStyle w:val="Tablas"/>
              <w:rPr>
                <w:sz w:val="12"/>
                <w:szCs w:val="12"/>
              </w:rPr>
            </w:pPr>
            <w:r w:rsidRPr="00483EBE">
              <w:rPr>
                <w:sz w:val="12"/>
                <w:szCs w:val="12"/>
              </w:rPr>
              <w:t>$3,363</w:t>
            </w:r>
          </w:p>
        </w:tc>
        <w:tc>
          <w:tcPr>
            <w:tcW w:w="0" w:type="auto"/>
            <w:tcBorders>
              <w:top w:val="nil"/>
              <w:left w:val="nil"/>
              <w:bottom w:val="single" w:sz="4" w:space="0" w:color="auto"/>
              <w:right w:val="single" w:sz="4" w:space="0" w:color="auto"/>
            </w:tcBorders>
            <w:shd w:val="clear" w:color="auto" w:fill="auto"/>
            <w:vAlign w:val="center"/>
            <w:hideMark/>
          </w:tcPr>
          <w:p w14:paraId="794A7CC0" w14:textId="77777777" w:rsidR="00572995" w:rsidRPr="00483EBE" w:rsidRDefault="00572995" w:rsidP="00E8324D">
            <w:pPr>
              <w:pStyle w:val="Tablas"/>
              <w:rPr>
                <w:sz w:val="12"/>
                <w:szCs w:val="12"/>
              </w:rPr>
            </w:pPr>
            <w:r w:rsidRPr="00483EBE">
              <w:rPr>
                <w:sz w:val="12"/>
                <w:szCs w:val="12"/>
              </w:rPr>
              <w:t>$280</w:t>
            </w:r>
          </w:p>
        </w:tc>
        <w:tc>
          <w:tcPr>
            <w:tcW w:w="0" w:type="auto"/>
            <w:tcBorders>
              <w:top w:val="nil"/>
              <w:left w:val="nil"/>
              <w:bottom w:val="single" w:sz="4" w:space="0" w:color="auto"/>
              <w:right w:val="single" w:sz="4" w:space="0" w:color="auto"/>
            </w:tcBorders>
            <w:shd w:val="clear" w:color="auto" w:fill="auto"/>
            <w:vAlign w:val="center"/>
            <w:hideMark/>
          </w:tcPr>
          <w:p w14:paraId="39A0C88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8391FAE" w14:textId="77777777" w:rsidR="00572995" w:rsidRPr="00483EBE" w:rsidRDefault="00572995" w:rsidP="00E8324D">
            <w:pPr>
              <w:pStyle w:val="Tablas"/>
              <w:rPr>
                <w:sz w:val="12"/>
                <w:szCs w:val="12"/>
              </w:rPr>
            </w:pPr>
            <w:r w:rsidRPr="00483EBE">
              <w:rPr>
                <w:sz w:val="12"/>
                <w:szCs w:val="12"/>
              </w:rPr>
              <w:t>SM</w:t>
            </w:r>
          </w:p>
        </w:tc>
      </w:tr>
      <w:tr w:rsidR="00572995" w:rsidRPr="00483EBE" w14:paraId="463B856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2AE5B5"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39BB32B0"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5D944CEC" w14:textId="77777777" w:rsidR="00572995" w:rsidRPr="00483EBE" w:rsidRDefault="00572995" w:rsidP="00E8324D">
            <w:pPr>
              <w:pStyle w:val="Tablas"/>
              <w:rPr>
                <w:sz w:val="12"/>
                <w:szCs w:val="12"/>
              </w:rPr>
            </w:pPr>
            <w:r w:rsidRPr="00483EBE">
              <w:rPr>
                <w:sz w:val="12"/>
                <w:szCs w:val="12"/>
              </w:rPr>
              <w:t>$13,955</w:t>
            </w:r>
          </w:p>
        </w:tc>
        <w:tc>
          <w:tcPr>
            <w:tcW w:w="0" w:type="auto"/>
            <w:tcBorders>
              <w:top w:val="nil"/>
              <w:left w:val="nil"/>
              <w:bottom w:val="single" w:sz="4" w:space="0" w:color="auto"/>
              <w:right w:val="single" w:sz="4" w:space="0" w:color="auto"/>
            </w:tcBorders>
            <w:shd w:val="clear" w:color="auto" w:fill="auto"/>
            <w:vAlign w:val="center"/>
            <w:hideMark/>
          </w:tcPr>
          <w:p w14:paraId="1D57E269" w14:textId="77777777" w:rsidR="00572995" w:rsidRPr="00483EBE" w:rsidRDefault="00572995" w:rsidP="00E8324D">
            <w:pPr>
              <w:pStyle w:val="Tablas"/>
              <w:rPr>
                <w:sz w:val="12"/>
                <w:szCs w:val="12"/>
              </w:rPr>
            </w:pPr>
            <w:r w:rsidRPr="00483EBE">
              <w:rPr>
                <w:sz w:val="12"/>
                <w:szCs w:val="12"/>
              </w:rPr>
              <w:t>$1,744</w:t>
            </w:r>
          </w:p>
        </w:tc>
        <w:tc>
          <w:tcPr>
            <w:tcW w:w="0" w:type="auto"/>
            <w:tcBorders>
              <w:top w:val="nil"/>
              <w:left w:val="nil"/>
              <w:bottom w:val="single" w:sz="4" w:space="0" w:color="auto"/>
              <w:right w:val="single" w:sz="4" w:space="0" w:color="auto"/>
            </w:tcBorders>
            <w:shd w:val="clear" w:color="auto" w:fill="auto"/>
            <w:vAlign w:val="center"/>
            <w:hideMark/>
          </w:tcPr>
          <w:p w14:paraId="4F95A678" w14:textId="77777777" w:rsidR="00572995" w:rsidRPr="00483EBE" w:rsidRDefault="00572995" w:rsidP="00E8324D">
            <w:pPr>
              <w:pStyle w:val="Tablas"/>
              <w:rPr>
                <w:sz w:val="12"/>
                <w:szCs w:val="12"/>
              </w:rPr>
            </w:pPr>
            <w:r w:rsidRPr="00483EBE">
              <w:rPr>
                <w:sz w:val="12"/>
                <w:szCs w:val="12"/>
              </w:rPr>
              <w:t>$145</w:t>
            </w:r>
          </w:p>
        </w:tc>
        <w:tc>
          <w:tcPr>
            <w:tcW w:w="0" w:type="auto"/>
            <w:tcBorders>
              <w:top w:val="nil"/>
              <w:left w:val="nil"/>
              <w:bottom w:val="single" w:sz="4" w:space="0" w:color="auto"/>
              <w:right w:val="single" w:sz="4" w:space="0" w:color="auto"/>
            </w:tcBorders>
            <w:shd w:val="clear" w:color="auto" w:fill="auto"/>
            <w:vAlign w:val="center"/>
            <w:hideMark/>
          </w:tcPr>
          <w:p w14:paraId="3B2018A5"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95E3D9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6EC1C6"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270C879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6B9C02F" w14:textId="77777777" w:rsidR="00572995" w:rsidRPr="00483EBE" w:rsidRDefault="00572995" w:rsidP="00E8324D">
            <w:pPr>
              <w:pStyle w:val="Tablas"/>
              <w:rPr>
                <w:sz w:val="12"/>
                <w:szCs w:val="12"/>
              </w:rPr>
            </w:pPr>
            <w:r w:rsidRPr="00483EBE">
              <w:rPr>
                <w:sz w:val="12"/>
                <w:szCs w:val="12"/>
              </w:rPr>
              <w:t>$2,977</w:t>
            </w:r>
          </w:p>
        </w:tc>
        <w:tc>
          <w:tcPr>
            <w:tcW w:w="0" w:type="auto"/>
            <w:tcBorders>
              <w:top w:val="nil"/>
              <w:left w:val="nil"/>
              <w:bottom w:val="single" w:sz="4" w:space="0" w:color="auto"/>
              <w:right w:val="single" w:sz="4" w:space="0" w:color="auto"/>
            </w:tcBorders>
            <w:shd w:val="clear" w:color="auto" w:fill="auto"/>
            <w:vAlign w:val="center"/>
            <w:hideMark/>
          </w:tcPr>
          <w:p w14:paraId="3F0EA43D" w14:textId="77777777" w:rsidR="00572995" w:rsidRPr="00483EBE" w:rsidRDefault="00572995" w:rsidP="00E8324D">
            <w:pPr>
              <w:pStyle w:val="Tablas"/>
              <w:rPr>
                <w:sz w:val="12"/>
                <w:szCs w:val="12"/>
              </w:rPr>
            </w:pPr>
            <w:r w:rsidRPr="00483EBE">
              <w:rPr>
                <w:sz w:val="12"/>
                <w:szCs w:val="12"/>
              </w:rPr>
              <w:t>$2,977</w:t>
            </w:r>
          </w:p>
        </w:tc>
        <w:tc>
          <w:tcPr>
            <w:tcW w:w="0" w:type="auto"/>
            <w:tcBorders>
              <w:top w:val="nil"/>
              <w:left w:val="nil"/>
              <w:bottom w:val="single" w:sz="4" w:space="0" w:color="auto"/>
              <w:right w:val="single" w:sz="4" w:space="0" w:color="auto"/>
            </w:tcBorders>
            <w:shd w:val="clear" w:color="auto" w:fill="auto"/>
            <w:vAlign w:val="center"/>
            <w:hideMark/>
          </w:tcPr>
          <w:p w14:paraId="2FBF97D8" w14:textId="77777777" w:rsidR="00572995" w:rsidRPr="00483EBE" w:rsidRDefault="00572995" w:rsidP="00E8324D">
            <w:pPr>
              <w:pStyle w:val="Tablas"/>
              <w:rPr>
                <w:sz w:val="12"/>
                <w:szCs w:val="12"/>
              </w:rPr>
            </w:pPr>
            <w:r w:rsidRPr="00483EBE">
              <w:rPr>
                <w:sz w:val="12"/>
                <w:szCs w:val="12"/>
              </w:rPr>
              <w:t>$248</w:t>
            </w:r>
          </w:p>
        </w:tc>
        <w:tc>
          <w:tcPr>
            <w:tcW w:w="0" w:type="auto"/>
            <w:tcBorders>
              <w:top w:val="nil"/>
              <w:left w:val="nil"/>
              <w:bottom w:val="single" w:sz="4" w:space="0" w:color="auto"/>
              <w:right w:val="single" w:sz="4" w:space="0" w:color="auto"/>
            </w:tcBorders>
            <w:shd w:val="clear" w:color="auto" w:fill="auto"/>
            <w:vAlign w:val="center"/>
            <w:hideMark/>
          </w:tcPr>
          <w:p w14:paraId="64311195"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97C7258" w14:textId="77777777" w:rsidR="00572995" w:rsidRPr="00483EBE" w:rsidRDefault="00572995" w:rsidP="00E8324D">
            <w:pPr>
              <w:pStyle w:val="Tablas"/>
              <w:rPr>
                <w:sz w:val="12"/>
                <w:szCs w:val="12"/>
              </w:rPr>
            </w:pPr>
            <w:r w:rsidRPr="00483EBE">
              <w:rPr>
                <w:sz w:val="12"/>
                <w:szCs w:val="12"/>
              </w:rPr>
              <w:t>SM</w:t>
            </w:r>
          </w:p>
        </w:tc>
      </w:tr>
      <w:tr w:rsidR="00572995" w:rsidRPr="00483EBE" w14:paraId="248B2A5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7A1F7A"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0C1681B6"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567AD64B" w14:textId="77777777" w:rsidR="00572995" w:rsidRPr="00483EBE" w:rsidRDefault="00572995" w:rsidP="00E8324D">
            <w:pPr>
              <w:pStyle w:val="Tablas"/>
              <w:rPr>
                <w:sz w:val="12"/>
                <w:szCs w:val="12"/>
              </w:rPr>
            </w:pPr>
            <w:r w:rsidRPr="00483EBE">
              <w:rPr>
                <w:sz w:val="12"/>
                <w:szCs w:val="12"/>
              </w:rPr>
              <w:t>$21,866</w:t>
            </w:r>
          </w:p>
        </w:tc>
        <w:tc>
          <w:tcPr>
            <w:tcW w:w="0" w:type="auto"/>
            <w:tcBorders>
              <w:top w:val="nil"/>
              <w:left w:val="nil"/>
              <w:bottom w:val="single" w:sz="4" w:space="0" w:color="auto"/>
              <w:right w:val="single" w:sz="4" w:space="0" w:color="auto"/>
            </w:tcBorders>
            <w:shd w:val="clear" w:color="auto" w:fill="auto"/>
            <w:vAlign w:val="center"/>
            <w:hideMark/>
          </w:tcPr>
          <w:p w14:paraId="417BD768" w14:textId="77777777" w:rsidR="00572995" w:rsidRPr="00483EBE" w:rsidRDefault="00572995" w:rsidP="00E8324D">
            <w:pPr>
              <w:pStyle w:val="Tablas"/>
              <w:rPr>
                <w:sz w:val="12"/>
                <w:szCs w:val="12"/>
              </w:rPr>
            </w:pPr>
            <w:r w:rsidRPr="00483EBE">
              <w:rPr>
                <w:sz w:val="12"/>
                <w:szCs w:val="12"/>
              </w:rPr>
              <w:t>$1,988</w:t>
            </w:r>
          </w:p>
        </w:tc>
        <w:tc>
          <w:tcPr>
            <w:tcW w:w="0" w:type="auto"/>
            <w:tcBorders>
              <w:top w:val="nil"/>
              <w:left w:val="nil"/>
              <w:bottom w:val="single" w:sz="4" w:space="0" w:color="auto"/>
              <w:right w:val="single" w:sz="4" w:space="0" w:color="auto"/>
            </w:tcBorders>
            <w:shd w:val="clear" w:color="auto" w:fill="auto"/>
            <w:vAlign w:val="center"/>
            <w:hideMark/>
          </w:tcPr>
          <w:p w14:paraId="47039AA8" w14:textId="77777777" w:rsidR="00572995" w:rsidRPr="00483EBE" w:rsidRDefault="00572995" w:rsidP="00E8324D">
            <w:pPr>
              <w:pStyle w:val="Tablas"/>
              <w:rPr>
                <w:sz w:val="12"/>
                <w:szCs w:val="12"/>
              </w:rPr>
            </w:pPr>
            <w:r w:rsidRPr="00483EBE">
              <w:rPr>
                <w:sz w:val="12"/>
                <w:szCs w:val="12"/>
              </w:rPr>
              <w:t>$166</w:t>
            </w:r>
          </w:p>
        </w:tc>
        <w:tc>
          <w:tcPr>
            <w:tcW w:w="0" w:type="auto"/>
            <w:tcBorders>
              <w:top w:val="nil"/>
              <w:left w:val="nil"/>
              <w:bottom w:val="single" w:sz="4" w:space="0" w:color="auto"/>
              <w:right w:val="single" w:sz="4" w:space="0" w:color="auto"/>
            </w:tcBorders>
            <w:shd w:val="clear" w:color="auto" w:fill="auto"/>
            <w:vAlign w:val="center"/>
            <w:hideMark/>
          </w:tcPr>
          <w:p w14:paraId="7050EBC1"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B714B5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63342B"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1CD55C6B"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0474605" w14:textId="77777777" w:rsidR="00572995" w:rsidRPr="00483EBE" w:rsidRDefault="00572995" w:rsidP="00E8324D">
            <w:pPr>
              <w:pStyle w:val="Tablas"/>
              <w:rPr>
                <w:sz w:val="12"/>
                <w:szCs w:val="12"/>
              </w:rPr>
            </w:pPr>
            <w:r w:rsidRPr="00483EBE">
              <w:rPr>
                <w:sz w:val="12"/>
                <w:szCs w:val="12"/>
              </w:rPr>
              <w:t>$5,249</w:t>
            </w:r>
          </w:p>
        </w:tc>
        <w:tc>
          <w:tcPr>
            <w:tcW w:w="0" w:type="auto"/>
            <w:tcBorders>
              <w:top w:val="nil"/>
              <w:left w:val="nil"/>
              <w:bottom w:val="single" w:sz="4" w:space="0" w:color="auto"/>
              <w:right w:val="single" w:sz="4" w:space="0" w:color="auto"/>
            </w:tcBorders>
            <w:shd w:val="clear" w:color="auto" w:fill="auto"/>
            <w:vAlign w:val="center"/>
            <w:hideMark/>
          </w:tcPr>
          <w:p w14:paraId="0955FCCB" w14:textId="77777777" w:rsidR="00572995" w:rsidRPr="00483EBE" w:rsidRDefault="00572995" w:rsidP="00E8324D">
            <w:pPr>
              <w:pStyle w:val="Tablas"/>
              <w:rPr>
                <w:sz w:val="12"/>
                <w:szCs w:val="12"/>
              </w:rPr>
            </w:pPr>
            <w:r w:rsidRPr="00483EBE">
              <w:rPr>
                <w:sz w:val="12"/>
                <w:szCs w:val="12"/>
              </w:rPr>
              <w:t>$2,625</w:t>
            </w:r>
          </w:p>
        </w:tc>
        <w:tc>
          <w:tcPr>
            <w:tcW w:w="0" w:type="auto"/>
            <w:tcBorders>
              <w:top w:val="nil"/>
              <w:left w:val="nil"/>
              <w:bottom w:val="single" w:sz="4" w:space="0" w:color="auto"/>
              <w:right w:val="single" w:sz="4" w:space="0" w:color="auto"/>
            </w:tcBorders>
            <w:shd w:val="clear" w:color="auto" w:fill="auto"/>
            <w:vAlign w:val="center"/>
            <w:hideMark/>
          </w:tcPr>
          <w:p w14:paraId="42CFBC75" w14:textId="77777777" w:rsidR="00572995" w:rsidRPr="00483EBE" w:rsidRDefault="00572995" w:rsidP="00E8324D">
            <w:pPr>
              <w:pStyle w:val="Tablas"/>
              <w:rPr>
                <w:sz w:val="12"/>
                <w:szCs w:val="12"/>
              </w:rPr>
            </w:pPr>
            <w:r w:rsidRPr="00483EBE">
              <w:rPr>
                <w:sz w:val="12"/>
                <w:szCs w:val="12"/>
              </w:rPr>
              <w:t>$219</w:t>
            </w:r>
          </w:p>
        </w:tc>
        <w:tc>
          <w:tcPr>
            <w:tcW w:w="0" w:type="auto"/>
            <w:tcBorders>
              <w:top w:val="nil"/>
              <w:left w:val="nil"/>
              <w:bottom w:val="single" w:sz="4" w:space="0" w:color="auto"/>
              <w:right w:val="single" w:sz="4" w:space="0" w:color="auto"/>
            </w:tcBorders>
            <w:shd w:val="clear" w:color="auto" w:fill="auto"/>
            <w:vAlign w:val="center"/>
            <w:hideMark/>
          </w:tcPr>
          <w:p w14:paraId="367D9DA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C15347C" w14:textId="77777777" w:rsidR="00572995" w:rsidRPr="00483EBE" w:rsidRDefault="00572995" w:rsidP="00E8324D">
            <w:pPr>
              <w:pStyle w:val="Tablas"/>
              <w:rPr>
                <w:sz w:val="12"/>
                <w:szCs w:val="12"/>
              </w:rPr>
            </w:pPr>
            <w:r w:rsidRPr="00483EBE">
              <w:rPr>
                <w:sz w:val="12"/>
                <w:szCs w:val="12"/>
              </w:rPr>
              <w:t>SM</w:t>
            </w:r>
          </w:p>
        </w:tc>
      </w:tr>
      <w:tr w:rsidR="00572995" w:rsidRPr="00483EBE" w14:paraId="5AC6914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9E4861B"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1EF97142"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627AB456" w14:textId="77777777" w:rsidR="00572995" w:rsidRPr="00483EBE" w:rsidRDefault="00572995" w:rsidP="00E8324D">
            <w:pPr>
              <w:pStyle w:val="Tablas"/>
              <w:rPr>
                <w:sz w:val="12"/>
                <w:szCs w:val="12"/>
              </w:rPr>
            </w:pPr>
            <w:r w:rsidRPr="00483EBE">
              <w:rPr>
                <w:sz w:val="12"/>
                <w:szCs w:val="12"/>
              </w:rPr>
              <w:t>$11,424</w:t>
            </w:r>
          </w:p>
        </w:tc>
        <w:tc>
          <w:tcPr>
            <w:tcW w:w="0" w:type="auto"/>
            <w:tcBorders>
              <w:top w:val="nil"/>
              <w:left w:val="nil"/>
              <w:bottom w:val="single" w:sz="4" w:space="0" w:color="auto"/>
              <w:right w:val="single" w:sz="4" w:space="0" w:color="auto"/>
            </w:tcBorders>
            <w:shd w:val="clear" w:color="auto" w:fill="auto"/>
            <w:vAlign w:val="center"/>
            <w:hideMark/>
          </w:tcPr>
          <w:p w14:paraId="18652C66" w14:textId="77777777" w:rsidR="00572995" w:rsidRPr="00483EBE" w:rsidRDefault="00572995" w:rsidP="00E8324D">
            <w:pPr>
              <w:pStyle w:val="Tablas"/>
              <w:rPr>
                <w:sz w:val="12"/>
                <w:szCs w:val="12"/>
              </w:rPr>
            </w:pPr>
            <w:r w:rsidRPr="00483EBE">
              <w:rPr>
                <w:sz w:val="12"/>
                <w:szCs w:val="12"/>
              </w:rPr>
              <w:t>$952</w:t>
            </w:r>
          </w:p>
        </w:tc>
        <w:tc>
          <w:tcPr>
            <w:tcW w:w="0" w:type="auto"/>
            <w:tcBorders>
              <w:top w:val="nil"/>
              <w:left w:val="nil"/>
              <w:bottom w:val="single" w:sz="4" w:space="0" w:color="auto"/>
              <w:right w:val="single" w:sz="4" w:space="0" w:color="auto"/>
            </w:tcBorders>
            <w:shd w:val="clear" w:color="auto" w:fill="auto"/>
            <w:vAlign w:val="center"/>
            <w:hideMark/>
          </w:tcPr>
          <w:p w14:paraId="7C6500C5"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49DB7CDA"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45197A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932CC8F"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3CDE785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DBAAA9F" w14:textId="77777777" w:rsidR="00572995" w:rsidRPr="00483EBE" w:rsidRDefault="00572995" w:rsidP="00E8324D">
            <w:pPr>
              <w:pStyle w:val="Tablas"/>
              <w:rPr>
                <w:sz w:val="12"/>
                <w:szCs w:val="12"/>
              </w:rPr>
            </w:pPr>
            <w:r w:rsidRPr="00483EBE">
              <w:rPr>
                <w:sz w:val="12"/>
                <w:szCs w:val="12"/>
              </w:rPr>
              <w:t>$20,149</w:t>
            </w:r>
          </w:p>
        </w:tc>
        <w:tc>
          <w:tcPr>
            <w:tcW w:w="0" w:type="auto"/>
            <w:tcBorders>
              <w:top w:val="nil"/>
              <w:left w:val="nil"/>
              <w:bottom w:val="single" w:sz="4" w:space="0" w:color="auto"/>
              <w:right w:val="single" w:sz="4" w:space="0" w:color="auto"/>
            </w:tcBorders>
            <w:shd w:val="clear" w:color="auto" w:fill="auto"/>
            <w:vAlign w:val="center"/>
            <w:hideMark/>
          </w:tcPr>
          <w:p w14:paraId="3D305E85" w14:textId="77777777" w:rsidR="00572995" w:rsidRPr="00483EBE" w:rsidRDefault="00572995" w:rsidP="00E8324D">
            <w:pPr>
              <w:pStyle w:val="Tablas"/>
              <w:rPr>
                <w:sz w:val="12"/>
                <w:szCs w:val="12"/>
              </w:rPr>
            </w:pPr>
            <w:r w:rsidRPr="00483EBE">
              <w:rPr>
                <w:sz w:val="12"/>
                <w:szCs w:val="12"/>
              </w:rPr>
              <w:t>$2,878</w:t>
            </w:r>
          </w:p>
        </w:tc>
        <w:tc>
          <w:tcPr>
            <w:tcW w:w="0" w:type="auto"/>
            <w:tcBorders>
              <w:top w:val="nil"/>
              <w:left w:val="nil"/>
              <w:bottom w:val="single" w:sz="4" w:space="0" w:color="auto"/>
              <w:right w:val="single" w:sz="4" w:space="0" w:color="auto"/>
            </w:tcBorders>
            <w:shd w:val="clear" w:color="auto" w:fill="auto"/>
            <w:vAlign w:val="center"/>
            <w:hideMark/>
          </w:tcPr>
          <w:p w14:paraId="03A6D61C" w14:textId="77777777" w:rsidR="00572995" w:rsidRPr="00483EBE" w:rsidRDefault="00572995" w:rsidP="00E8324D">
            <w:pPr>
              <w:pStyle w:val="Tablas"/>
              <w:rPr>
                <w:sz w:val="12"/>
                <w:szCs w:val="12"/>
              </w:rPr>
            </w:pPr>
            <w:r w:rsidRPr="00483EBE">
              <w:rPr>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32708FB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3464B61" w14:textId="77777777" w:rsidR="00572995" w:rsidRPr="00483EBE" w:rsidRDefault="00572995" w:rsidP="00E8324D">
            <w:pPr>
              <w:pStyle w:val="Tablas"/>
              <w:rPr>
                <w:sz w:val="12"/>
                <w:szCs w:val="12"/>
              </w:rPr>
            </w:pPr>
            <w:r w:rsidRPr="00483EBE">
              <w:rPr>
                <w:sz w:val="12"/>
                <w:szCs w:val="12"/>
              </w:rPr>
              <w:t>SM</w:t>
            </w:r>
          </w:p>
        </w:tc>
      </w:tr>
      <w:tr w:rsidR="00572995" w:rsidRPr="00483EBE" w14:paraId="70A4ED9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EC0C7E9"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14C1EB12"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6E63D892" w14:textId="77777777" w:rsidR="00572995" w:rsidRPr="00483EBE" w:rsidRDefault="00572995" w:rsidP="00E8324D">
            <w:pPr>
              <w:pStyle w:val="Tablas"/>
              <w:rPr>
                <w:sz w:val="12"/>
                <w:szCs w:val="12"/>
              </w:rPr>
            </w:pPr>
            <w:r w:rsidRPr="00483EBE">
              <w:rPr>
                <w:sz w:val="12"/>
                <w:szCs w:val="12"/>
              </w:rPr>
              <w:t>$9,437</w:t>
            </w:r>
          </w:p>
        </w:tc>
        <w:tc>
          <w:tcPr>
            <w:tcW w:w="0" w:type="auto"/>
            <w:tcBorders>
              <w:top w:val="nil"/>
              <w:left w:val="nil"/>
              <w:bottom w:val="single" w:sz="4" w:space="0" w:color="auto"/>
              <w:right w:val="single" w:sz="4" w:space="0" w:color="auto"/>
            </w:tcBorders>
            <w:shd w:val="clear" w:color="auto" w:fill="auto"/>
            <w:vAlign w:val="center"/>
            <w:hideMark/>
          </w:tcPr>
          <w:p w14:paraId="07783A60" w14:textId="77777777" w:rsidR="00572995" w:rsidRPr="00483EBE" w:rsidRDefault="00572995" w:rsidP="00E8324D">
            <w:pPr>
              <w:pStyle w:val="Tablas"/>
              <w:rPr>
                <w:sz w:val="12"/>
                <w:szCs w:val="12"/>
              </w:rPr>
            </w:pPr>
            <w:r w:rsidRPr="00483EBE">
              <w:rPr>
                <w:sz w:val="12"/>
                <w:szCs w:val="12"/>
              </w:rPr>
              <w:t>$1,573</w:t>
            </w:r>
          </w:p>
        </w:tc>
        <w:tc>
          <w:tcPr>
            <w:tcW w:w="0" w:type="auto"/>
            <w:tcBorders>
              <w:top w:val="nil"/>
              <w:left w:val="nil"/>
              <w:bottom w:val="single" w:sz="4" w:space="0" w:color="auto"/>
              <w:right w:val="single" w:sz="4" w:space="0" w:color="auto"/>
            </w:tcBorders>
            <w:shd w:val="clear" w:color="auto" w:fill="auto"/>
            <w:vAlign w:val="center"/>
            <w:hideMark/>
          </w:tcPr>
          <w:p w14:paraId="2A64268E" w14:textId="77777777" w:rsidR="00572995" w:rsidRPr="00483EBE" w:rsidRDefault="00572995" w:rsidP="00E8324D">
            <w:pPr>
              <w:pStyle w:val="Tablas"/>
              <w:rPr>
                <w:sz w:val="12"/>
                <w:szCs w:val="12"/>
              </w:rPr>
            </w:pPr>
            <w:r w:rsidRPr="00483EBE">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5F27D978"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6CEC02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AED07F"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11814552"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74D2292" w14:textId="77777777" w:rsidR="00572995" w:rsidRPr="00483EBE" w:rsidRDefault="00572995" w:rsidP="00E8324D">
            <w:pPr>
              <w:pStyle w:val="Tablas"/>
              <w:rPr>
                <w:sz w:val="12"/>
                <w:szCs w:val="12"/>
              </w:rPr>
            </w:pPr>
            <w:r w:rsidRPr="00483EBE">
              <w:rPr>
                <w:sz w:val="12"/>
                <w:szCs w:val="12"/>
              </w:rPr>
              <w:t>$11,512</w:t>
            </w:r>
          </w:p>
        </w:tc>
        <w:tc>
          <w:tcPr>
            <w:tcW w:w="0" w:type="auto"/>
            <w:tcBorders>
              <w:top w:val="nil"/>
              <w:left w:val="nil"/>
              <w:bottom w:val="single" w:sz="4" w:space="0" w:color="auto"/>
              <w:right w:val="single" w:sz="4" w:space="0" w:color="auto"/>
            </w:tcBorders>
            <w:shd w:val="clear" w:color="auto" w:fill="auto"/>
            <w:vAlign w:val="center"/>
            <w:hideMark/>
          </w:tcPr>
          <w:p w14:paraId="55341554" w14:textId="77777777" w:rsidR="00572995" w:rsidRPr="00483EBE" w:rsidRDefault="00572995" w:rsidP="00E8324D">
            <w:pPr>
              <w:pStyle w:val="Tablas"/>
              <w:rPr>
                <w:sz w:val="12"/>
                <w:szCs w:val="12"/>
              </w:rPr>
            </w:pPr>
            <w:r w:rsidRPr="00483EBE">
              <w:rPr>
                <w:sz w:val="12"/>
                <w:szCs w:val="12"/>
              </w:rPr>
              <w:t>$2,878</w:t>
            </w:r>
          </w:p>
        </w:tc>
        <w:tc>
          <w:tcPr>
            <w:tcW w:w="0" w:type="auto"/>
            <w:tcBorders>
              <w:top w:val="nil"/>
              <w:left w:val="nil"/>
              <w:bottom w:val="single" w:sz="4" w:space="0" w:color="auto"/>
              <w:right w:val="single" w:sz="4" w:space="0" w:color="auto"/>
            </w:tcBorders>
            <w:shd w:val="clear" w:color="auto" w:fill="auto"/>
            <w:vAlign w:val="center"/>
            <w:hideMark/>
          </w:tcPr>
          <w:p w14:paraId="4A230CA2" w14:textId="77777777" w:rsidR="00572995" w:rsidRPr="00483EBE" w:rsidRDefault="00572995" w:rsidP="00E8324D">
            <w:pPr>
              <w:pStyle w:val="Tablas"/>
              <w:rPr>
                <w:sz w:val="12"/>
                <w:szCs w:val="12"/>
              </w:rPr>
            </w:pPr>
            <w:r w:rsidRPr="00483EBE">
              <w:rPr>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3DA889E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5BE4D37" w14:textId="77777777" w:rsidR="00572995" w:rsidRPr="00483EBE" w:rsidRDefault="00572995" w:rsidP="00E8324D">
            <w:pPr>
              <w:pStyle w:val="Tablas"/>
              <w:rPr>
                <w:sz w:val="12"/>
                <w:szCs w:val="12"/>
              </w:rPr>
            </w:pPr>
            <w:r w:rsidRPr="00483EBE">
              <w:rPr>
                <w:sz w:val="12"/>
                <w:szCs w:val="12"/>
              </w:rPr>
              <w:t>SM</w:t>
            </w:r>
          </w:p>
        </w:tc>
      </w:tr>
      <w:tr w:rsidR="00572995" w:rsidRPr="00483EBE" w14:paraId="38476E5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3C16C0"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5641632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5856068" w14:textId="77777777" w:rsidR="00572995" w:rsidRPr="00483EBE" w:rsidRDefault="00572995" w:rsidP="00E8324D">
            <w:pPr>
              <w:pStyle w:val="Tablas"/>
              <w:rPr>
                <w:sz w:val="12"/>
                <w:szCs w:val="12"/>
              </w:rPr>
            </w:pPr>
            <w:r w:rsidRPr="00483EBE">
              <w:rPr>
                <w:sz w:val="12"/>
                <w:szCs w:val="12"/>
              </w:rPr>
              <w:t>$4,947</w:t>
            </w:r>
          </w:p>
        </w:tc>
        <w:tc>
          <w:tcPr>
            <w:tcW w:w="0" w:type="auto"/>
            <w:tcBorders>
              <w:top w:val="nil"/>
              <w:left w:val="nil"/>
              <w:bottom w:val="single" w:sz="4" w:space="0" w:color="auto"/>
              <w:right w:val="single" w:sz="4" w:space="0" w:color="auto"/>
            </w:tcBorders>
            <w:shd w:val="clear" w:color="auto" w:fill="auto"/>
            <w:vAlign w:val="center"/>
            <w:hideMark/>
          </w:tcPr>
          <w:p w14:paraId="08D037B9" w14:textId="77777777" w:rsidR="00572995" w:rsidRPr="00483EBE" w:rsidRDefault="00572995" w:rsidP="00E8324D">
            <w:pPr>
              <w:pStyle w:val="Tablas"/>
              <w:rPr>
                <w:sz w:val="12"/>
                <w:szCs w:val="12"/>
              </w:rPr>
            </w:pPr>
            <w:r w:rsidRPr="00483EBE">
              <w:rPr>
                <w:sz w:val="12"/>
                <w:szCs w:val="12"/>
              </w:rPr>
              <w:t>$1,237</w:t>
            </w:r>
          </w:p>
        </w:tc>
        <w:tc>
          <w:tcPr>
            <w:tcW w:w="0" w:type="auto"/>
            <w:tcBorders>
              <w:top w:val="nil"/>
              <w:left w:val="nil"/>
              <w:bottom w:val="single" w:sz="4" w:space="0" w:color="auto"/>
              <w:right w:val="single" w:sz="4" w:space="0" w:color="auto"/>
            </w:tcBorders>
            <w:shd w:val="clear" w:color="auto" w:fill="auto"/>
            <w:vAlign w:val="center"/>
            <w:hideMark/>
          </w:tcPr>
          <w:p w14:paraId="36F661B0"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250E8098"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868110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B61E9CD"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4653100D"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B9B8D7F" w14:textId="77777777" w:rsidR="00572995" w:rsidRPr="00483EBE" w:rsidRDefault="00572995" w:rsidP="00E8324D">
            <w:pPr>
              <w:pStyle w:val="Tablas"/>
              <w:rPr>
                <w:sz w:val="12"/>
                <w:szCs w:val="12"/>
              </w:rPr>
            </w:pPr>
            <w:r w:rsidRPr="00483EBE">
              <w:rPr>
                <w:sz w:val="12"/>
                <w:szCs w:val="12"/>
              </w:rPr>
              <w:t>$5,474</w:t>
            </w:r>
          </w:p>
        </w:tc>
        <w:tc>
          <w:tcPr>
            <w:tcW w:w="0" w:type="auto"/>
            <w:tcBorders>
              <w:top w:val="nil"/>
              <w:left w:val="nil"/>
              <w:bottom w:val="single" w:sz="4" w:space="0" w:color="auto"/>
              <w:right w:val="single" w:sz="4" w:space="0" w:color="auto"/>
            </w:tcBorders>
            <w:shd w:val="clear" w:color="auto" w:fill="auto"/>
            <w:vAlign w:val="center"/>
            <w:hideMark/>
          </w:tcPr>
          <w:p w14:paraId="19904BFB" w14:textId="77777777" w:rsidR="00572995" w:rsidRPr="00483EBE" w:rsidRDefault="00572995" w:rsidP="00E8324D">
            <w:pPr>
              <w:pStyle w:val="Tablas"/>
              <w:rPr>
                <w:sz w:val="12"/>
                <w:szCs w:val="12"/>
              </w:rPr>
            </w:pPr>
            <w:r w:rsidRPr="00483EBE">
              <w:rPr>
                <w:sz w:val="12"/>
                <w:szCs w:val="12"/>
              </w:rPr>
              <w:t>$2,737</w:t>
            </w:r>
          </w:p>
        </w:tc>
        <w:tc>
          <w:tcPr>
            <w:tcW w:w="0" w:type="auto"/>
            <w:tcBorders>
              <w:top w:val="nil"/>
              <w:left w:val="nil"/>
              <w:bottom w:val="single" w:sz="4" w:space="0" w:color="auto"/>
              <w:right w:val="single" w:sz="4" w:space="0" w:color="auto"/>
            </w:tcBorders>
            <w:shd w:val="clear" w:color="auto" w:fill="auto"/>
            <w:vAlign w:val="center"/>
            <w:hideMark/>
          </w:tcPr>
          <w:p w14:paraId="4FBFA5FD" w14:textId="77777777" w:rsidR="00572995" w:rsidRPr="00483EBE" w:rsidRDefault="00572995" w:rsidP="00E8324D">
            <w:pPr>
              <w:pStyle w:val="Tablas"/>
              <w:rPr>
                <w:sz w:val="12"/>
                <w:szCs w:val="12"/>
              </w:rPr>
            </w:pPr>
            <w:r w:rsidRPr="00483EBE">
              <w:rPr>
                <w:sz w:val="12"/>
                <w:szCs w:val="12"/>
              </w:rPr>
              <w:t>$228</w:t>
            </w:r>
          </w:p>
        </w:tc>
        <w:tc>
          <w:tcPr>
            <w:tcW w:w="0" w:type="auto"/>
            <w:tcBorders>
              <w:top w:val="nil"/>
              <w:left w:val="nil"/>
              <w:bottom w:val="single" w:sz="4" w:space="0" w:color="auto"/>
              <w:right w:val="single" w:sz="4" w:space="0" w:color="auto"/>
            </w:tcBorders>
            <w:shd w:val="clear" w:color="auto" w:fill="auto"/>
            <w:vAlign w:val="center"/>
            <w:hideMark/>
          </w:tcPr>
          <w:p w14:paraId="064FB18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A5A60FC" w14:textId="77777777" w:rsidR="00572995" w:rsidRPr="00483EBE" w:rsidRDefault="00572995" w:rsidP="00E8324D">
            <w:pPr>
              <w:pStyle w:val="Tablas"/>
              <w:rPr>
                <w:sz w:val="12"/>
                <w:szCs w:val="12"/>
              </w:rPr>
            </w:pPr>
            <w:r w:rsidRPr="00483EBE">
              <w:rPr>
                <w:sz w:val="12"/>
                <w:szCs w:val="12"/>
              </w:rPr>
              <w:t>SM</w:t>
            </w:r>
          </w:p>
        </w:tc>
      </w:tr>
      <w:tr w:rsidR="00572995" w:rsidRPr="00483EBE" w14:paraId="069B3F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604AA2"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341BF295"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F360DC7" w14:textId="77777777" w:rsidR="00572995" w:rsidRPr="00483EBE" w:rsidRDefault="00572995" w:rsidP="00E8324D">
            <w:pPr>
              <w:pStyle w:val="Tablas"/>
              <w:rPr>
                <w:sz w:val="12"/>
                <w:szCs w:val="12"/>
              </w:rPr>
            </w:pPr>
            <w:r w:rsidRPr="00483EBE">
              <w:rPr>
                <w:sz w:val="12"/>
                <w:szCs w:val="12"/>
              </w:rPr>
              <w:t>$6,432</w:t>
            </w:r>
          </w:p>
        </w:tc>
        <w:tc>
          <w:tcPr>
            <w:tcW w:w="0" w:type="auto"/>
            <w:tcBorders>
              <w:top w:val="nil"/>
              <w:left w:val="nil"/>
              <w:bottom w:val="single" w:sz="4" w:space="0" w:color="auto"/>
              <w:right w:val="single" w:sz="4" w:space="0" w:color="auto"/>
            </w:tcBorders>
            <w:shd w:val="clear" w:color="auto" w:fill="auto"/>
            <w:vAlign w:val="center"/>
            <w:hideMark/>
          </w:tcPr>
          <w:p w14:paraId="47BB685B" w14:textId="77777777" w:rsidR="00572995" w:rsidRPr="00483EBE" w:rsidRDefault="00572995" w:rsidP="00E8324D">
            <w:pPr>
              <w:pStyle w:val="Tablas"/>
              <w:rPr>
                <w:sz w:val="12"/>
                <w:szCs w:val="12"/>
              </w:rPr>
            </w:pPr>
            <w:r w:rsidRPr="00483EBE">
              <w:rPr>
                <w:sz w:val="12"/>
                <w:szCs w:val="12"/>
              </w:rPr>
              <w:t>$1,286</w:t>
            </w:r>
          </w:p>
        </w:tc>
        <w:tc>
          <w:tcPr>
            <w:tcW w:w="0" w:type="auto"/>
            <w:tcBorders>
              <w:top w:val="nil"/>
              <w:left w:val="nil"/>
              <w:bottom w:val="single" w:sz="4" w:space="0" w:color="auto"/>
              <w:right w:val="single" w:sz="4" w:space="0" w:color="auto"/>
            </w:tcBorders>
            <w:shd w:val="clear" w:color="auto" w:fill="auto"/>
            <w:vAlign w:val="center"/>
            <w:hideMark/>
          </w:tcPr>
          <w:p w14:paraId="7B9F3576"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25D2D7D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4B03DF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46BA53"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6C66CA7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E71CF35" w14:textId="77777777" w:rsidR="00572995" w:rsidRPr="00483EBE" w:rsidRDefault="00572995" w:rsidP="00E8324D">
            <w:pPr>
              <w:pStyle w:val="Tablas"/>
              <w:rPr>
                <w:sz w:val="12"/>
                <w:szCs w:val="12"/>
              </w:rPr>
            </w:pPr>
            <w:r w:rsidRPr="00483EBE">
              <w:rPr>
                <w:sz w:val="12"/>
                <w:szCs w:val="12"/>
              </w:rPr>
              <w:t>$14,070</w:t>
            </w:r>
          </w:p>
        </w:tc>
        <w:tc>
          <w:tcPr>
            <w:tcW w:w="0" w:type="auto"/>
            <w:tcBorders>
              <w:top w:val="nil"/>
              <w:left w:val="nil"/>
              <w:bottom w:val="single" w:sz="4" w:space="0" w:color="auto"/>
              <w:right w:val="single" w:sz="4" w:space="0" w:color="auto"/>
            </w:tcBorders>
            <w:shd w:val="clear" w:color="auto" w:fill="auto"/>
            <w:vAlign w:val="center"/>
            <w:hideMark/>
          </w:tcPr>
          <w:p w14:paraId="2F2702E4" w14:textId="77777777" w:rsidR="00572995" w:rsidRPr="00483EBE" w:rsidRDefault="00572995" w:rsidP="00E8324D">
            <w:pPr>
              <w:pStyle w:val="Tablas"/>
              <w:rPr>
                <w:sz w:val="12"/>
                <w:szCs w:val="12"/>
              </w:rPr>
            </w:pPr>
            <w:r w:rsidRPr="00483EBE">
              <w:rPr>
                <w:sz w:val="12"/>
                <w:szCs w:val="12"/>
              </w:rPr>
              <w:t>$3,517</w:t>
            </w:r>
          </w:p>
        </w:tc>
        <w:tc>
          <w:tcPr>
            <w:tcW w:w="0" w:type="auto"/>
            <w:tcBorders>
              <w:top w:val="nil"/>
              <w:left w:val="nil"/>
              <w:bottom w:val="single" w:sz="4" w:space="0" w:color="auto"/>
              <w:right w:val="single" w:sz="4" w:space="0" w:color="auto"/>
            </w:tcBorders>
            <w:shd w:val="clear" w:color="auto" w:fill="auto"/>
            <w:vAlign w:val="center"/>
            <w:hideMark/>
          </w:tcPr>
          <w:p w14:paraId="06A6A81E" w14:textId="77777777" w:rsidR="00572995" w:rsidRPr="00483EBE" w:rsidRDefault="00572995" w:rsidP="00E8324D">
            <w:pPr>
              <w:pStyle w:val="Tablas"/>
              <w:rPr>
                <w:sz w:val="12"/>
                <w:szCs w:val="12"/>
              </w:rPr>
            </w:pPr>
            <w:r w:rsidRPr="00483EBE">
              <w:rPr>
                <w:sz w:val="12"/>
                <w:szCs w:val="12"/>
              </w:rPr>
              <w:t>$293</w:t>
            </w:r>
          </w:p>
        </w:tc>
        <w:tc>
          <w:tcPr>
            <w:tcW w:w="0" w:type="auto"/>
            <w:tcBorders>
              <w:top w:val="nil"/>
              <w:left w:val="nil"/>
              <w:bottom w:val="single" w:sz="4" w:space="0" w:color="auto"/>
              <w:right w:val="single" w:sz="4" w:space="0" w:color="auto"/>
            </w:tcBorders>
            <w:shd w:val="clear" w:color="auto" w:fill="auto"/>
            <w:vAlign w:val="center"/>
            <w:hideMark/>
          </w:tcPr>
          <w:p w14:paraId="428C3EB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94EFF0C" w14:textId="77777777" w:rsidR="00572995" w:rsidRPr="00483EBE" w:rsidRDefault="00572995" w:rsidP="00E8324D">
            <w:pPr>
              <w:pStyle w:val="Tablas"/>
              <w:rPr>
                <w:sz w:val="12"/>
                <w:szCs w:val="12"/>
              </w:rPr>
            </w:pPr>
            <w:r w:rsidRPr="00483EBE">
              <w:rPr>
                <w:sz w:val="12"/>
                <w:szCs w:val="12"/>
              </w:rPr>
              <w:t>SM</w:t>
            </w:r>
          </w:p>
        </w:tc>
      </w:tr>
      <w:tr w:rsidR="00572995" w:rsidRPr="00483EBE" w14:paraId="1C60204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CEF8B3D"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5CBD6279"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6877A873" w14:textId="77777777" w:rsidR="00572995" w:rsidRPr="00483EBE" w:rsidRDefault="00572995" w:rsidP="00E8324D">
            <w:pPr>
              <w:pStyle w:val="Tablas"/>
              <w:rPr>
                <w:sz w:val="12"/>
                <w:szCs w:val="12"/>
              </w:rPr>
            </w:pPr>
            <w:r w:rsidRPr="00483EBE">
              <w:rPr>
                <w:sz w:val="12"/>
                <w:szCs w:val="12"/>
              </w:rPr>
              <w:t>$8,862</w:t>
            </w:r>
          </w:p>
        </w:tc>
        <w:tc>
          <w:tcPr>
            <w:tcW w:w="0" w:type="auto"/>
            <w:tcBorders>
              <w:top w:val="nil"/>
              <w:left w:val="nil"/>
              <w:bottom w:val="single" w:sz="4" w:space="0" w:color="auto"/>
              <w:right w:val="single" w:sz="4" w:space="0" w:color="auto"/>
            </w:tcBorders>
            <w:shd w:val="clear" w:color="auto" w:fill="auto"/>
            <w:vAlign w:val="center"/>
            <w:hideMark/>
          </w:tcPr>
          <w:p w14:paraId="51864494" w14:textId="77777777" w:rsidR="00572995" w:rsidRPr="00483EBE" w:rsidRDefault="00572995" w:rsidP="00E8324D">
            <w:pPr>
              <w:pStyle w:val="Tablas"/>
              <w:rPr>
                <w:sz w:val="12"/>
                <w:szCs w:val="12"/>
              </w:rPr>
            </w:pPr>
            <w:r w:rsidRPr="00483EBE">
              <w:rPr>
                <w:sz w:val="12"/>
                <w:szCs w:val="12"/>
              </w:rPr>
              <w:t>$1,477</w:t>
            </w:r>
          </w:p>
        </w:tc>
        <w:tc>
          <w:tcPr>
            <w:tcW w:w="0" w:type="auto"/>
            <w:tcBorders>
              <w:top w:val="nil"/>
              <w:left w:val="nil"/>
              <w:bottom w:val="single" w:sz="4" w:space="0" w:color="auto"/>
              <w:right w:val="single" w:sz="4" w:space="0" w:color="auto"/>
            </w:tcBorders>
            <w:shd w:val="clear" w:color="auto" w:fill="auto"/>
            <w:vAlign w:val="center"/>
            <w:hideMark/>
          </w:tcPr>
          <w:p w14:paraId="2701C4D3"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09E88B14"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392C292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E328691"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23614FA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7389D24" w14:textId="77777777" w:rsidR="00572995" w:rsidRPr="00483EBE" w:rsidRDefault="00572995" w:rsidP="00E8324D">
            <w:pPr>
              <w:pStyle w:val="Tablas"/>
              <w:rPr>
                <w:sz w:val="12"/>
                <w:szCs w:val="12"/>
              </w:rPr>
            </w:pPr>
            <w:r w:rsidRPr="00483EBE">
              <w:rPr>
                <w:sz w:val="12"/>
                <w:szCs w:val="12"/>
              </w:rPr>
              <w:t>$6,354</w:t>
            </w:r>
          </w:p>
        </w:tc>
        <w:tc>
          <w:tcPr>
            <w:tcW w:w="0" w:type="auto"/>
            <w:tcBorders>
              <w:top w:val="nil"/>
              <w:left w:val="nil"/>
              <w:bottom w:val="single" w:sz="4" w:space="0" w:color="auto"/>
              <w:right w:val="single" w:sz="4" w:space="0" w:color="auto"/>
            </w:tcBorders>
            <w:shd w:val="clear" w:color="auto" w:fill="auto"/>
            <w:vAlign w:val="center"/>
            <w:hideMark/>
          </w:tcPr>
          <w:p w14:paraId="01F15D20" w14:textId="77777777" w:rsidR="00572995" w:rsidRPr="00483EBE" w:rsidRDefault="00572995" w:rsidP="00E8324D">
            <w:pPr>
              <w:pStyle w:val="Tablas"/>
              <w:rPr>
                <w:sz w:val="12"/>
                <w:szCs w:val="12"/>
              </w:rPr>
            </w:pPr>
            <w:r w:rsidRPr="00483EBE">
              <w:rPr>
                <w:sz w:val="12"/>
                <w:szCs w:val="12"/>
              </w:rPr>
              <w:t>$3,177</w:t>
            </w:r>
          </w:p>
        </w:tc>
        <w:tc>
          <w:tcPr>
            <w:tcW w:w="0" w:type="auto"/>
            <w:tcBorders>
              <w:top w:val="nil"/>
              <w:left w:val="nil"/>
              <w:bottom w:val="single" w:sz="4" w:space="0" w:color="auto"/>
              <w:right w:val="single" w:sz="4" w:space="0" w:color="auto"/>
            </w:tcBorders>
            <w:shd w:val="clear" w:color="auto" w:fill="auto"/>
            <w:vAlign w:val="center"/>
            <w:hideMark/>
          </w:tcPr>
          <w:p w14:paraId="238E4F72" w14:textId="77777777" w:rsidR="00572995" w:rsidRPr="00483EBE" w:rsidRDefault="00572995" w:rsidP="00E8324D">
            <w:pPr>
              <w:pStyle w:val="Tablas"/>
              <w:rPr>
                <w:sz w:val="12"/>
                <w:szCs w:val="12"/>
              </w:rPr>
            </w:pPr>
            <w:r w:rsidRPr="00483EBE">
              <w:rPr>
                <w:sz w:val="12"/>
                <w:szCs w:val="12"/>
              </w:rPr>
              <w:t>$265</w:t>
            </w:r>
          </w:p>
        </w:tc>
        <w:tc>
          <w:tcPr>
            <w:tcW w:w="0" w:type="auto"/>
            <w:tcBorders>
              <w:top w:val="nil"/>
              <w:left w:val="nil"/>
              <w:bottom w:val="single" w:sz="4" w:space="0" w:color="auto"/>
              <w:right w:val="single" w:sz="4" w:space="0" w:color="auto"/>
            </w:tcBorders>
            <w:shd w:val="clear" w:color="auto" w:fill="auto"/>
            <w:vAlign w:val="center"/>
            <w:hideMark/>
          </w:tcPr>
          <w:p w14:paraId="258A927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5020FB93" w14:textId="77777777" w:rsidR="00572995" w:rsidRPr="00483EBE" w:rsidRDefault="00572995" w:rsidP="00E8324D">
            <w:pPr>
              <w:pStyle w:val="Tablas"/>
              <w:rPr>
                <w:sz w:val="12"/>
                <w:szCs w:val="12"/>
              </w:rPr>
            </w:pPr>
            <w:r w:rsidRPr="00483EBE">
              <w:rPr>
                <w:sz w:val="12"/>
                <w:szCs w:val="12"/>
              </w:rPr>
              <w:t>SM</w:t>
            </w:r>
          </w:p>
        </w:tc>
      </w:tr>
      <w:tr w:rsidR="00572995" w:rsidRPr="00483EBE" w14:paraId="19ABFEE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C31085"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0C5D982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DA30833"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727E8C47"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7BD87474"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39F87F4D"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D387BE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AF4FE1E"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33C59227"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D84A00F" w14:textId="77777777" w:rsidR="00572995" w:rsidRPr="00483EBE" w:rsidRDefault="00572995" w:rsidP="00E8324D">
            <w:pPr>
              <w:pStyle w:val="Tablas"/>
              <w:rPr>
                <w:sz w:val="12"/>
                <w:szCs w:val="12"/>
              </w:rPr>
            </w:pPr>
            <w:r w:rsidRPr="00483EBE">
              <w:rPr>
                <w:sz w:val="12"/>
                <w:szCs w:val="12"/>
              </w:rPr>
              <w:t>$11,983</w:t>
            </w:r>
          </w:p>
        </w:tc>
        <w:tc>
          <w:tcPr>
            <w:tcW w:w="0" w:type="auto"/>
            <w:tcBorders>
              <w:top w:val="nil"/>
              <w:left w:val="nil"/>
              <w:bottom w:val="single" w:sz="4" w:space="0" w:color="auto"/>
              <w:right w:val="single" w:sz="4" w:space="0" w:color="auto"/>
            </w:tcBorders>
            <w:shd w:val="clear" w:color="auto" w:fill="auto"/>
            <w:vAlign w:val="center"/>
            <w:hideMark/>
          </w:tcPr>
          <w:p w14:paraId="23FD3AA4" w14:textId="77777777" w:rsidR="00572995" w:rsidRPr="00483EBE" w:rsidRDefault="00572995" w:rsidP="00E8324D">
            <w:pPr>
              <w:pStyle w:val="Tablas"/>
              <w:rPr>
                <w:sz w:val="12"/>
                <w:szCs w:val="12"/>
              </w:rPr>
            </w:pPr>
            <w:r w:rsidRPr="00483EBE">
              <w:rPr>
                <w:sz w:val="12"/>
                <w:szCs w:val="12"/>
              </w:rPr>
              <w:t>$2,996</w:t>
            </w:r>
          </w:p>
        </w:tc>
        <w:tc>
          <w:tcPr>
            <w:tcW w:w="0" w:type="auto"/>
            <w:tcBorders>
              <w:top w:val="nil"/>
              <w:left w:val="nil"/>
              <w:bottom w:val="single" w:sz="4" w:space="0" w:color="auto"/>
              <w:right w:val="single" w:sz="4" w:space="0" w:color="auto"/>
            </w:tcBorders>
            <w:shd w:val="clear" w:color="auto" w:fill="auto"/>
            <w:vAlign w:val="center"/>
            <w:hideMark/>
          </w:tcPr>
          <w:p w14:paraId="44BF5B3A"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7C1B9C0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A3CCDB2" w14:textId="77777777" w:rsidR="00572995" w:rsidRPr="00483EBE" w:rsidRDefault="00572995" w:rsidP="00E8324D">
            <w:pPr>
              <w:pStyle w:val="Tablas"/>
              <w:rPr>
                <w:sz w:val="12"/>
                <w:szCs w:val="12"/>
              </w:rPr>
            </w:pPr>
            <w:r w:rsidRPr="00483EBE">
              <w:rPr>
                <w:sz w:val="12"/>
                <w:szCs w:val="12"/>
              </w:rPr>
              <w:t>SM</w:t>
            </w:r>
          </w:p>
        </w:tc>
      </w:tr>
      <w:tr w:rsidR="00572995" w:rsidRPr="00483EBE" w14:paraId="4CA30A0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65ECA91"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D8E1709"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3F167F93" w14:textId="77777777" w:rsidR="00572995" w:rsidRPr="00483EBE" w:rsidRDefault="00572995" w:rsidP="00E8324D">
            <w:pPr>
              <w:pStyle w:val="Tablas"/>
              <w:rPr>
                <w:sz w:val="12"/>
                <w:szCs w:val="12"/>
              </w:rPr>
            </w:pPr>
            <w:r w:rsidRPr="00483EBE">
              <w:rPr>
                <w:sz w:val="12"/>
                <w:szCs w:val="12"/>
              </w:rPr>
              <w:t>$8,996</w:t>
            </w:r>
          </w:p>
        </w:tc>
        <w:tc>
          <w:tcPr>
            <w:tcW w:w="0" w:type="auto"/>
            <w:tcBorders>
              <w:top w:val="nil"/>
              <w:left w:val="nil"/>
              <w:bottom w:val="single" w:sz="4" w:space="0" w:color="auto"/>
              <w:right w:val="single" w:sz="4" w:space="0" w:color="auto"/>
            </w:tcBorders>
            <w:shd w:val="clear" w:color="auto" w:fill="auto"/>
            <w:vAlign w:val="center"/>
            <w:hideMark/>
          </w:tcPr>
          <w:p w14:paraId="5D28F2EE" w14:textId="77777777" w:rsidR="00572995" w:rsidRPr="00483EBE" w:rsidRDefault="00572995" w:rsidP="00E8324D">
            <w:pPr>
              <w:pStyle w:val="Tablas"/>
              <w:rPr>
                <w:sz w:val="12"/>
                <w:szCs w:val="12"/>
              </w:rPr>
            </w:pPr>
            <w:r w:rsidRPr="00483EBE">
              <w:rPr>
                <w:sz w:val="12"/>
                <w:szCs w:val="12"/>
              </w:rPr>
              <w:t>$1,499</w:t>
            </w:r>
          </w:p>
        </w:tc>
        <w:tc>
          <w:tcPr>
            <w:tcW w:w="0" w:type="auto"/>
            <w:tcBorders>
              <w:top w:val="nil"/>
              <w:left w:val="nil"/>
              <w:bottom w:val="single" w:sz="4" w:space="0" w:color="auto"/>
              <w:right w:val="single" w:sz="4" w:space="0" w:color="auto"/>
            </w:tcBorders>
            <w:shd w:val="clear" w:color="auto" w:fill="auto"/>
            <w:vAlign w:val="center"/>
            <w:hideMark/>
          </w:tcPr>
          <w:p w14:paraId="06FC8E13" w14:textId="77777777" w:rsidR="00572995" w:rsidRPr="00483EBE" w:rsidRDefault="00572995" w:rsidP="00E8324D">
            <w:pPr>
              <w:pStyle w:val="Tablas"/>
              <w:rPr>
                <w:sz w:val="12"/>
                <w:szCs w:val="12"/>
              </w:rPr>
            </w:pPr>
            <w:r w:rsidRPr="00483EBE">
              <w:rPr>
                <w:sz w:val="12"/>
                <w:szCs w:val="12"/>
              </w:rPr>
              <w:t>$125</w:t>
            </w:r>
          </w:p>
        </w:tc>
        <w:tc>
          <w:tcPr>
            <w:tcW w:w="0" w:type="auto"/>
            <w:tcBorders>
              <w:top w:val="nil"/>
              <w:left w:val="nil"/>
              <w:bottom w:val="single" w:sz="4" w:space="0" w:color="auto"/>
              <w:right w:val="single" w:sz="4" w:space="0" w:color="auto"/>
            </w:tcBorders>
            <w:shd w:val="clear" w:color="auto" w:fill="auto"/>
            <w:vAlign w:val="center"/>
            <w:hideMark/>
          </w:tcPr>
          <w:p w14:paraId="21E31AD0"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08861F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B236114"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07500B0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4C36E9F" w14:textId="77777777" w:rsidR="00572995" w:rsidRPr="00483EBE" w:rsidRDefault="00572995" w:rsidP="00E8324D">
            <w:pPr>
              <w:pStyle w:val="Tablas"/>
              <w:rPr>
                <w:sz w:val="12"/>
                <w:szCs w:val="12"/>
              </w:rPr>
            </w:pPr>
            <w:r w:rsidRPr="00483EBE">
              <w:rPr>
                <w:sz w:val="12"/>
                <w:szCs w:val="12"/>
              </w:rPr>
              <w:t>$12,579</w:t>
            </w:r>
          </w:p>
        </w:tc>
        <w:tc>
          <w:tcPr>
            <w:tcW w:w="0" w:type="auto"/>
            <w:tcBorders>
              <w:top w:val="nil"/>
              <w:left w:val="nil"/>
              <w:bottom w:val="single" w:sz="4" w:space="0" w:color="auto"/>
              <w:right w:val="single" w:sz="4" w:space="0" w:color="auto"/>
            </w:tcBorders>
            <w:shd w:val="clear" w:color="auto" w:fill="auto"/>
            <w:vAlign w:val="center"/>
            <w:hideMark/>
          </w:tcPr>
          <w:p w14:paraId="78779F40" w14:textId="77777777" w:rsidR="00572995" w:rsidRPr="00483EBE" w:rsidRDefault="00572995" w:rsidP="00E8324D">
            <w:pPr>
              <w:pStyle w:val="Tablas"/>
              <w:rPr>
                <w:sz w:val="12"/>
                <w:szCs w:val="12"/>
              </w:rPr>
            </w:pPr>
            <w:r w:rsidRPr="00483EBE">
              <w:rPr>
                <w:sz w:val="12"/>
                <w:szCs w:val="12"/>
              </w:rPr>
              <w:t>$3,145</w:t>
            </w:r>
          </w:p>
        </w:tc>
        <w:tc>
          <w:tcPr>
            <w:tcW w:w="0" w:type="auto"/>
            <w:tcBorders>
              <w:top w:val="nil"/>
              <w:left w:val="nil"/>
              <w:bottom w:val="single" w:sz="4" w:space="0" w:color="auto"/>
              <w:right w:val="single" w:sz="4" w:space="0" w:color="auto"/>
            </w:tcBorders>
            <w:shd w:val="clear" w:color="auto" w:fill="auto"/>
            <w:vAlign w:val="center"/>
            <w:hideMark/>
          </w:tcPr>
          <w:p w14:paraId="2025641F" w14:textId="77777777" w:rsidR="00572995" w:rsidRPr="00483EBE" w:rsidRDefault="00572995" w:rsidP="00E8324D">
            <w:pPr>
              <w:pStyle w:val="Tablas"/>
              <w:rPr>
                <w:sz w:val="12"/>
                <w:szCs w:val="12"/>
              </w:rPr>
            </w:pPr>
            <w:r w:rsidRPr="00483EBE">
              <w:rPr>
                <w:sz w:val="12"/>
                <w:szCs w:val="12"/>
              </w:rPr>
              <w:t>$262</w:t>
            </w:r>
          </w:p>
        </w:tc>
        <w:tc>
          <w:tcPr>
            <w:tcW w:w="0" w:type="auto"/>
            <w:tcBorders>
              <w:top w:val="nil"/>
              <w:left w:val="nil"/>
              <w:bottom w:val="single" w:sz="4" w:space="0" w:color="auto"/>
              <w:right w:val="single" w:sz="4" w:space="0" w:color="auto"/>
            </w:tcBorders>
            <w:shd w:val="clear" w:color="auto" w:fill="auto"/>
            <w:vAlign w:val="center"/>
            <w:hideMark/>
          </w:tcPr>
          <w:p w14:paraId="557EB52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8F791D8" w14:textId="77777777" w:rsidR="00572995" w:rsidRPr="00483EBE" w:rsidRDefault="00572995" w:rsidP="00E8324D">
            <w:pPr>
              <w:pStyle w:val="Tablas"/>
              <w:rPr>
                <w:sz w:val="12"/>
                <w:szCs w:val="12"/>
              </w:rPr>
            </w:pPr>
            <w:r w:rsidRPr="00483EBE">
              <w:rPr>
                <w:sz w:val="12"/>
                <w:szCs w:val="12"/>
              </w:rPr>
              <w:t>SM</w:t>
            </w:r>
          </w:p>
        </w:tc>
      </w:tr>
      <w:tr w:rsidR="00572995" w:rsidRPr="00483EBE" w14:paraId="4FBCB6C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5C45A14"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8C0793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0AF65B65" w14:textId="77777777" w:rsidR="00572995" w:rsidRPr="00483EBE" w:rsidRDefault="00572995" w:rsidP="00E8324D">
            <w:pPr>
              <w:pStyle w:val="Tablas"/>
              <w:rPr>
                <w:sz w:val="12"/>
                <w:szCs w:val="12"/>
              </w:rPr>
            </w:pPr>
            <w:r w:rsidRPr="00483EBE">
              <w:rPr>
                <w:sz w:val="12"/>
                <w:szCs w:val="12"/>
              </w:rPr>
              <w:t>$11,699</w:t>
            </w:r>
          </w:p>
        </w:tc>
        <w:tc>
          <w:tcPr>
            <w:tcW w:w="0" w:type="auto"/>
            <w:tcBorders>
              <w:top w:val="nil"/>
              <w:left w:val="nil"/>
              <w:bottom w:val="single" w:sz="4" w:space="0" w:color="auto"/>
              <w:right w:val="single" w:sz="4" w:space="0" w:color="auto"/>
            </w:tcBorders>
            <w:shd w:val="clear" w:color="auto" w:fill="auto"/>
            <w:vAlign w:val="center"/>
            <w:hideMark/>
          </w:tcPr>
          <w:p w14:paraId="281CD848" w14:textId="77777777" w:rsidR="00572995" w:rsidRPr="00483EBE" w:rsidRDefault="00572995" w:rsidP="00E8324D">
            <w:pPr>
              <w:pStyle w:val="Tablas"/>
              <w:rPr>
                <w:sz w:val="12"/>
                <w:szCs w:val="12"/>
              </w:rPr>
            </w:pPr>
            <w:r w:rsidRPr="00483EBE">
              <w:rPr>
                <w:sz w:val="12"/>
                <w:szCs w:val="12"/>
              </w:rPr>
              <w:t>$1,671</w:t>
            </w:r>
          </w:p>
        </w:tc>
        <w:tc>
          <w:tcPr>
            <w:tcW w:w="0" w:type="auto"/>
            <w:tcBorders>
              <w:top w:val="nil"/>
              <w:left w:val="nil"/>
              <w:bottom w:val="single" w:sz="4" w:space="0" w:color="auto"/>
              <w:right w:val="single" w:sz="4" w:space="0" w:color="auto"/>
            </w:tcBorders>
            <w:shd w:val="clear" w:color="auto" w:fill="auto"/>
            <w:vAlign w:val="center"/>
            <w:hideMark/>
          </w:tcPr>
          <w:p w14:paraId="75A20A89" w14:textId="77777777" w:rsidR="00572995" w:rsidRPr="00483EBE" w:rsidRDefault="00572995" w:rsidP="00E8324D">
            <w:pPr>
              <w:pStyle w:val="Tablas"/>
              <w:rPr>
                <w:sz w:val="12"/>
                <w:szCs w:val="12"/>
              </w:rPr>
            </w:pPr>
            <w:r w:rsidRPr="00483EBE">
              <w:rPr>
                <w:sz w:val="12"/>
                <w:szCs w:val="12"/>
              </w:rPr>
              <w:t>$139</w:t>
            </w:r>
          </w:p>
        </w:tc>
        <w:tc>
          <w:tcPr>
            <w:tcW w:w="0" w:type="auto"/>
            <w:tcBorders>
              <w:top w:val="nil"/>
              <w:left w:val="nil"/>
              <w:bottom w:val="single" w:sz="4" w:space="0" w:color="auto"/>
              <w:right w:val="single" w:sz="4" w:space="0" w:color="auto"/>
            </w:tcBorders>
            <w:shd w:val="clear" w:color="auto" w:fill="auto"/>
            <w:vAlign w:val="center"/>
            <w:hideMark/>
          </w:tcPr>
          <w:p w14:paraId="647B1571"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0F26AA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EF1E035"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303327CC"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58A8F15" w14:textId="77777777" w:rsidR="00572995" w:rsidRPr="00483EBE" w:rsidRDefault="00572995" w:rsidP="00E8324D">
            <w:pPr>
              <w:pStyle w:val="Tablas"/>
              <w:rPr>
                <w:sz w:val="12"/>
                <w:szCs w:val="12"/>
              </w:rPr>
            </w:pPr>
            <w:r w:rsidRPr="00483EBE">
              <w:rPr>
                <w:sz w:val="12"/>
                <w:szCs w:val="12"/>
              </w:rPr>
              <w:t>$22,062</w:t>
            </w:r>
          </w:p>
        </w:tc>
        <w:tc>
          <w:tcPr>
            <w:tcW w:w="0" w:type="auto"/>
            <w:tcBorders>
              <w:top w:val="nil"/>
              <w:left w:val="nil"/>
              <w:bottom w:val="single" w:sz="4" w:space="0" w:color="auto"/>
              <w:right w:val="single" w:sz="4" w:space="0" w:color="auto"/>
            </w:tcBorders>
            <w:shd w:val="clear" w:color="auto" w:fill="auto"/>
            <w:vAlign w:val="center"/>
            <w:hideMark/>
          </w:tcPr>
          <w:p w14:paraId="1F9FE788" w14:textId="77777777" w:rsidR="00572995" w:rsidRPr="00483EBE" w:rsidRDefault="00572995" w:rsidP="00E8324D">
            <w:pPr>
              <w:pStyle w:val="Tablas"/>
              <w:rPr>
                <w:sz w:val="12"/>
                <w:szCs w:val="12"/>
              </w:rPr>
            </w:pPr>
            <w:r w:rsidRPr="00483EBE">
              <w:rPr>
                <w:sz w:val="12"/>
                <w:szCs w:val="12"/>
              </w:rPr>
              <w:t>$3,152</w:t>
            </w:r>
          </w:p>
        </w:tc>
        <w:tc>
          <w:tcPr>
            <w:tcW w:w="0" w:type="auto"/>
            <w:tcBorders>
              <w:top w:val="nil"/>
              <w:left w:val="nil"/>
              <w:bottom w:val="single" w:sz="4" w:space="0" w:color="auto"/>
              <w:right w:val="single" w:sz="4" w:space="0" w:color="auto"/>
            </w:tcBorders>
            <w:shd w:val="clear" w:color="auto" w:fill="auto"/>
            <w:vAlign w:val="center"/>
            <w:hideMark/>
          </w:tcPr>
          <w:p w14:paraId="54820A25" w14:textId="77777777" w:rsidR="00572995" w:rsidRPr="00483EBE" w:rsidRDefault="00572995" w:rsidP="00E8324D">
            <w:pPr>
              <w:pStyle w:val="Tablas"/>
              <w:rPr>
                <w:sz w:val="12"/>
                <w:szCs w:val="12"/>
              </w:rPr>
            </w:pPr>
            <w:r w:rsidRPr="00483EBE">
              <w:rPr>
                <w:sz w:val="12"/>
                <w:szCs w:val="12"/>
              </w:rPr>
              <w:t>$263</w:t>
            </w:r>
          </w:p>
        </w:tc>
        <w:tc>
          <w:tcPr>
            <w:tcW w:w="0" w:type="auto"/>
            <w:tcBorders>
              <w:top w:val="nil"/>
              <w:left w:val="nil"/>
              <w:bottom w:val="single" w:sz="4" w:space="0" w:color="auto"/>
              <w:right w:val="single" w:sz="4" w:space="0" w:color="auto"/>
            </w:tcBorders>
            <w:shd w:val="clear" w:color="auto" w:fill="auto"/>
            <w:vAlign w:val="center"/>
            <w:hideMark/>
          </w:tcPr>
          <w:p w14:paraId="1BCC210F"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11CFA58" w14:textId="77777777" w:rsidR="00572995" w:rsidRPr="00483EBE" w:rsidRDefault="00572995" w:rsidP="00E8324D">
            <w:pPr>
              <w:pStyle w:val="Tablas"/>
              <w:rPr>
                <w:sz w:val="12"/>
                <w:szCs w:val="12"/>
              </w:rPr>
            </w:pPr>
            <w:r w:rsidRPr="00483EBE">
              <w:rPr>
                <w:sz w:val="12"/>
                <w:szCs w:val="12"/>
              </w:rPr>
              <w:t>SM</w:t>
            </w:r>
          </w:p>
        </w:tc>
      </w:tr>
      <w:tr w:rsidR="00572995" w:rsidRPr="00483EBE" w14:paraId="1381E7A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BD65C3"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1DF5AAE1"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4A946B0" w14:textId="77777777" w:rsidR="00572995" w:rsidRPr="00483EBE" w:rsidRDefault="00572995" w:rsidP="00E8324D">
            <w:pPr>
              <w:pStyle w:val="Tablas"/>
              <w:rPr>
                <w:sz w:val="12"/>
                <w:szCs w:val="12"/>
              </w:rPr>
            </w:pPr>
            <w:r w:rsidRPr="00483EBE">
              <w:rPr>
                <w:sz w:val="12"/>
                <w:szCs w:val="12"/>
              </w:rPr>
              <w:t>$3,712</w:t>
            </w:r>
          </w:p>
        </w:tc>
        <w:tc>
          <w:tcPr>
            <w:tcW w:w="0" w:type="auto"/>
            <w:tcBorders>
              <w:top w:val="nil"/>
              <w:left w:val="nil"/>
              <w:bottom w:val="single" w:sz="4" w:space="0" w:color="auto"/>
              <w:right w:val="single" w:sz="4" w:space="0" w:color="auto"/>
            </w:tcBorders>
            <w:shd w:val="clear" w:color="auto" w:fill="auto"/>
            <w:vAlign w:val="center"/>
            <w:hideMark/>
          </w:tcPr>
          <w:p w14:paraId="1D09BCAF" w14:textId="77777777" w:rsidR="00572995" w:rsidRPr="00483EBE" w:rsidRDefault="00572995" w:rsidP="00E8324D">
            <w:pPr>
              <w:pStyle w:val="Tablas"/>
              <w:rPr>
                <w:sz w:val="12"/>
                <w:szCs w:val="12"/>
              </w:rPr>
            </w:pPr>
            <w:r w:rsidRPr="00483EBE">
              <w:rPr>
                <w:sz w:val="12"/>
                <w:szCs w:val="12"/>
              </w:rPr>
              <w:t>$928</w:t>
            </w:r>
          </w:p>
        </w:tc>
        <w:tc>
          <w:tcPr>
            <w:tcW w:w="0" w:type="auto"/>
            <w:tcBorders>
              <w:top w:val="nil"/>
              <w:left w:val="nil"/>
              <w:bottom w:val="single" w:sz="4" w:space="0" w:color="auto"/>
              <w:right w:val="single" w:sz="4" w:space="0" w:color="auto"/>
            </w:tcBorders>
            <w:shd w:val="clear" w:color="auto" w:fill="auto"/>
            <w:vAlign w:val="center"/>
            <w:hideMark/>
          </w:tcPr>
          <w:p w14:paraId="19984B09"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02835A5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42E36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FAB184"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5B791CD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0552805"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6DED2A92"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3E870C50"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5DF03AD8"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40E4BE1" w14:textId="77777777" w:rsidR="00572995" w:rsidRPr="00483EBE" w:rsidRDefault="00572995" w:rsidP="00E8324D">
            <w:pPr>
              <w:pStyle w:val="Tablas"/>
              <w:rPr>
                <w:sz w:val="12"/>
                <w:szCs w:val="12"/>
              </w:rPr>
            </w:pPr>
            <w:r w:rsidRPr="00483EBE">
              <w:rPr>
                <w:sz w:val="12"/>
                <w:szCs w:val="12"/>
              </w:rPr>
              <w:t>SM</w:t>
            </w:r>
          </w:p>
        </w:tc>
      </w:tr>
      <w:tr w:rsidR="00572995" w:rsidRPr="00483EBE" w14:paraId="142F28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9A0E79A"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2CE1FB6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4766D04" w14:textId="77777777" w:rsidR="00572995" w:rsidRPr="00483EBE" w:rsidRDefault="00572995" w:rsidP="00E8324D">
            <w:pPr>
              <w:pStyle w:val="Tablas"/>
              <w:rPr>
                <w:sz w:val="12"/>
                <w:szCs w:val="12"/>
              </w:rPr>
            </w:pPr>
            <w:r w:rsidRPr="00483EBE">
              <w:rPr>
                <w:sz w:val="12"/>
                <w:szCs w:val="12"/>
              </w:rPr>
              <w:t>$1,350</w:t>
            </w:r>
          </w:p>
        </w:tc>
        <w:tc>
          <w:tcPr>
            <w:tcW w:w="0" w:type="auto"/>
            <w:tcBorders>
              <w:top w:val="nil"/>
              <w:left w:val="nil"/>
              <w:bottom w:val="single" w:sz="4" w:space="0" w:color="auto"/>
              <w:right w:val="single" w:sz="4" w:space="0" w:color="auto"/>
            </w:tcBorders>
            <w:shd w:val="clear" w:color="auto" w:fill="auto"/>
            <w:vAlign w:val="center"/>
            <w:hideMark/>
          </w:tcPr>
          <w:p w14:paraId="7E41210B" w14:textId="77777777" w:rsidR="00572995" w:rsidRPr="00483EBE" w:rsidRDefault="00572995" w:rsidP="00E8324D">
            <w:pPr>
              <w:pStyle w:val="Tablas"/>
              <w:rPr>
                <w:sz w:val="12"/>
                <w:szCs w:val="12"/>
              </w:rPr>
            </w:pPr>
            <w:r w:rsidRPr="00483EBE">
              <w:rPr>
                <w:sz w:val="12"/>
                <w:szCs w:val="12"/>
              </w:rPr>
              <w:t>$1,350</w:t>
            </w:r>
          </w:p>
        </w:tc>
        <w:tc>
          <w:tcPr>
            <w:tcW w:w="0" w:type="auto"/>
            <w:tcBorders>
              <w:top w:val="nil"/>
              <w:left w:val="nil"/>
              <w:bottom w:val="single" w:sz="4" w:space="0" w:color="auto"/>
              <w:right w:val="single" w:sz="4" w:space="0" w:color="auto"/>
            </w:tcBorders>
            <w:shd w:val="clear" w:color="auto" w:fill="auto"/>
            <w:vAlign w:val="center"/>
            <w:hideMark/>
          </w:tcPr>
          <w:p w14:paraId="239DA719"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7220268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673B91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090F82F"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448DDF77"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1C2C182" w14:textId="77777777" w:rsidR="00572995" w:rsidRPr="00483EBE" w:rsidRDefault="00572995" w:rsidP="00E8324D">
            <w:pPr>
              <w:pStyle w:val="Tablas"/>
              <w:rPr>
                <w:sz w:val="12"/>
                <w:szCs w:val="12"/>
              </w:rPr>
            </w:pPr>
            <w:r w:rsidRPr="00483EBE">
              <w:rPr>
                <w:sz w:val="12"/>
                <w:szCs w:val="12"/>
              </w:rPr>
              <w:t>$5,993</w:t>
            </w:r>
          </w:p>
        </w:tc>
        <w:tc>
          <w:tcPr>
            <w:tcW w:w="0" w:type="auto"/>
            <w:tcBorders>
              <w:top w:val="nil"/>
              <w:left w:val="nil"/>
              <w:bottom w:val="single" w:sz="4" w:space="0" w:color="auto"/>
              <w:right w:val="single" w:sz="4" w:space="0" w:color="auto"/>
            </w:tcBorders>
            <w:shd w:val="clear" w:color="auto" w:fill="auto"/>
            <w:vAlign w:val="center"/>
            <w:hideMark/>
          </w:tcPr>
          <w:p w14:paraId="77865391" w14:textId="77777777" w:rsidR="00572995" w:rsidRPr="00483EBE" w:rsidRDefault="00572995" w:rsidP="00E8324D">
            <w:pPr>
              <w:pStyle w:val="Tablas"/>
              <w:rPr>
                <w:sz w:val="12"/>
                <w:szCs w:val="12"/>
              </w:rPr>
            </w:pPr>
            <w:r w:rsidRPr="00483EBE">
              <w:rPr>
                <w:sz w:val="12"/>
                <w:szCs w:val="12"/>
              </w:rPr>
              <w:t>$2,997</w:t>
            </w:r>
          </w:p>
        </w:tc>
        <w:tc>
          <w:tcPr>
            <w:tcW w:w="0" w:type="auto"/>
            <w:tcBorders>
              <w:top w:val="nil"/>
              <w:left w:val="nil"/>
              <w:bottom w:val="single" w:sz="4" w:space="0" w:color="auto"/>
              <w:right w:val="single" w:sz="4" w:space="0" w:color="auto"/>
            </w:tcBorders>
            <w:shd w:val="clear" w:color="auto" w:fill="auto"/>
            <w:vAlign w:val="center"/>
            <w:hideMark/>
          </w:tcPr>
          <w:p w14:paraId="7740DC7B"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0E574FC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69D1B5A" w14:textId="77777777" w:rsidR="00572995" w:rsidRPr="00483EBE" w:rsidRDefault="00572995" w:rsidP="00E8324D">
            <w:pPr>
              <w:pStyle w:val="Tablas"/>
              <w:rPr>
                <w:sz w:val="12"/>
                <w:szCs w:val="12"/>
              </w:rPr>
            </w:pPr>
            <w:r w:rsidRPr="00483EBE">
              <w:rPr>
                <w:sz w:val="12"/>
                <w:szCs w:val="12"/>
              </w:rPr>
              <w:t>SM</w:t>
            </w:r>
          </w:p>
        </w:tc>
      </w:tr>
      <w:tr w:rsidR="00572995" w:rsidRPr="00483EBE" w14:paraId="236E6A7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2465EA"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3F66A49D"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FC5F65F" w14:textId="77777777" w:rsidR="00572995" w:rsidRPr="00483EBE" w:rsidRDefault="00572995" w:rsidP="00E8324D">
            <w:pPr>
              <w:pStyle w:val="Tablas"/>
              <w:rPr>
                <w:sz w:val="12"/>
                <w:szCs w:val="12"/>
              </w:rPr>
            </w:pPr>
            <w:r w:rsidRPr="00483EBE">
              <w:rPr>
                <w:sz w:val="12"/>
                <w:szCs w:val="12"/>
              </w:rPr>
              <w:t>$1,854</w:t>
            </w:r>
          </w:p>
        </w:tc>
        <w:tc>
          <w:tcPr>
            <w:tcW w:w="0" w:type="auto"/>
            <w:tcBorders>
              <w:top w:val="nil"/>
              <w:left w:val="nil"/>
              <w:bottom w:val="single" w:sz="4" w:space="0" w:color="auto"/>
              <w:right w:val="single" w:sz="4" w:space="0" w:color="auto"/>
            </w:tcBorders>
            <w:shd w:val="clear" w:color="auto" w:fill="auto"/>
            <w:vAlign w:val="center"/>
            <w:hideMark/>
          </w:tcPr>
          <w:p w14:paraId="48898476" w14:textId="77777777" w:rsidR="00572995" w:rsidRPr="00483EBE" w:rsidRDefault="00572995" w:rsidP="00E8324D">
            <w:pPr>
              <w:pStyle w:val="Tablas"/>
              <w:rPr>
                <w:sz w:val="12"/>
                <w:szCs w:val="12"/>
              </w:rPr>
            </w:pPr>
            <w:r w:rsidRPr="00483EBE">
              <w:rPr>
                <w:sz w:val="12"/>
                <w:szCs w:val="12"/>
              </w:rPr>
              <w:t>$927</w:t>
            </w:r>
          </w:p>
        </w:tc>
        <w:tc>
          <w:tcPr>
            <w:tcW w:w="0" w:type="auto"/>
            <w:tcBorders>
              <w:top w:val="nil"/>
              <w:left w:val="nil"/>
              <w:bottom w:val="single" w:sz="4" w:space="0" w:color="auto"/>
              <w:right w:val="single" w:sz="4" w:space="0" w:color="auto"/>
            </w:tcBorders>
            <w:shd w:val="clear" w:color="auto" w:fill="auto"/>
            <w:vAlign w:val="center"/>
            <w:hideMark/>
          </w:tcPr>
          <w:p w14:paraId="5EAB768F"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2F0480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07082CF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B16295"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331FD51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73E5022" w14:textId="77777777" w:rsidR="00572995" w:rsidRPr="00483EBE" w:rsidRDefault="00572995" w:rsidP="00E8324D">
            <w:pPr>
              <w:pStyle w:val="Tablas"/>
              <w:rPr>
                <w:sz w:val="12"/>
                <w:szCs w:val="12"/>
              </w:rPr>
            </w:pPr>
            <w:r w:rsidRPr="00483EBE">
              <w:rPr>
                <w:sz w:val="12"/>
                <w:szCs w:val="12"/>
              </w:rPr>
              <w:t>$10,175</w:t>
            </w:r>
          </w:p>
        </w:tc>
        <w:tc>
          <w:tcPr>
            <w:tcW w:w="0" w:type="auto"/>
            <w:tcBorders>
              <w:top w:val="nil"/>
              <w:left w:val="nil"/>
              <w:bottom w:val="single" w:sz="4" w:space="0" w:color="auto"/>
              <w:right w:val="single" w:sz="4" w:space="0" w:color="auto"/>
            </w:tcBorders>
            <w:shd w:val="clear" w:color="auto" w:fill="auto"/>
            <w:vAlign w:val="center"/>
            <w:hideMark/>
          </w:tcPr>
          <w:p w14:paraId="5C950975" w14:textId="77777777" w:rsidR="00572995" w:rsidRPr="00483EBE" w:rsidRDefault="00572995" w:rsidP="00E8324D">
            <w:pPr>
              <w:pStyle w:val="Tablas"/>
              <w:rPr>
                <w:sz w:val="12"/>
                <w:szCs w:val="12"/>
              </w:rPr>
            </w:pPr>
            <w:r w:rsidRPr="00483EBE">
              <w:rPr>
                <w:sz w:val="12"/>
                <w:szCs w:val="12"/>
              </w:rPr>
              <w:t>$2,544</w:t>
            </w:r>
          </w:p>
        </w:tc>
        <w:tc>
          <w:tcPr>
            <w:tcW w:w="0" w:type="auto"/>
            <w:tcBorders>
              <w:top w:val="nil"/>
              <w:left w:val="nil"/>
              <w:bottom w:val="single" w:sz="4" w:space="0" w:color="auto"/>
              <w:right w:val="single" w:sz="4" w:space="0" w:color="auto"/>
            </w:tcBorders>
            <w:shd w:val="clear" w:color="auto" w:fill="auto"/>
            <w:vAlign w:val="center"/>
            <w:hideMark/>
          </w:tcPr>
          <w:p w14:paraId="5C98B6ED" w14:textId="77777777" w:rsidR="00572995" w:rsidRPr="00483EBE" w:rsidRDefault="00572995" w:rsidP="00E8324D">
            <w:pPr>
              <w:pStyle w:val="Tablas"/>
              <w:rPr>
                <w:sz w:val="12"/>
                <w:szCs w:val="12"/>
              </w:rPr>
            </w:pPr>
            <w:r w:rsidRPr="00483EBE">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69AE91B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6919F239" w14:textId="77777777" w:rsidR="00572995" w:rsidRPr="00483EBE" w:rsidRDefault="00572995" w:rsidP="00E8324D">
            <w:pPr>
              <w:pStyle w:val="Tablas"/>
              <w:rPr>
                <w:sz w:val="12"/>
                <w:szCs w:val="12"/>
              </w:rPr>
            </w:pPr>
            <w:r w:rsidRPr="00483EBE">
              <w:rPr>
                <w:sz w:val="12"/>
                <w:szCs w:val="12"/>
              </w:rPr>
              <w:t>SM</w:t>
            </w:r>
          </w:p>
        </w:tc>
      </w:tr>
      <w:tr w:rsidR="00572995" w:rsidRPr="00483EBE" w14:paraId="2E87E43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F8524B"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1A79DE04"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046FFF7" w14:textId="77777777" w:rsidR="00572995" w:rsidRPr="00483EBE" w:rsidRDefault="00572995" w:rsidP="00E8324D">
            <w:pPr>
              <w:pStyle w:val="Tablas"/>
              <w:rPr>
                <w:sz w:val="12"/>
                <w:szCs w:val="12"/>
              </w:rPr>
            </w:pPr>
            <w:r w:rsidRPr="00483EBE">
              <w:rPr>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14:paraId="4ED68FA1" w14:textId="77777777" w:rsidR="00572995" w:rsidRPr="00483EBE" w:rsidRDefault="00572995" w:rsidP="00E8324D">
            <w:pPr>
              <w:pStyle w:val="Tablas"/>
              <w:rPr>
                <w:sz w:val="12"/>
                <w:szCs w:val="12"/>
              </w:rPr>
            </w:pPr>
            <w:r w:rsidRPr="00483EBE">
              <w:rPr>
                <w:sz w:val="12"/>
                <w:szCs w:val="12"/>
              </w:rPr>
              <w:t>$1,500</w:t>
            </w:r>
          </w:p>
        </w:tc>
        <w:tc>
          <w:tcPr>
            <w:tcW w:w="0" w:type="auto"/>
            <w:tcBorders>
              <w:top w:val="nil"/>
              <w:left w:val="nil"/>
              <w:bottom w:val="single" w:sz="4" w:space="0" w:color="auto"/>
              <w:right w:val="single" w:sz="4" w:space="0" w:color="auto"/>
            </w:tcBorders>
            <w:shd w:val="clear" w:color="auto" w:fill="auto"/>
            <w:vAlign w:val="center"/>
            <w:hideMark/>
          </w:tcPr>
          <w:p w14:paraId="1850F8B8" w14:textId="77777777" w:rsidR="00572995" w:rsidRPr="00483EBE" w:rsidRDefault="00572995" w:rsidP="00E8324D">
            <w:pPr>
              <w:pStyle w:val="Tablas"/>
              <w:rPr>
                <w:sz w:val="12"/>
                <w:szCs w:val="12"/>
              </w:rPr>
            </w:pPr>
            <w:r w:rsidRPr="00483EBE">
              <w:rPr>
                <w:sz w:val="12"/>
                <w:szCs w:val="12"/>
              </w:rPr>
              <w:t>$125</w:t>
            </w:r>
          </w:p>
        </w:tc>
        <w:tc>
          <w:tcPr>
            <w:tcW w:w="0" w:type="auto"/>
            <w:tcBorders>
              <w:top w:val="nil"/>
              <w:left w:val="nil"/>
              <w:bottom w:val="single" w:sz="4" w:space="0" w:color="auto"/>
              <w:right w:val="single" w:sz="4" w:space="0" w:color="auto"/>
            </w:tcBorders>
            <w:shd w:val="clear" w:color="auto" w:fill="auto"/>
            <w:vAlign w:val="center"/>
            <w:hideMark/>
          </w:tcPr>
          <w:p w14:paraId="75626D87"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C10C73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B71D24"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2DE59C3C"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CA77F70" w14:textId="77777777" w:rsidR="00572995" w:rsidRPr="00483EBE" w:rsidRDefault="00572995" w:rsidP="00E8324D">
            <w:pPr>
              <w:pStyle w:val="Tablas"/>
              <w:rPr>
                <w:sz w:val="12"/>
                <w:szCs w:val="12"/>
              </w:rPr>
            </w:pPr>
            <w:r w:rsidRPr="00483EBE">
              <w:rPr>
                <w:sz w:val="12"/>
                <w:szCs w:val="12"/>
              </w:rPr>
              <w:t>$8,989</w:t>
            </w:r>
          </w:p>
        </w:tc>
        <w:tc>
          <w:tcPr>
            <w:tcW w:w="0" w:type="auto"/>
            <w:tcBorders>
              <w:top w:val="nil"/>
              <w:left w:val="nil"/>
              <w:bottom w:val="single" w:sz="4" w:space="0" w:color="auto"/>
              <w:right w:val="single" w:sz="4" w:space="0" w:color="auto"/>
            </w:tcBorders>
            <w:shd w:val="clear" w:color="auto" w:fill="auto"/>
            <w:vAlign w:val="center"/>
            <w:hideMark/>
          </w:tcPr>
          <w:p w14:paraId="20D0DD22" w14:textId="77777777" w:rsidR="00572995" w:rsidRPr="00483EBE" w:rsidRDefault="00572995" w:rsidP="00E8324D">
            <w:pPr>
              <w:pStyle w:val="Tablas"/>
              <w:rPr>
                <w:sz w:val="12"/>
                <w:szCs w:val="12"/>
              </w:rPr>
            </w:pPr>
            <w:r w:rsidRPr="00483EBE">
              <w:rPr>
                <w:sz w:val="12"/>
                <w:szCs w:val="12"/>
              </w:rPr>
              <w:t>$2,996</w:t>
            </w:r>
          </w:p>
        </w:tc>
        <w:tc>
          <w:tcPr>
            <w:tcW w:w="0" w:type="auto"/>
            <w:tcBorders>
              <w:top w:val="nil"/>
              <w:left w:val="nil"/>
              <w:bottom w:val="single" w:sz="4" w:space="0" w:color="auto"/>
              <w:right w:val="single" w:sz="4" w:space="0" w:color="auto"/>
            </w:tcBorders>
            <w:shd w:val="clear" w:color="auto" w:fill="auto"/>
            <w:vAlign w:val="center"/>
            <w:hideMark/>
          </w:tcPr>
          <w:p w14:paraId="07C014FB" w14:textId="77777777" w:rsidR="00572995" w:rsidRPr="00483EBE" w:rsidRDefault="00572995" w:rsidP="00E8324D">
            <w:pPr>
              <w:pStyle w:val="Tablas"/>
              <w:rPr>
                <w:sz w:val="12"/>
                <w:szCs w:val="12"/>
              </w:rPr>
            </w:pPr>
            <w:r w:rsidRPr="00483EBE">
              <w:rPr>
                <w:sz w:val="12"/>
                <w:szCs w:val="12"/>
              </w:rPr>
              <w:t>$250</w:t>
            </w:r>
          </w:p>
        </w:tc>
        <w:tc>
          <w:tcPr>
            <w:tcW w:w="0" w:type="auto"/>
            <w:tcBorders>
              <w:top w:val="nil"/>
              <w:left w:val="nil"/>
              <w:bottom w:val="single" w:sz="4" w:space="0" w:color="auto"/>
              <w:right w:val="single" w:sz="4" w:space="0" w:color="auto"/>
            </w:tcBorders>
            <w:shd w:val="clear" w:color="auto" w:fill="auto"/>
            <w:vAlign w:val="center"/>
            <w:hideMark/>
          </w:tcPr>
          <w:p w14:paraId="6EF19A6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5BE3F1C" w14:textId="77777777" w:rsidR="00572995" w:rsidRPr="00483EBE" w:rsidRDefault="00572995" w:rsidP="00E8324D">
            <w:pPr>
              <w:pStyle w:val="Tablas"/>
              <w:rPr>
                <w:sz w:val="12"/>
                <w:szCs w:val="12"/>
              </w:rPr>
            </w:pPr>
            <w:r w:rsidRPr="00483EBE">
              <w:rPr>
                <w:sz w:val="12"/>
                <w:szCs w:val="12"/>
              </w:rPr>
              <w:t>SM</w:t>
            </w:r>
          </w:p>
        </w:tc>
      </w:tr>
      <w:tr w:rsidR="00572995" w:rsidRPr="00483EBE" w14:paraId="01B38B4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4B2A63"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14A5DCF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A1B2176" w14:textId="77777777" w:rsidR="00572995" w:rsidRPr="00483EBE" w:rsidRDefault="00572995" w:rsidP="00E8324D">
            <w:pPr>
              <w:pStyle w:val="Tablas"/>
              <w:rPr>
                <w:sz w:val="12"/>
                <w:szCs w:val="12"/>
              </w:rPr>
            </w:pPr>
            <w:r w:rsidRPr="00483EBE">
              <w:rPr>
                <w:sz w:val="12"/>
                <w:szCs w:val="12"/>
              </w:rPr>
              <w:t>$828</w:t>
            </w:r>
          </w:p>
        </w:tc>
        <w:tc>
          <w:tcPr>
            <w:tcW w:w="0" w:type="auto"/>
            <w:tcBorders>
              <w:top w:val="nil"/>
              <w:left w:val="nil"/>
              <w:bottom w:val="single" w:sz="4" w:space="0" w:color="auto"/>
              <w:right w:val="single" w:sz="4" w:space="0" w:color="auto"/>
            </w:tcBorders>
            <w:shd w:val="clear" w:color="auto" w:fill="auto"/>
            <w:vAlign w:val="center"/>
            <w:hideMark/>
          </w:tcPr>
          <w:p w14:paraId="3DDF8003" w14:textId="77777777" w:rsidR="00572995" w:rsidRPr="00483EBE" w:rsidRDefault="00572995" w:rsidP="00E8324D">
            <w:pPr>
              <w:pStyle w:val="Tablas"/>
              <w:rPr>
                <w:sz w:val="12"/>
                <w:szCs w:val="12"/>
              </w:rPr>
            </w:pPr>
            <w:r w:rsidRPr="00483EBE">
              <w:rPr>
                <w:sz w:val="12"/>
                <w:szCs w:val="12"/>
              </w:rPr>
              <w:t>$828</w:t>
            </w:r>
          </w:p>
        </w:tc>
        <w:tc>
          <w:tcPr>
            <w:tcW w:w="0" w:type="auto"/>
            <w:tcBorders>
              <w:top w:val="nil"/>
              <w:left w:val="nil"/>
              <w:bottom w:val="single" w:sz="4" w:space="0" w:color="auto"/>
              <w:right w:val="single" w:sz="4" w:space="0" w:color="auto"/>
            </w:tcBorders>
            <w:shd w:val="clear" w:color="auto" w:fill="auto"/>
            <w:vAlign w:val="center"/>
            <w:hideMark/>
          </w:tcPr>
          <w:p w14:paraId="423ECC41"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7E2EB94B"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18770B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3FC5A6D"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2325CCAF"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C2A1B2E" w14:textId="77777777" w:rsidR="00572995" w:rsidRPr="00483EBE" w:rsidRDefault="00572995" w:rsidP="00E8324D">
            <w:pPr>
              <w:pStyle w:val="Tablas"/>
              <w:rPr>
                <w:sz w:val="12"/>
                <w:szCs w:val="12"/>
              </w:rPr>
            </w:pPr>
            <w:r w:rsidRPr="00483EBE">
              <w:rPr>
                <w:sz w:val="12"/>
                <w:szCs w:val="12"/>
              </w:rPr>
              <w:t>$8,742</w:t>
            </w:r>
          </w:p>
        </w:tc>
        <w:tc>
          <w:tcPr>
            <w:tcW w:w="0" w:type="auto"/>
            <w:tcBorders>
              <w:top w:val="nil"/>
              <w:left w:val="nil"/>
              <w:bottom w:val="single" w:sz="4" w:space="0" w:color="auto"/>
              <w:right w:val="single" w:sz="4" w:space="0" w:color="auto"/>
            </w:tcBorders>
            <w:shd w:val="clear" w:color="auto" w:fill="auto"/>
            <w:vAlign w:val="center"/>
            <w:hideMark/>
          </w:tcPr>
          <w:p w14:paraId="7661AA18" w14:textId="77777777" w:rsidR="00572995" w:rsidRPr="00483EBE" w:rsidRDefault="00572995" w:rsidP="00E8324D">
            <w:pPr>
              <w:pStyle w:val="Tablas"/>
              <w:rPr>
                <w:sz w:val="12"/>
                <w:szCs w:val="12"/>
              </w:rPr>
            </w:pPr>
            <w:r w:rsidRPr="00483EBE">
              <w:rPr>
                <w:sz w:val="12"/>
                <w:szCs w:val="12"/>
              </w:rPr>
              <w:t>$2,914</w:t>
            </w:r>
          </w:p>
        </w:tc>
        <w:tc>
          <w:tcPr>
            <w:tcW w:w="0" w:type="auto"/>
            <w:tcBorders>
              <w:top w:val="nil"/>
              <w:left w:val="nil"/>
              <w:bottom w:val="single" w:sz="4" w:space="0" w:color="auto"/>
              <w:right w:val="single" w:sz="4" w:space="0" w:color="auto"/>
            </w:tcBorders>
            <w:shd w:val="clear" w:color="auto" w:fill="auto"/>
            <w:vAlign w:val="center"/>
            <w:hideMark/>
          </w:tcPr>
          <w:p w14:paraId="1BC75AA0"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49EC620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C78647B" w14:textId="77777777" w:rsidR="00572995" w:rsidRPr="00483EBE" w:rsidRDefault="00572995" w:rsidP="00E8324D">
            <w:pPr>
              <w:pStyle w:val="Tablas"/>
              <w:rPr>
                <w:sz w:val="12"/>
                <w:szCs w:val="12"/>
              </w:rPr>
            </w:pPr>
            <w:r w:rsidRPr="00483EBE">
              <w:rPr>
                <w:sz w:val="12"/>
                <w:szCs w:val="12"/>
              </w:rPr>
              <w:t>SM</w:t>
            </w:r>
          </w:p>
        </w:tc>
      </w:tr>
      <w:tr w:rsidR="00572995" w:rsidRPr="00483EBE" w14:paraId="57AB157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F37018"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19203D3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4DA0297" w14:textId="77777777" w:rsidR="00572995" w:rsidRPr="00483EBE" w:rsidRDefault="00572995" w:rsidP="00E8324D">
            <w:pPr>
              <w:pStyle w:val="Tablas"/>
              <w:rPr>
                <w:sz w:val="12"/>
                <w:szCs w:val="12"/>
              </w:rPr>
            </w:pPr>
            <w:r w:rsidRPr="00483EBE">
              <w:rPr>
                <w:sz w:val="12"/>
                <w:szCs w:val="12"/>
              </w:rPr>
              <w:t>$940</w:t>
            </w:r>
          </w:p>
        </w:tc>
        <w:tc>
          <w:tcPr>
            <w:tcW w:w="0" w:type="auto"/>
            <w:tcBorders>
              <w:top w:val="nil"/>
              <w:left w:val="nil"/>
              <w:bottom w:val="single" w:sz="4" w:space="0" w:color="auto"/>
              <w:right w:val="single" w:sz="4" w:space="0" w:color="auto"/>
            </w:tcBorders>
            <w:shd w:val="clear" w:color="auto" w:fill="auto"/>
            <w:vAlign w:val="center"/>
            <w:hideMark/>
          </w:tcPr>
          <w:p w14:paraId="3AA1FB86" w14:textId="77777777" w:rsidR="00572995" w:rsidRPr="00483EBE" w:rsidRDefault="00572995" w:rsidP="00E8324D">
            <w:pPr>
              <w:pStyle w:val="Tablas"/>
              <w:rPr>
                <w:sz w:val="12"/>
                <w:szCs w:val="12"/>
              </w:rPr>
            </w:pPr>
            <w:r w:rsidRPr="00483EBE">
              <w:rPr>
                <w:sz w:val="12"/>
                <w:szCs w:val="12"/>
              </w:rPr>
              <w:t>$940</w:t>
            </w:r>
          </w:p>
        </w:tc>
        <w:tc>
          <w:tcPr>
            <w:tcW w:w="0" w:type="auto"/>
            <w:tcBorders>
              <w:top w:val="nil"/>
              <w:left w:val="nil"/>
              <w:bottom w:val="single" w:sz="4" w:space="0" w:color="auto"/>
              <w:right w:val="single" w:sz="4" w:space="0" w:color="auto"/>
            </w:tcBorders>
            <w:shd w:val="clear" w:color="auto" w:fill="auto"/>
            <w:vAlign w:val="center"/>
            <w:hideMark/>
          </w:tcPr>
          <w:p w14:paraId="733B2502"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3F07BC0E"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26C6488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FD8CB38"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5AF8DFF6"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18B4B830" w14:textId="77777777" w:rsidR="00572995" w:rsidRPr="00483EBE" w:rsidRDefault="00572995" w:rsidP="00E8324D">
            <w:pPr>
              <w:pStyle w:val="Tablas"/>
              <w:rPr>
                <w:sz w:val="12"/>
                <w:szCs w:val="12"/>
              </w:rPr>
            </w:pPr>
            <w:r w:rsidRPr="00483EBE">
              <w:rPr>
                <w:sz w:val="12"/>
                <w:szCs w:val="12"/>
              </w:rPr>
              <w:t>$8,960</w:t>
            </w:r>
          </w:p>
        </w:tc>
        <w:tc>
          <w:tcPr>
            <w:tcW w:w="0" w:type="auto"/>
            <w:tcBorders>
              <w:top w:val="nil"/>
              <w:left w:val="nil"/>
              <w:bottom w:val="single" w:sz="4" w:space="0" w:color="auto"/>
              <w:right w:val="single" w:sz="4" w:space="0" w:color="auto"/>
            </w:tcBorders>
            <w:shd w:val="clear" w:color="auto" w:fill="auto"/>
            <w:vAlign w:val="center"/>
            <w:hideMark/>
          </w:tcPr>
          <w:p w14:paraId="680AB86A" w14:textId="77777777" w:rsidR="00572995" w:rsidRPr="00483EBE" w:rsidRDefault="00572995" w:rsidP="00E8324D">
            <w:pPr>
              <w:pStyle w:val="Tablas"/>
              <w:rPr>
                <w:sz w:val="12"/>
                <w:szCs w:val="12"/>
              </w:rPr>
            </w:pPr>
            <w:r w:rsidRPr="00483EBE">
              <w:rPr>
                <w:sz w:val="12"/>
                <w:szCs w:val="12"/>
              </w:rPr>
              <w:t>$2,987</w:t>
            </w:r>
          </w:p>
        </w:tc>
        <w:tc>
          <w:tcPr>
            <w:tcW w:w="0" w:type="auto"/>
            <w:tcBorders>
              <w:top w:val="nil"/>
              <w:left w:val="nil"/>
              <w:bottom w:val="single" w:sz="4" w:space="0" w:color="auto"/>
              <w:right w:val="single" w:sz="4" w:space="0" w:color="auto"/>
            </w:tcBorders>
            <w:shd w:val="clear" w:color="auto" w:fill="auto"/>
            <w:vAlign w:val="center"/>
            <w:hideMark/>
          </w:tcPr>
          <w:p w14:paraId="7E51B670" w14:textId="77777777" w:rsidR="00572995" w:rsidRPr="00483EBE" w:rsidRDefault="00572995" w:rsidP="00E8324D">
            <w:pPr>
              <w:pStyle w:val="Tablas"/>
              <w:rPr>
                <w:sz w:val="12"/>
                <w:szCs w:val="12"/>
              </w:rPr>
            </w:pPr>
            <w:r w:rsidRPr="00483EBE">
              <w:rPr>
                <w:sz w:val="12"/>
                <w:szCs w:val="12"/>
              </w:rPr>
              <w:t>$249</w:t>
            </w:r>
          </w:p>
        </w:tc>
        <w:tc>
          <w:tcPr>
            <w:tcW w:w="0" w:type="auto"/>
            <w:tcBorders>
              <w:top w:val="nil"/>
              <w:left w:val="nil"/>
              <w:bottom w:val="single" w:sz="4" w:space="0" w:color="auto"/>
              <w:right w:val="single" w:sz="4" w:space="0" w:color="auto"/>
            </w:tcBorders>
            <w:shd w:val="clear" w:color="auto" w:fill="auto"/>
            <w:vAlign w:val="center"/>
            <w:hideMark/>
          </w:tcPr>
          <w:p w14:paraId="1FD0D12A"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28F4F015" w14:textId="77777777" w:rsidR="00572995" w:rsidRPr="00483EBE" w:rsidRDefault="00572995" w:rsidP="00E8324D">
            <w:pPr>
              <w:pStyle w:val="Tablas"/>
              <w:rPr>
                <w:sz w:val="12"/>
                <w:szCs w:val="12"/>
              </w:rPr>
            </w:pPr>
            <w:r w:rsidRPr="00483EBE">
              <w:rPr>
                <w:sz w:val="12"/>
                <w:szCs w:val="12"/>
              </w:rPr>
              <w:t>SM</w:t>
            </w:r>
          </w:p>
        </w:tc>
      </w:tr>
      <w:tr w:rsidR="00572995" w:rsidRPr="00483EBE" w14:paraId="57261DF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636D24"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65EE20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1123296" w14:textId="77777777" w:rsidR="00572995" w:rsidRPr="00483EBE" w:rsidRDefault="00572995" w:rsidP="00E8324D">
            <w:pPr>
              <w:pStyle w:val="Tablas"/>
              <w:rPr>
                <w:sz w:val="12"/>
                <w:szCs w:val="12"/>
              </w:rPr>
            </w:pPr>
            <w:r w:rsidRPr="00483EBE">
              <w:rPr>
                <w:sz w:val="12"/>
                <w:szCs w:val="12"/>
              </w:rPr>
              <w:t>$2,159</w:t>
            </w:r>
          </w:p>
        </w:tc>
        <w:tc>
          <w:tcPr>
            <w:tcW w:w="0" w:type="auto"/>
            <w:tcBorders>
              <w:top w:val="nil"/>
              <w:left w:val="nil"/>
              <w:bottom w:val="single" w:sz="4" w:space="0" w:color="auto"/>
              <w:right w:val="single" w:sz="4" w:space="0" w:color="auto"/>
            </w:tcBorders>
            <w:shd w:val="clear" w:color="auto" w:fill="auto"/>
            <w:vAlign w:val="center"/>
            <w:hideMark/>
          </w:tcPr>
          <w:p w14:paraId="022B6AA1" w14:textId="77777777" w:rsidR="00572995" w:rsidRPr="00483EBE" w:rsidRDefault="00572995" w:rsidP="00E8324D">
            <w:pPr>
              <w:pStyle w:val="Tablas"/>
              <w:rPr>
                <w:sz w:val="12"/>
                <w:szCs w:val="12"/>
              </w:rPr>
            </w:pPr>
            <w:r w:rsidRPr="00483EBE">
              <w:rPr>
                <w:sz w:val="12"/>
                <w:szCs w:val="12"/>
              </w:rPr>
              <w:t>$1,079</w:t>
            </w:r>
          </w:p>
        </w:tc>
        <w:tc>
          <w:tcPr>
            <w:tcW w:w="0" w:type="auto"/>
            <w:tcBorders>
              <w:top w:val="nil"/>
              <w:left w:val="nil"/>
              <w:bottom w:val="single" w:sz="4" w:space="0" w:color="auto"/>
              <w:right w:val="single" w:sz="4" w:space="0" w:color="auto"/>
            </w:tcBorders>
            <w:shd w:val="clear" w:color="auto" w:fill="auto"/>
            <w:vAlign w:val="center"/>
            <w:hideMark/>
          </w:tcPr>
          <w:p w14:paraId="56A65690"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4653B55F"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461CCF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FFDB59"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208E95B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913342D" w14:textId="77777777" w:rsidR="00572995" w:rsidRPr="00483EBE" w:rsidRDefault="00572995" w:rsidP="00E8324D">
            <w:pPr>
              <w:pStyle w:val="Tablas"/>
              <w:rPr>
                <w:sz w:val="12"/>
                <w:szCs w:val="12"/>
              </w:rPr>
            </w:pPr>
            <w:r w:rsidRPr="00483EBE">
              <w:rPr>
                <w:sz w:val="12"/>
                <w:szCs w:val="12"/>
              </w:rPr>
              <w:t>$2,390</w:t>
            </w:r>
          </w:p>
        </w:tc>
        <w:tc>
          <w:tcPr>
            <w:tcW w:w="0" w:type="auto"/>
            <w:tcBorders>
              <w:top w:val="nil"/>
              <w:left w:val="nil"/>
              <w:bottom w:val="single" w:sz="4" w:space="0" w:color="auto"/>
              <w:right w:val="single" w:sz="4" w:space="0" w:color="auto"/>
            </w:tcBorders>
            <w:shd w:val="clear" w:color="auto" w:fill="auto"/>
            <w:vAlign w:val="center"/>
            <w:hideMark/>
          </w:tcPr>
          <w:p w14:paraId="10C564E3" w14:textId="77777777" w:rsidR="00572995" w:rsidRPr="00483EBE" w:rsidRDefault="00572995" w:rsidP="00E8324D">
            <w:pPr>
              <w:pStyle w:val="Tablas"/>
              <w:rPr>
                <w:sz w:val="12"/>
                <w:szCs w:val="12"/>
              </w:rPr>
            </w:pPr>
            <w:r w:rsidRPr="00483EBE">
              <w:rPr>
                <w:sz w:val="12"/>
                <w:szCs w:val="12"/>
              </w:rPr>
              <w:t>$2,390</w:t>
            </w:r>
          </w:p>
        </w:tc>
        <w:tc>
          <w:tcPr>
            <w:tcW w:w="0" w:type="auto"/>
            <w:tcBorders>
              <w:top w:val="nil"/>
              <w:left w:val="nil"/>
              <w:bottom w:val="single" w:sz="4" w:space="0" w:color="auto"/>
              <w:right w:val="single" w:sz="4" w:space="0" w:color="auto"/>
            </w:tcBorders>
            <w:shd w:val="clear" w:color="auto" w:fill="auto"/>
            <w:vAlign w:val="center"/>
            <w:hideMark/>
          </w:tcPr>
          <w:p w14:paraId="7FBC1753" w14:textId="77777777" w:rsidR="00572995" w:rsidRPr="00483EBE" w:rsidRDefault="00572995" w:rsidP="00E8324D">
            <w:pPr>
              <w:pStyle w:val="Tablas"/>
              <w:rPr>
                <w:sz w:val="12"/>
                <w:szCs w:val="12"/>
              </w:rPr>
            </w:pPr>
            <w:r w:rsidRPr="00483EBE">
              <w:rPr>
                <w:sz w:val="12"/>
                <w:szCs w:val="12"/>
              </w:rPr>
              <w:t>$199</w:t>
            </w:r>
          </w:p>
        </w:tc>
        <w:tc>
          <w:tcPr>
            <w:tcW w:w="0" w:type="auto"/>
            <w:tcBorders>
              <w:top w:val="nil"/>
              <w:left w:val="nil"/>
              <w:bottom w:val="single" w:sz="4" w:space="0" w:color="auto"/>
              <w:right w:val="single" w:sz="4" w:space="0" w:color="auto"/>
            </w:tcBorders>
            <w:shd w:val="clear" w:color="auto" w:fill="auto"/>
            <w:vAlign w:val="center"/>
            <w:hideMark/>
          </w:tcPr>
          <w:p w14:paraId="6DD7DA90"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CE8B9A1" w14:textId="77777777" w:rsidR="00572995" w:rsidRPr="00483EBE" w:rsidRDefault="00572995" w:rsidP="00E8324D">
            <w:pPr>
              <w:pStyle w:val="Tablas"/>
              <w:rPr>
                <w:sz w:val="12"/>
                <w:szCs w:val="12"/>
              </w:rPr>
            </w:pPr>
            <w:r w:rsidRPr="00483EBE">
              <w:rPr>
                <w:sz w:val="12"/>
                <w:szCs w:val="12"/>
              </w:rPr>
              <w:t>SM</w:t>
            </w:r>
          </w:p>
        </w:tc>
      </w:tr>
      <w:tr w:rsidR="00572995" w:rsidRPr="00483EBE" w14:paraId="6AD334B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579930"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779CC331"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3F91946"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164B709E" w14:textId="77777777" w:rsidR="00572995" w:rsidRPr="00483EBE" w:rsidRDefault="00572995" w:rsidP="00E8324D">
            <w:pPr>
              <w:pStyle w:val="Tablas"/>
              <w:rPr>
                <w:sz w:val="12"/>
                <w:szCs w:val="12"/>
              </w:rPr>
            </w:pPr>
            <w:r w:rsidRPr="00483EBE">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672C1D3C"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226A7DB6"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6A656C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08416E"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67C30574"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3FB533F1" w14:textId="77777777" w:rsidR="00572995" w:rsidRPr="00483EBE" w:rsidRDefault="00572995" w:rsidP="00E8324D">
            <w:pPr>
              <w:pStyle w:val="Tablas"/>
              <w:rPr>
                <w:sz w:val="12"/>
                <w:szCs w:val="12"/>
              </w:rPr>
            </w:pPr>
            <w:r w:rsidRPr="00483EBE">
              <w:rPr>
                <w:sz w:val="12"/>
                <w:szCs w:val="12"/>
              </w:rPr>
              <w:t>$12,680</w:t>
            </w:r>
          </w:p>
        </w:tc>
        <w:tc>
          <w:tcPr>
            <w:tcW w:w="0" w:type="auto"/>
            <w:tcBorders>
              <w:top w:val="nil"/>
              <w:left w:val="nil"/>
              <w:bottom w:val="single" w:sz="4" w:space="0" w:color="auto"/>
              <w:right w:val="single" w:sz="4" w:space="0" w:color="auto"/>
            </w:tcBorders>
            <w:shd w:val="clear" w:color="auto" w:fill="auto"/>
            <w:vAlign w:val="center"/>
            <w:hideMark/>
          </w:tcPr>
          <w:p w14:paraId="2596879C" w14:textId="77777777" w:rsidR="00572995" w:rsidRPr="00483EBE" w:rsidRDefault="00572995" w:rsidP="00E8324D">
            <w:pPr>
              <w:pStyle w:val="Tablas"/>
              <w:rPr>
                <w:sz w:val="12"/>
                <w:szCs w:val="12"/>
              </w:rPr>
            </w:pPr>
            <w:r w:rsidRPr="00483EBE">
              <w:rPr>
                <w:sz w:val="12"/>
                <w:szCs w:val="12"/>
              </w:rPr>
              <w:t>$2,536</w:t>
            </w:r>
          </w:p>
        </w:tc>
        <w:tc>
          <w:tcPr>
            <w:tcW w:w="0" w:type="auto"/>
            <w:tcBorders>
              <w:top w:val="nil"/>
              <w:left w:val="nil"/>
              <w:bottom w:val="single" w:sz="4" w:space="0" w:color="auto"/>
              <w:right w:val="single" w:sz="4" w:space="0" w:color="auto"/>
            </w:tcBorders>
            <w:shd w:val="clear" w:color="auto" w:fill="auto"/>
            <w:vAlign w:val="center"/>
            <w:hideMark/>
          </w:tcPr>
          <w:p w14:paraId="1ADD2418" w14:textId="77777777" w:rsidR="00572995" w:rsidRPr="00483EBE" w:rsidRDefault="00572995" w:rsidP="00E8324D">
            <w:pPr>
              <w:pStyle w:val="Tablas"/>
              <w:rPr>
                <w:sz w:val="12"/>
                <w:szCs w:val="12"/>
              </w:rPr>
            </w:pPr>
            <w:r w:rsidRPr="00483EBE">
              <w:rPr>
                <w:sz w:val="12"/>
                <w:szCs w:val="12"/>
              </w:rPr>
              <w:t>$211</w:t>
            </w:r>
          </w:p>
        </w:tc>
        <w:tc>
          <w:tcPr>
            <w:tcW w:w="0" w:type="auto"/>
            <w:tcBorders>
              <w:top w:val="nil"/>
              <w:left w:val="nil"/>
              <w:bottom w:val="single" w:sz="4" w:space="0" w:color="auto"/>
              <w:right w:val="single" w:sz="4" w:space="0" w:color="auto"/>
            </w:tcBorders>
            <w:shd w:val="clear" w:color="auto" w:fill="auto"/>
            <w:vAlign w:val="center"/>
            <w:hideMark/>
          </w:tcPr>
          <w:p w14:paraId="30BE7DF1"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6F25C7F" w14:textId="77777777" w:rsidR="00572995" w:rsidRPr="00483EBE" w:rsidRDefault="00572995" w:rsidP="00E8324D">
            <w:pPr>
              <w:pStyle w:val="Tablas"/>
              <w:rPr>
                <w:sz w:val="12"/>
                <w:szCs w:val="12"/>
              </w:rPr>
            </w:pPr>
            <w:r w:rsidRPr="00483EBE">
              <w:rPr>
                <w:sz w:val="12"/>
                <w:szCs w:val="12"/>
              </w:rPr>
              <w:t>SM</w:t>
            </w:r>
          </w:p>
        </w:tc>
      </w:tr>
      <w:tr w:rsidR="00572995" w:rsidRPr="00483EBE" w14:paraId="54EDC45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39A8D13"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1B22F31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6D45D06" w14:textId="77777777" w:rsidR="00572995" w:rsidRPr="00483EBE" w:rsidRDefault="00572995" w:rsidP="00E8324D">
            <w:pPr>
              <w:pStyle w:val="Tablas"/>
              <w:rPr>
                <w:sz w:val="12"/>
                <w:szCs w:val="12"/>
              </w:rPr>
            </w:pPr>
            <w:r w:rsidRPr="00483EBE">
              <w:rPr>
                <w:sz w:val="12"/>
                <w:szCs w:val="12"/>
              </w:rPr>
              <w:t>$861</w:t>
            </w:r>
          </w:p>
        </w:tc>
        <w:tc>
          <w:tcPr>
            <w:tcW w:w="0" w:type="auto"/>
            <w:tcBorders>
              <w:top w:val="nil"/>
              <w:left w:val="nil"/>
              <w:bottom w:val="single" w:sz="4" w:space="0" w:color="auto"/>
              <w:right w:val="single" w:sz="4" w:space="0" w:color="auto"/>
            </w:tcBorders>
            <w:shd w:val="clear" w:color="auto" w:fill="auto"/>
            <w:vAlign w:val="center"/>
            <w:hideMark/>
          </w:tcPr>
          <w:p w14:paraId="3C017457" w14:textId="77777777" w:rsidR="00572995" w:rsidRPr="00483EBE" w:rsidRDefault="00572995" w:rsidP="00E8324D">
            <w:pPr>
              <w:pStyle w:val="Tablas"/>
              <w:rPr>
                <w:sz w:val="12"/>
                <w:szCs w:val="12"/>
              </w:rPr>
            </w:pPr>
            <w:r w:rsidRPr="00483EBE">
              <w:rPr>
                <w:sz w:val="12"/>
                <w:szCs w:val="12"/>
              </w:rPr>
              <w:t>$861</w:t>
            </w:r>
          </w:p>
        </w:tc>
        <w:tc>
          <w:tcPr>
            <w:tcW w:w="0" w:type="auto"/>
            <w:tcBorders>
              <w:top w:val="nil"/>
              <w:left w:val="nil"/>
              <w:bottom w:val="single" w:sz="4" w:space="0" w:color="auto"/>
              <w:right w:val="single" w:sz="4" w:space="0" w:color="auto"/>
            </w:tcBorders>
            <w:shd w:val="clear" w:color="auto" w:fill="auto"/>
            <w:vAlign w:val="center"/>
            <w:hideMark/>
          </w:tcPr>
          <w:p w14:paraId="1ED8FA2F"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0502A8F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21958B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6DFCF0"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638D5874"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0874F1B" w14:textId="77777777" w:rsidR="00572995" w:rsidRPr="00483EBE" w:rsidRDefault="00572995" w:rsidP="00E8324D">
            <w:pPr>
              <w:pStyle w:val="Tablas"/>
              <w:rPr>
                <w:sz w:val="12"/>
                <w:szCs w:val="12"/>
              </w:rPr>
            </w:pPr>
            <w:r w:rsidRPr="00483EBE">
              <w:rPr>
                <w:sz w:val="12"/>
                <w:szCs w:val="12"/>
              </w:rPr>
              <w:t>$6,436</w:t>
            </w:r>
          </w:p>
        </w:tc>
        <w:tc>
          <w:tcPr>
            <w:tcW w:w="0" w:type="auto"/>
            <w:tcBorders>
              <w:top w:val="nil"/>
              <w:left w:val="nil"/>
              <w:bottom w:val="single" w:sz="4" w:space="0" w:color="auto"/>
              <w:right w:val="single" w:sz="4" w:space="0" w:color="auto"/>
            </w:tcBorders>
            <w:shd w:val="clear" w:color="auto" w:fill="auto"/>
            <w:vAlign w:val="center"/>
            <w:hideMark/>
          </w:tcPr>
          <w:p w14:paraId="21F2870B" w14:textId="77777777" w:rsidR="00572995" w:rsidRPr="00483EBE" w:rsidRDefault="00572995" w:rsidP="00E8324D">
            <w:pPr>
              <w:pStyle w:val="Tablas"/>
              <w:rPr>
                <w:sz w:val="12"/>
                <w:szCs w:val="12"/>
              </w:rPr>
            </w:pPr>
            <w:r w:rsidRPr="00483EBE">
              <w:rPr>
                <w:sz w:val="12"/>
                <w:szCs w:val="12"/>
              </w:rPr>
              <w:t>$3,218</w:t>
            </w:r>
          </w:p>
        </w:tc>
        <w:tc>
          <w:tcPr>
            <w:tcW w:w="0" w:type="auto"/>
            <w:tcBorders>
              <w:top w:val="nil"/>
              <w:left w:val="nil"/>
              <w:bottom w:val="single" w:sz="4" w:space="0" w:color="auto"/>
              <w:right w:val="single" w:sz="4" w:space="0" w:color="auto"/>
            </w:tcBorders>
            <w:shd w:val="clear" w:color="auto" w:fill="auto"/>
            <w:vAlign w:val="center"/>
            <w:hideMark/>
          </w:tcPr>
          <w:p w14:paraId="7033685E"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7F37C0E7"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18F04758" w14:textId="77777777" w:rsidR="00572995" w:rsidRPr="00483EBE" w:rsidRDefault="00572995" w:rsidP="00E8324D">
            <w:pPr>
              <w:pStyle w:val="Tablas"/>
              <w:rPr>
                <w:sz w:val="12"/>
                <w:szCs w:val="12"/>
              </w:rPr>
            </w:pPr>
            <w:r w:rsidRPr="00483EBE">
              <w:rPr>
                <w:sz w:val="12"/>
                <w:szCs w:val="12"/>
              </w:rPr>
              <w:t>SM</w:t>
            </w:r>
          </w:p>
        </w:tc>
      </w:tr>
      <w:tr w:rsidR="00572995" w:rsidRPr="00483EBE" w14:paraId="6A9E557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917753"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279B767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21C2F0A" w14:textId="77777777" w:rsidR="00572995" w:rsidRPr="00483EBE" w:rsidRDefault="00572995" w:rsidP="00E8324D">
            <w:pPr>
              <w:pStyle w:val="Tablas"/>
              <w:rPr>
                <w:sz w:val="12"/>
                <w:szCs w:val="12"/>
              </w:rPr>
            </w:pPr>
            <w:r w:rsidRPr="00483EBE">
              <w:rPr>
                <w:sz w:val="12"/>
                <w:szCs w:val="12"/>
              </w:rPr>
              <w:t>$870</w:t>
            </w:r>
          </w:p>
        </w:tc>
        <w:tc>
          <w:tcPr>
            <w:tcW w:w="0" w:type="auto"/>
            <w:tcBorders>
              <w:top w:val="nil"/>
              <w:left w:val="nil"/>
              <w:bottom w:val="single" w:sz="4" w:space="0" w:color="auto"/>
              <w:right w:val="single" w:sz="4" w:space="0" w:color="auto"/>
            </w:tcBorders>
            <w:shd w:val="clear" w:color="auto" w:fill="auto"/>
            <w:vAlign w:val="center"/>
            <w:hideMark/>
          </w:tcPr>
          <w:p w14:paraId="5E453F83" w14:textId="77777777" w:rsidR="00572995" w:rsidRPr="00483EBE" w:rsidRDefault="00572995" w:rsidP="00E8324D">
            <w:pPr>
              <w:pStyle w:val="Tablas"/>
              <w:rPr>
                <w:sz w:val="12"/>
                <w:szCs w:val="12"/>
              </w:rPr>
            </w:pPr>
            <w:r w:rsidRPr="00483EBE">
              <w:rPr>
                <w:sz w:val="12"/>
                <w:szCs w:val="12"/>
              </w:rPr>
              <w:t>$870</w:t>
            </w:r>
          </w:p>
        </w:tc>
        <w:tc>
          <w:tcPr>
            <w:tcW w:w="0" w:type="auto"/>
            <w:tcBorders>
              <w:top w:val="nil"/>
              <w:left w:val="nil"/>
              <w:bottom w:val="single" w:sz="4" w:space="0" w:color="auto"/>
              <w:right w:val="single" w:sz="4" w:space="0" w:color="auto"/>
            </w:tcBorders>
            <w:shd w:val="clear" w:color="auto" w:fill="auto"/>
            <w:vAlign w:val="center"/>
            <w:hideMark/>
          </w:tcPr>
          <w:p w14:paraId="21A27D3A"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71AADE7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325E84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04DC716"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62DB6D28"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16F79364" w14:textId="77777777" w:rsidR="00572995" w:rsidRPr="00483EBE" w:rsidRDefault="00572995" w:rsidP="00E8324D">
            <w:pPr>
              <w:pStyle w:val="Tablas"/>
              <w:rPr>
                <w:sz w:val="12"/>
                <w:szCs w:val="12"/>
              </w:rPr>
            </w:pPr>
            <w:r w:rsidRPr="00483EBE">
              <w:rPr>
                <w:sz w:val="12"/>
                <w:szCs w:val="12"/>
              </w:rPr>
              <w:t>$16,290</w:t>
            </w:r>
          </w:p>
        </w:tc>
        <w:tc>
          <w:tcPr>
            <w:tcW w:w="0" w:type="auto"/>
            <w:tcBorders>
              <w:top w:val="nil"/>
              <w:left w:val="nil"/>
              <w:bottom w:val="single" w:sz="4" w:space="0" w:color="auto"/>
              <w:right w:val="single" w:sz="4" w:space="0" w:color="auto"/>
            </w:tcBorders>
            <w:shd w:val="clear" w:color="auto" w:fill="auto"/>
            <w:vAlign w:val="center"/>
            <w:hideMark/>
          </w:tcPr>
          <w:p w14:paraId="32DE2079" w14:textId="77777777" w:rsidR="00572995" w:rsidRPr="00483EBE" w:rsidRDefault="00572995" w:rsidP="00E8324D">
            <w:pPr>
              <w:pStyle w:val="Tablas"/>
              <w:rPr>
                <w:sz w:val="12"/>
                <w:szCs w:val="12"/>
              </w:rPr>
            </w:pPr>
            <w:r w:rsidRPr="00483EBE">
              <w:rPr>
                <w:sz w:val="12"/>
                <w:szCs w:val="12"/>
              </w:rPr>
              <w:t>$2,715</w:t>
            </w:r>
          </w:p>
        </w:tc>
        <w:tc>
          <w:tcPr>
            <w:tcW w:w="0" w:type="auto"/>
            <w:tcBorders>
              <w:top w:val="nil"/>
              <w:left w:val="nil"/>
              <w:bottom w:val="single" w:sz="4" w:space="0" w:color="auto"/>
              <w:right w:val="single" w:sz="4" w:space="0" w:color="auto"/>
            </w:tcBorders>
            <w:shd w:val="clear" w:color="auto" w:fill="auto"/>
            <w:vAlign w:val="center"/>
            <w:hideMark/>
          </w:tcPr>
          <w:p w14:paraId="0E907DD4" w14:textId="77777777" w:rsidR="00572995" w:rsidRPr="00483EBE" w:rsidRDefault="00572995" w:rsidP="00E8324D">
            <w:pPr>
              <w:pStyle w:val="Tablas"/>
              <w:rPr>
                <w:sz w:val="12"/>
                <w:szCs w:val="12"/>
              </w:rPr>
            </w:pPr>
            <w:r w:rsidRPr="00483EBE">
              <w:rPr>
                <w:sz w:val="12"/>
                <w:szCs w:val="12"/>
              </w:rPr>
              <w:t>$226</w:t>
            </w:r>
          </w:p>
        </w:tc>
        <w:tc>
          <w:tcPr>
            <w:tcW w:w="0" w:type="auto"/>
            <w:tcBorders>
              <w:top w:val="nil"/>
              <w:left w:val="nil"/>
              <w:bottom w:val="single" w:sz="4" w:space="0" w:color="auto"/>
              <w:right w:val="single" w:sz="4" w:space="0" w:color="auto"/>
            </w:tcBorders>
            <w:shd w:val="clear" w:color="auto" w:fill="auto"/>
            <w:vAlign w:val="center"/>
            <w:hideMark/>
          </w:tcPr>
          <w:p w14:paraId="5837E683"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739307C7" w14:textId="77777777" w:rsidR="00572995" w:rsidRPr="00483EBE" w:rsidRDefault="00572995" w:rsidP="00E8324D">
            <w:pPr>
              <w:pStyle w:val="Tablas"/>
              <w:rPr>
                <w:sz w:val="12"/>
                <w:szCs w:val="12"/>
              </w:rPr>
            </w:pPr>
            <w:r w:rsidRPr="00483EBE">
              <w:rPr>
                <w:sz w:val="12"/>
                <w:szCs w:val="12"/>
              </w:rPr>
              <w:t>SM</w:t>
            </w:r>
          </w:p>
        </w:tc>
      </w:tr>
      <w:tr w:rsidR="00572995" w:rsidRPr="00483EBE" w14:paraId="08C7441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4210A5"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1C85764A"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717C162" w14:textId="77777777" w:rsidR="00572995" w:rsidRPr="00483EBE" w:rsidRDefault="00572995" w:rsidP="00E8324D">
            <w:pPr>
              <w:pStyle w:val="Tablas"/>
              <w:rPr>
                <w:sz w:val="12"/>
                <w:szCs w:val="12"/>
              </w:rPr>
            </w:pPr>
            <w:r w:rsidRPr="00483EBE">
              <w:rPr>
                <w:sz w:val="12"/>
                <w:szCs w:val="12"/>
              </w:rPr>
              <w:t>$4,754</w:t>
            </w:r>
          </w:p>
        </w:tc>
        <w:tc>
          <w:tcPr>
            <w:tcW w:w="0" w:type="auto"/>
            <w:tcBorders>
              <w:top w:val="nil"/>
              <w:left w:val="nil"/>
              <w:bottom w:val="single" w:sz="4" w:space="0" w:color="auto"/>
              <w:right w:val="single" w:sz="4" w:space="0" w:color="auto"/>
            </w:tcBorders>
            <w:shd w:val="clear" w:color="auto" w:fill="auto"/>
            <w:vAlign w:val="center"/>
            <w:hideMark/>
          </w:tcPr>
          <w:p w14:paraId="7562B7E5" w14:textId="77777777" w:rsidR="00572995" w:rsidRPr="00483EBE" w:rsidRDefault="00572995" w:rsidP="00E8324D">
            <w:pPr>
              <w:pStyle w:val="Tablas"/>
              <w:rPr>
                <w:sz w:val="12"/>
                <w:szCs w:val="12"/>
              </w:rPr>
            </w:pPr>
            <w:r w:rsidRPr="00483EBE">
              <w:rPr>
                <w:sz w:val="12"/>
                <w:szCs w:val="12"/>
              </w:rPr>
              <w:t>$1,188</w:t>
            </w:r>
          </w:p>
        </w:tc>
        <w:tc>
          <w:tcPr>
            <w:tcW w:w="0" w:type="auto"/>
            <w:tcBorders>
              <w:top w:val="nil"/>
              <w:left w:val="nil"/>
              <w:bottom w:val="single" w:sz="4" w:space="0" w:color="auto"/>
              <w:right w:val="single" w:sz="4" w:space="0" w:color="auto"/>
            </w:tcBorders>
            <w:shd w:val="clear" w:color="auto" w:fill="auto"/>
            <w:vAlign w:val="center"/>
            <w:hideMark/>
          </w:tcPr>
          <w:p w14:paraId="6735D096"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1690093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EBDA2E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2016D2"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6183D0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AE9D4A3"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578F59AA"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316FB08A"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24D4798C"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0647BA6B" w14:textId="77777777" w:rsidR="00572995" w:rsidRPr="00483EBE" w:rsidRDefault="00572995" w:rsidP="00E8324D">
            <w:pPr>
              <w:pStyle w:val="Tablas"/>
              <w:rPr>
                <w:sz w:val="12"/>
                <w:szCs w:val="12"/>
              </w:rPr>
            </w:pPr>
            <w:r w:rsidRPr="00483EBE">
              <w:rPr>
                <w:sz w:val="12"/>
                <w:szCs w:val="12"/>
              </w:rPr>
              <w:t>SM</w:t>
            </w:r>
          </w:p>
        </w:tc>
      </w:tr>
      <w:tr w:rsidR="00572995" w:rsidRPr="00483EBE" w14:paraId="45393D7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8BAFB8"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0CE11ABC"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2CB5F90" w14:textId="77777777" w:rsidR="00572995" w:rsidRPr="00483EBE" w:rsidRDefault="00572995" w:rsidP="00E8324D">
            <w:pPr>
              <w:pStyle w:val="Tablas"/>
              <w:rPr>
                <w:sz w:val="12"/>
                <w:szCs w:val="12"/>
              </w:rPr>
            </w:pPr>
            <w:r w:rsidRPr="00483EBE">
              <w:rPr>
                <w:sz w:val="12"/>
                <w:szCs w:val="12"/>
              </w:rPr>
              <w:t>$5,277</w:t>
            </w:r>
          </w:p>
        </w:tc>
        <w:tc>
          <w:tcPr>
            <w:tcW w:w="0" w:type="auto"/>
            <w:tcBorders>
              <w:top w:val="nil"/>
              <w:left w:val="nil"/>
              <w:bottom w:val="single" w:sz="4" w:space="0" w:color="auto"/>
              <w:right w:val="single" w:sz="4" w:space="0" w:color="auto"/>
            </w:tcBorders>
            <w:shd w:val="clear" w:color="auto" w:fill="auto"/>
            <w:vAlign w:val="center"/>
            <w:hideMark/>
          </w:tcPr>
          <w:p w14:paraId="3F1DD2CE" w14:textId="77777777" w:rsidR="00572995" w:rsidRPr="00483EBE" w:rsidRDefault="00572995" w:rsidP="00E8324D">
            <w:pPr>
              <w:pStyle w:val="Tablas"/>
              <w:rPr>
                <w:sz w:val="12"/>
                <w:szCs w:val="12"/>
              </w:rPr>
            </w:pPr>
            <w:r w:rsidRPr="00483EBE">
              <w:rPr>
                <w:sz w:val="12"/>
                <w:szCs w:val="12"/>
              </w:rPr>
              <w:t>$1,319</w:t>
            </w:r>
          </w:p>
        </w:tc>
        <w:tc>
          <w:tcPr>
            <w:tcW w:w="0" w:type="auto"/>
            <w:tcBorders>
              <w:top w:val="nil"/>
              <w:left w:val="nil"/>
              <w:bottom w:val="single" w:sz="4" w:space="0" w:color="auto"/>
              <w:right w:val="single" w:sz="4" w:space="0" w:color="auto"/>
            </w:tcBorders>
            <w:shd w:val="clear" w:color="auto" w:fill="auto"/>
            <w:vAlign w:val="center"/>
            <w:hideMark/>
          </w:tcPr>
          <w:p w14:paraId="762D0B37"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391429C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593873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B82819"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0EE70101"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F1E4680"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57836CBF"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67EFC9D4"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751EC02D"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37BF6959" w14:textId="77777777" w:rsidR="00572995" w:rsidRPr="00483EBE" w:rsidRDefault="00572995" w:rsidP="00E8324D">
            <w:pPr>
              <w:pStyle w:val="Tablas"/>
              <w:rPr>
                <w:sz w:val="12"/>
                <w:szCs w:val="12"/>
              </w:rPr>
            </w:pPr>
            <w:r w:rsidRPr="00483EBE">
              <w:rPr>
                <w:sz w:val="12"/>
                <w:szCs w:val="12"/>
              </w:rPr>
              <w:t>SM</w:t>
            </w:r>
          </w:p>
        </w:tc>
      </w:tr>
      <w:tr w:rsidR="00572995" w:rsidRPr="00483EBE" w14:paraId="3445A8B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F8F386"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4CA332F8"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2BE74563" w14:textId="77777777" w:rsidR="00572995" w:rsidRPr="00483EBE" w:rsidRDefault="00572995" w:rsidP="00E8324D">
            <w:pPr>
              <w:pStyle w:val="Tablas"/>
              <w:rPr>
                <w:sz w:val="12"/>
                <w:szCs w:val="12"/>
              </w:rPr>
            </w:pPr>
            <w:r w:rsidRPr="00483EBE">
              <w:rPr>
                <w:sz w:val="12"/>
                <w:szCs w:val="12"/>
              </w:rPr>
              <w:t>$5,970</w:t>
            </w:r>
          </w:p>
        </w:tc>
        <w:tc>
          <w:tcPr>
            <w:tcW w:w="0" w:type="auto"/>
            <w:tcBorders>
              <w:top w:val="nil"/>
              <w:left w:val="nil"/>
              <w:bottom w:val="single" w:sz="4" w:space="0" w:color="auto"/>
              <w:right w:val="single" w:sz="4" w:space="0" w:color="auto"/>
            </w:tcBorders>
            <w:shd w:val="clear" w:color="auto" w:fill="auto"/>
            <w:vAlign w:val="center"/>
            <w:hideMark/>
          </w:tcPr>
          <w:p w14:paraId="625DB304" w14:textId="77777777" w:rsidR="00572995" w:rsidRPr="00483EBE" w:rsidRDefault="00572995" w:rsidP="00E8324D">
            <w:pPr>
              <w:pStyle w:val="Tablas"/>
              <w:rPr>
                <w:sz w:val="12"/>
                <w:szCs w:val="12"/>
              </w:rPr>
            </w:pPr>
            <w:r w:rsidRPr="00483EBE">
              <w:rPr>
                <w:sz w:val="12"/>
                <w:szCs w:val="12"/>
              </w:rPr>
              <w:t>$995</w:t>
            </w:r>
          </w:p>
        </w:tc>
        <w:tc>
          <w:tcPr>
            <w:tcW w:w="0" w:type="auto"/>
            <w:tcBorders>
              <w:top w:val="nil"/>
              <w:left w:val="nil"/>
              <w:bottom w:val="single" w:sz="4" w:space="0" w:color="auto"/>
              <w:right w:val="single" w:sz="4" w:space="0" w:color="auto"/>
            </w:tcBorders>
            <w:shd w:val="clear" w:color="auto" w:fill="auto"/>
            <w:vAlign w:val="center"/>
            <w:hideMark/>
          </w:tcPr>
          <w:p w14:paraId="3FA9884E"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65DEE8B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3934A5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496CCFC"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1842A4E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FBE1FF1"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4BDC4674"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5C87AB2D"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5BBED1C9" w14:textId="77777777" w:rsidR="00572995" w:rsidRPr="00483EBE" w:rsidRDefault="00572995" w:rsidP="00E8324D">
            <w:pPr>
              <w:pStyle w:val="Tablas"/>
              <w:rPr>
                <w:sz w:val="12"/>
                <w:szCs w:val="12"/>
              </w:rPr>
            </w:pPr>
            <w:r w:rsidRPr="00483EBE">
              <w:rPr>
                <w:sz w:val="12"/>
                <w:szCs w:val="12"/>
              </w:rPr>
              <w:t>INVALIDEZ</w:t>
            </w:r>
          </w:p>
        </w:tc>
        <w:tc>
          <w:tcPr>
            <w:tcW w:w="582" w:type="dxa"/>
            <w:tcBorders>
              <w:top w:val="nil"/>
              <w:left w:val="nil"/>
              <w:bottom w:val="single" w:sz="4" w:space="0" w:color="auto"/>
              <w:right w:val="single" w:sz="8" w:space="0" w:color="auto"/>
            </w:tcBorders>
            <w:shd w:val="clear" w:color="auto" w:fill="auto"/>
            <w:vAlign w:val="center"/>
            <w:hideMark/>
          </w:tcPr>
          <w:p w14:paraId="4282F033" w14:textId="77777777" w:rsidR="00572995" w:rsidRPr="00483EBE" w:rsidRDefault="00572995" w:rsidP="00E8324D">
            <w:pPr>
              <w:pStyle w:val="Tablas"/>
              <w:rPr>
                <w:sz w:val="12"/>
                <w:szCs w:val="12"/>
              </w:rPr>
            </w:pPr>
            <w:r w:rsidRPr="00483EBE">
              <w:rPr>
                <w:sz w:val="12"/>
                <w:szCs w:val="12"/>
              </w:rPr>
              <w:t>SM</w:t>
            </w:r>
          </w:p>
        </w:tc>
      </w:tr>
      <w:tr w:rsidR="00572995" w:rsidRPr="00483EBE" w14:paraId="3ABDAAA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678784" w14:textId="77777777" w:rsidR="00572995" w:rsidRPr="00483EBE" w:rsidRDefault="00572995" w:rsidP="00E8324D">
            <w:pPr>
              <w:pStyle w:val="Tablas"/>
              <w:rPr>
                <w:sz w:val="12"/>
                <w:szCs w:val="12"/>
              </w:rPr>
            </w:pPr>
            <w:r w:rsidRPr="00483EBE">
              <w:rPr>
                <w:sz w:val="12"/>
                <w:szCs w:val="12"/>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14:paraId="71C6D4E0"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3E19460" w14:textId="77777777" w:rsidR="00572995" w:rsidRPr="00483EBE" w:rsidRDefault="00572995" w:rsidP="00E8324D">
            <w:pPr>
              <w:pStyle w:val="Tablas"/>
              <w:rPr>
                <w:sz w:val="12"/>
                <w:szCs w:val="12"/>
              </w:rPr>
            </w:pPr>
            <w:r w:rsidRPr="00483EBE">
              <w:rPr>
                <w:sz w:val="12"/>
                <w:szCs w:val="12"/>
              </w:rPr>
              <w:t>$7,398</w:t>
            </w:r>
          </w:p>
        </w:tc>
        <w:tc>
          <w:tcPr>
            <w:tcW w:w="0" w:type="auto"/>
            <w:tcBorders>
              <w:top w:val="nil"/>
              <w:left w:val="nil"/>
              <w:bottom w:val="single" w:sz="4" w:space="0" w:color="auto"/>
              <w:right w:val="single" w:sz="4" w:space="0" w:color="auto"/>
            </w:tcBorders>
            <w:shd w:val="clear" w:color="auto" w:fill="auto"/>
            <w:vAlign w:val="center"/>
            <w:hideMark/>
          </w:tcPr>
          <w:p w14:paraId="30062295" w14:textId="77777777" w:rsidR="00572995" w:rsidRPr="00483EBE" w:rsidRDefault="00572995" w:rsidP="00E8324D">
            <w:pPr>
              <w:pStyle w:val="Tablas"/>
              <w:rPr>
                <w:sz w:val="12"/>
                <w:szCs w:val="12"/>
              </w:rPr>
            </w:pPr>
            <w:r w:rsidRPr="00483EBE">
              <w:rPr>
                <w:sz w:val="12"/>
                <w:szCs w:val="12"/>
              </w:rPr>
              <w:t>$1,480</w:t>
            </w:r>
          </w:p>
        </w:tc>
        <w:tc>
          <w:tcPr>
            <w:tcW w:w="0" w:type="auto"/>
            <w:tcBorders>
              <w:top w:val="nil"/>
              <w:left w:val="nil"/>
              <w:bottom w:val="single" w:sz="4" w:space="0" w:color="auto"/>
              <w:right w:val="single" w:sz="4" w:space="0" w:color="auto"/>
            </w:tcBorders>
            <w:shd w:val="clear" w:color="auto" w:fill="auto"/>
            <w:vAlign w:val="center"/>
            <w:hideMark/>
          </w:tcPr>
          <w:p w14:paraId="766983C5"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48F10E02"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2B33CD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32D7D5" w14:textId="77777777" w:rsidR="00572995" w:rsidRPr="00483EBE" w:rsidRDefault="00572995" w:rsidP="00E8324D">
            <w:pPr>
              <w:pStyle w:val="Tablas"/>
              <w:rPr>
                <w:sz w:val="12"/>
                <w:szCs w:val="12"/>
              </w:rPr>
            </w:pPr>
            <w:r w:rsidRPr="00483EBE">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668ECF4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FB2F33F" w14:textId="77777777" w:rsidR="00572995" w:rsidRPr="00483EBE" w:rsidRDefault="00572995" w:rsidP="00E8324D">
            <w:pPr>
              <w:pStyle w:val="Tablas"/>
              <w:rPr>
                <w:sz w:val="12"/>
                <w:szCs w:val="12"/>
              </w:rPr>
            </w:pPr>
            <w:r w:rsidRPr="00483EBE">
              <w:rPr>
                <w:sz w:val="12"/>
                <w:szCs w:val="12"/>
              </w:rPr>
              <w:t>$2,860</w:t>
            </w:r>
          </w:p>
        </w:tc>
        <w:tc>
          <w:tcPr>
            <w:tcW w:w="0" w:type="auto"/>
            <w:tcBorders>
              <w:top w:val="nil"/>
              <w:left w:val="nil"/>
              <w:bottom w:val="single" w:sz="4" w:space="0" w:color="auto"/>
              <w:right w:val="single" w:sz="4" w:space="0" w:color="auto"/>
            </w:tcBorders>
            <w:shd w:val="clear" w:color="auto" w:fill="auto"/>
            <w:vAlign w:val="center"/>
            <w:hideMark/>
          </w:tcPr>
          <w:p w14:paraId="5F2A758D" w14:textId="77777777" w:rsidR="00572995" w:rsidRPr="00483EBE" w:rsidRDefault="00572995" w:rsidP="00E8324D">
            <w:pPr>
              <w:pStyle w:val="Tablas"/>
              <w:rPr>
                <w:sz w:val="12"/>
                <w:szCs w:val="12"/>
              </w:rPr>
            </w:pPr>
            <w:r w:rsidRPr="00483EBE">
              <w:rPr>
                <w:sz w:val="12"/>
                <w:szCs w:val="12"/>
              </w:rPr>
              <w:t>$1,430</w:t>
            </w:r>
          </w:p>
        </w:tc>
        <w:tc>
          <w:tcPr>
            <w:tcW w:w="0" w:type="auto"/>
            <w:tcBorders>
              <w:top w:val="nil"/>
              <w:left w:val="nil"/>
              <w:bottom w:val="single" w:sz="4" w:space="0" w:color="auto"/>
              <w:right w:val="single" w:sz="4" w:space="0" w:color="auto"/>
            </w:tcBorders>
            <w:shd w:val="clear" w:color="auto" w:fill="auto"/>
            <w:vAlign w:val="center"/>
            <w:hideMark/>
          </w:tcPr>
          <w:p w14:paraId="7AEC8EDE"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6031C30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0139811" w14:textId="77777777" w:rsidR="00572995" w:rsidRPr="00483EBE" w:rsidRDefault="00572995" w:rsidP="00E8324D">
            <w:pPr>
              <w:pStyle w:val="Tablas"/>
              <w:rPr>
                <w:sz w:val="12"/>
                <w:szCs w:val="12"/>
              </w:rPr>
            </w:pPr>
            <w:r w:rsidRPr="00483EBE">
              <w:rPr>
                <w:sz w:val="12"/>
                <w:szCs w:val="12"/>
              </w:rPr>
              <w:t>SM</w:t>
            </w:r>
          </w:p>
        </w:tc>
      </w:tr>
      <w:tr w:rsidR="00572995" w:rsidRPr="00483EBE" w14:paraId="27058A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499B46"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37D6798A"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A0163F2" w14:textId="77777777" w:rsidR="00572995" w:rsidRPr="00483EBE" w:rsidRDefault="00572995" w:rsidP="00E8324D">
            <w:pPr>
              <w:pStyle w:val="Tablas"/>
              <w:rPr>
                <w:sz w:val="12"/>
                <w:szCs w:val="12"/>
              </w:rPr>
            </w:pPr>
            <w:r w:rsidRPr="00483EBE">
              <w:rPr>
                <w:sz w:val="12"/>
                <w:szCs w:val="12"/>
              </w:rPr>
              <w:t>$9,711</w:t>
            </w:r>
          </w:p>
        </w:tc>
        <w:tc>
          <w:tcPr>
            <w:tcW w:w="0" w:type="auto"/>
            <w:tcBorders>
              <w:top w:val="nil"/>
              <w:left w:val="nil"/>
              <w:bottom w:val="single" w:sz="4" w:space="0" w:color="auto"/>
              <w:right w:val="single" w:sz="4" w:space="0" w:color="auto"/>
            </w:tcBorders>
            <w:shd w:val="clear" w:color="auto" w:fill="auto"/>
            <w:vAlign w:val="center"/>
            <w:hideMark/>
          </w:tcPr>
          <w:p w14:paraId="62641952" w14:textId="77777777" w:rsidR="00572995" w:rsidRPr="00483EBE" w:rsidRDefault="00572995" w:rsidP="00E8324D">
            <w:pPr>
              <w:pStyle w:val="Tablas"/>
              <w:rPr>
                <w:sz w:val="12"/>
                <w:szCs w:val="12"/>
              </w:rPr>
            </w:pPr>
            <w:r w:rsidRPr="00483EBE">
              <w:rPr>
                <w:sz w:val="12"/>
                <w:szCs w:val="12"/>
              </w:rPr>
              <w:t>$1,079</w:t>
            </w:r>
          </w:p>
        </w:tc>
        <w:tc>
          <w:tcPr>
            <w:tcW w:w="0" w:type="auto"/>
            <w:tcBorders>
              <w:top w:val="nil"/>
              <w:left w:val="nil"/>
              <w:bottom w:val="single" w:sz="4" w:space="0" w:color="auto"/>
              <w:right w:val="single" w:sz="4" w:space="0" w:color="auto"/>
            </w:tcBorders>
            <w:shd w:val="clear" w:color="auto" w:fill="auto"/>
            <w:vAlign w:val="center"/>
            <w:hideMark/>
          </w:tcPr>
          <w:p w14:paraId="352C59E6"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018190BE"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29A87B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D5638C6"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4FCCE47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26474BB" w14:textId="77777777" w:rsidR="00572995" w:rsidRPr="00483EBE" w:rsidRDefault="00572995" w:rsidP="00E8324D">
            <w:pPr>
              <w:pStyle w:val="Tablas"/>
              <w:rPr>
                <w:sz w:val="12"/>
                <w:szCs w:val="12"/>
              </w:rPr>
            </w:pPr>
            <w:r w:rsidRPr="00483EBE">
              <w:rPr>
                <w:sz w:val="12"/>
                <w:szCs w:val="12"/>
              </w:rPr>
              <w:t>$1,718</w:t>
            </w:r>
          </w:p>
        </w:tc>
        <w:tc>
          <w:tcPr>
            <w:tcW w:w="0" w:type="auto"/>
            <w:tcBorders>
              <w:top w:val="nil"/>
              <w:left w:val="nil"/>
              <w:bottom w:val="single" w:sz="4" w:space="0" w:color="auto"/>
              <w:right w:val="single" w:sz="4" w:space="0" w:color="auto"/>
            </w:tcBorders>
            <w:shd w:val="clear" w:color="auto" w:fill="auto"/>
            <w:vAlign w:val="center"/>
            <w:hideMark/>
          </w:tcPr>
          <w:p w14:paraId="62DEEDD1" w14:textId="77777777" w:rsidR="00572995" w:rsidRPr="00483EBE" w:rsidRDefault="00572995" w:rsidP="00E8324D">
            <w:pPr>
              <w:pStyle w:val="Tablas"/>
              <w:rPr>
                <w:sz w:val="12"/>
                <w:szCs w:val="12"/>
              </w:rPr>
            </w:pPr>
            <w:r w:rsidRPr="00483EBE">
              <w:rPr>
                <w:sz w:val="12"/>
                <w:szCs w:val="12"/>
              </w:rPr>
              <w:t>$859</w:t>
            </w:r>
          </w:p>
        </w:tc>
        <w:tc>
          <w:tcPr>
            <w:tcW w:w="0" w:type="auto"/>
            <w:tcBorders>
              <w:top w:val="nil"/>
              <w:left w:val="nil"/>
              <w:bottom w:val="single" w:sz="4" w:space="0" w:color="auto"/>
              <w:right w:val="single" w:sz="4" w:space="0" w:color="auto"/>
            </w:tcBorders>
            <w:shd w:val="clear" w:color="auto" w:fill="auto"/>
            <w:vAlign w:val="center"/>
            <w:hideMark/>
          </w:tcPr>
          <w:p w14:paraId="1D565A80"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4DA966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0C7AB5B" w14:textId="77777777" w:rsidR="00572995" w:rsidRPr="00483EBE" w:rsidRDefault="00572995" w:rsidP="00E8324D">
            <w:pPr>
              <w:pStyle w:val="Tablas"/>
              <w:rPr>
                <w:sz w:val="12"/>
                <w:szCs w:val="12"/>
              </w:rPr>
            </w:pPr>
            <w:r w:rsidRPr="00483EBE">
              <w:rPr>
                <w:sz w:val="12"/>
                <w:szCs w:val="12"/>
              </w:rPr>
              <w:t>SM</w:t>
            </w:r>
          </w:p>
        </w:tc>
      </w:tr>
      <w:tr w:rsidR="00572995" w:rsidRPr="00483EBE" w14:paraId="1E47E4D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A575F9"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58AB9F9B"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4B16E875" w14:textId="77777777" w:rsidR="00572995" w:rsidRPr="00483EBE" w:rsidRDefault="00572995" w:rsidP="00E8324D">
            <w:pPr>
              <w:pStyle w:val="Tablas"/>
              <w:rPr>
                <w:sz w:val="12"/>
                <w:szCs w:val="12"/>
              </w:rPr>
            </w:pPr>
            <w:r w:rsidRPr="00483EBE">
              <w:rPr>
                <w:sz w:val="12"/>
                <w:szCs w:val="12"/>
              </w:rPr>
              <w:t>$21,314</w:t>
            </w:r>
          </w:p>
        </w:tc>
        <w:tc>
          <w:tcPr>
            <w:tcW w:w="0" w:type="auto"/>
            <w:tcBorders>
              <w:top w:val="nil"/>
              <w:left w:val="nil"/>
              <w:bottom w:val="single" w:sz="4" w:space="0" w:color="auto"/>
              <w:right w:val="single" w:sz="4" w:space="0" w:color="auto"/>
            </w:tcBorders>
            <w:shd w:val="clear" w:color="auto" w:fill="auto"/>
            <w:vAlign w:val="center"/>
            <w:hideMark/>
          </w:tcPr>
          <w:p w14:paraId="48E0A09A" w14:textId="77777777" w:rsidR="00572995" w:rsidRPr="00483EBE" w:rsidRDefault="00572995" w:rsidP="00E8324D">
            <w:pPr>
              <w:pStyle w:val="Tablas"/>
              <w:rPr>
                <w:sz w:val="12"/>
                <w:szCs w:val="12"/>
              </w:rPr>
            </w:pPr>
            <w:r w:rsidRPr="00483EBE">
              <w:rPr>
                <w:sz w:val="12"/>
                <w:szCs w:val="12"/>
              </w:rPr>
              <w:t>$1,184</w:t>
            </w:r>
          </w:p>
        </w:tc>
        <w:tc>
          <w:tcPr>
            <w:tcW w:w="0" w:type="auto"/>
            <w:tcBorders>
              <w:top w:val="nil"/>
              <w:left w:val="nil"/>
              <w:bottom w:val="single" w:sz="4" w:space="0" w:color="auto"/>
              <w:right w:val="single" w:sz="4" w:space="0" w:color="auto"/>
            </w:tcBorders>
            <w:shd w:val="clear" w:color="auto" w:fill="auto"/>
            <w:vAlign w:val="center"/>
            <w:hideMark/>
          </w:tcPr>
          <w:p w14:paraId="6C7E1473"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3BE37E2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16C950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D9E4A71"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1C9AB887"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6A5E6F6" w14:textId="77777777" w:rsidR="00572995" w:rsidRPr="00483EBE" w:rsidRDefault="00572995" w:rsidP="00E8324D">
            <w:pPr>
              <w:pStyle w:val="Tablas"/>
              <w:rPr>
                <w:sz w:val="12"/>
                <w:szCs w:val="12"/>
              </w:rPr>
            </w:pPr>
            <w:r w:rsidRPr="00483EBE">
              <w:rPr>
                <w:sz w:val="12"/>
                <w:szCs w:val="12"/>
              </w:rPr>
              <w:t>$5,090</w:t>
            </w:r>
          </w:p>
        </w:tc>
        <w:tc>
          <w:tcPr>
            <w:tcW w:w="0" w:type="auto"/>
            <w:tcBorders>
              <w:top w:val="nil"/>
              <w:left w:val="nil"/>
              <w:bottom w:val="single" w:sz="4" w:space="0" w:color="auto"/>
              <w:right w:val="single" w:sz="4" w:space="0" w:color="auto"/>
            </w:tcBorders>
            <w:shd w:val="clear" w:color="auto" w:fill="auto"/>
            <w:vAlign w:val="center"/>
            <w:hideMark/>
          </w:tcPr>
          <w:p w14:paraId="559A55FD" w14:textId="77777777" w:rsidR="00572995" w:rsidRPr="00483EBE" w:rsidRDefault="00572995" w:rsidP="00E8324D">
            <w:pPr>
              <w:pStyle w:val="Tablas"/>
              <w:rPr>
                <w:sz w:val="12"/>
                <w:szCs w:val="12"/>
              </w:rPr>
            </w:pPr>
            <w:r w:rsidRPr="00483EBE">
              <w:rPr>
                <w:sz w:val="12"/>
                <w:szCs w:val="12"/>
              </w:rPr>
              <w:t>$1,273</w:t>
            </w:r>
          </w:p>
        </w:tc>
        <w:tc>
          <w:tcPr>
            <w:tcW w:w="0" w:type="auto"/>
            <w:tcBorders>
              <w:top w:val="nil"/>
              <w:left w:val="nil"/>
              <w:bottom w:val="single" w:sz="4" w:space="0" w:color="auto"/>
              <w:right w:val="single" w:sz="4" w:space="0" w:color="auto"/>
            </w:tcBorders>
            <w:shd w:val="clear" w:color="auto" w:fill="auto"/>
            <w:vAlign w:val="center"/>
            <w:hideMark/>
          </w:tcPr>
          <w:p w14:paraId="1CE1B709"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1A378BD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FFD94F2" w14:textId="77777777" w:rsidR="00572995" w:rsidRPr="00483EBE" w:rsidRDefault="00572995" w:rsidP="00E8324D">
            <w:pPr>
              <w:pStyle w:val="Tablas"/>
              <w:rPr>
                <w:sz w:val="12"/>
                <w:szCs w:val="12"/>
              </w:rPr>
            </w:pPr>
            <w:r w:rsidRPr="00483EBE">
              <w:rPr>
                <w:sz w:val="12"/>
                <w:szCs w:val="12"/>
              </w:rPr>
              <w:t>SM</w:t>
            </w:r>
          </w:p>
        </w:tc>
      </w:tr>
      <w:tr w:rsidR="00572995" w:rsidRPr="00483EBE" w14:paraId="0706DB9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722557C"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0B363FEE"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3B3F44AF" w14:textId="77777777" w:rsidR="00572995" w:rsidRPr="00483EBE" w:rsidRDefault="00572995" w:rsidP="00E8324D">
            <w:pPr>
              <w:pStyle w:val="Tablas"/>
              <w:rPr>
                <w:sz w:val="12"/>
                <w:szCs w:val="12"/>
              </w:rPr>
            </w:pPr>
            <w:r w:rsidRPr="00483EBE">
              <w:rPr>
                <w:sz w:val="12"/>
                <w:szCs w:val="12"/>
              </w:rPr>
              <w:t>$11,126</w:t>
            </w:r>
          </w:p>
        </w:tc>
        <w:tc>
          <w:tcPr>
            <w:tcW w:w="0" w:type="auto"/>
            <w:tcBorders>
              <w:top w:val="nil"/>
              <w:left w:val="nil"/>
              <w:bottom w:val="single" w:sz="4" w:space="0" w:color="auto"/>
              <w:right w:val="single" w:sz="4" w:space="0" w:color="auto"/>
            </w:tcBorders>
            <w:shd w:val="clear" w:color="auto" w:fill="auto"/>
            <w:vAlign w:val="center"/>
            <w:hideMark/>
          </w:tcPr>
          <w:p w14:paraId="053AC266" w14:textId="77777777" w:rsidR="00572995" w:rsidRPr="00483EBE" w:rsidRDefault="00572995" w:rsidP="00E8324D">
            <w:pPr>
              <w:pStyle w:val="Tablas"/>
              <w:rPr>
                <w:sz w:val="12"/>
                <w:szCs w:val="12"/>
              </w:rPr>
            </w:pPr>
            <w:r w:rsidRPr="00483EBE">
              <w:rPr>
                <w:sz w:val="12"/>
                <w:szCs w:val="12"/>
              </w:rPr>
              <w:t>$1,011</w:t>
            </w:r>
          </w:p>
        </w:tc>
        <w:tc>
          <w:tcPr>
            <w:tcW w:w="0" w:type="auto"/>
            <w:tcBorders>
              <w:top w:val="nil"/>
              <w:left w:val="nil"/>
              <w:bottom w:val="single" w:sz="4" w:space="0" w:color="auto"/>
              <w:right w:val="single" w:sz="4" w:space="0" w:color="auto"/>
            </w:tcBorders>
            <w:shd w:val="clear" w:color="auto" w:fill="auto"/>
            <w:vAlign w:val="center"/>
            <w:hideMark/>
          </w:tcPr>
          <w:p w14:paraId="3A4067D8"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53DCAA6D"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382F31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B46483"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6080E76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4C3A5740" w14:textId="77777777" w:rsidR="00572995" w:rsidRPr="00483EBE" w:rsidRDefault="00572995" w:rsidP="00E8324D">
            <w:pPr>
              <w:pStyle w:val="Tablas"/>
              <w:rPr>
                <w:sz w:val="12"/>
                <w:szCs w:val="12"/>
              </w:rPr>
            </w:pPr>
            <w:r w:rsidRPr="00483EBE">
              <w:rPr>
                <w:sz w:val="12"/>
                <w:szCs w:val="12"/>
              </w:rPr>
              <w:t>$7,142</w:t>
            </w:r>
          </w:p>
        </w:tc>
        <w:tc>
          <w:tcPr>
            <w:tcW w:w="0" w:type="auto"/>
            <w:tcBorders>
              <w:top w:val="nil"/>
              <w:left w:val="nil"/>
              <w:bottom w:val="single" w:sz="4" w:space="0" w:color="auto"/>
              <w:right w:val="single" w:sz="4" w:space="0" w:color="auto"/>
            </w:tcBorders>
            <w:shd w:val="clear" w:color="auto" w:fill="auto"/>
            <w:vAlign w:val="center"/>
            <w:hideMark/>
          </w:tcPr>
          <w:p w14:paraId="7531FD40" w14:textId="77777777" w:rsidR="00572995" w:rsidRPr="00483EBE" w:rsidRDefault="00572995" w:rsidP="00E8324D">
            <w:pPr>
              <w:pStyle w:val="Tablas"/>
              <w:rPr>
                <w:sz w:val="12"/>
                <w:szCs w:val="12"/>
              </w:rPr>
            </w:pPr>
            <w:r w:rsidRPr="00483EBE">
              <w:rPr>
                <w:sz w:val="12"/>
                <w:szCs w:val="12"/>
              </w:rPr>
              <w:t>$1,428</w:t>
            </w:r>
          </w:p>
        </w:tc>
        <w:tc>
          <w:tcPr>
            <w:tcW w:w="0" w:type="auto"/>
            <w:tcBorders>
              <w:top w:val="nil"/>
              <w:left w:val="nil"/>
              <w:bottom w:val="single" w:sz="4" w:space="0" w:color="auto"/>
              <w:right w:val="single" w:sz="4" w:space="0" w:color="auto"/>
            </w:tcBorders>
            <w:shd w:val="clear" w:color="auto" w:fill="auto"/>
            <w:vAlign w:val="center"/>
            <w:hideMark/>
          </w:tcPr>
          <w:p w14:paraId="19CD79A3"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7AC01F9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78867E7" w14:textId="77777777" w:rsidR="00572995" w:rsidRPr="00483EBE" w:rsidRDefault="00572995" w:rsidP="00E8324D">
            <w:pPr>
              <w:pStyle w:val="Tablas"/>
              <w:rPr>
                <w:sz w:val="12"/>
                <w:szCs w:val="12"/>
              </w:rPr>
            </w:pPr>
            <w:r w:rsidRPr="00483EBE">
              <w:rPr>
                <w:sz w:val="12"/>
                <w:szCs w:val="12"/>
              </w:rPr>
              <w:t>SM</w:t>
            </w:r>
          </w:p>
        </w:tc>
      </w:tr>
      <w:tr w:rsidR="00572995" w:rsidRPr="00483EBE" w14:paraId="086E55F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D220A91"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0DFC1BB2"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BBF25ED" w14:textId="77777777" w:rsidR="00572995" w:rsidRPr="00483EBE" w:rsidRDefault="00572995" w:rsidP="00E8324D">
            <w:pPr>
              <w:pStyle w:val="Tablas"/>
              <w:rPr>
                <w:sz w:val="12"/>
                <w:szCs w:val="12"/>
              </w:rPr>
            </w:pPr>
            <w:r w:rsidRPr="00483EBE">
              <w:rPr>
                <w:sz w:val="12"/>
                <w:szCs w:val="12"/>
              </w:rPr>
              <w:t>$8,340</w:t>
            </w:r>
          </w:p>
        </w:tc>
        <w:tc>
          <w:tcPr>
            <w:tcW w:w="0" w:type="auto"/>
            <w:tcBorders>
              <w:top w:val="nil"/>
              <w:left w:val="nil"/>
              <w:bottom w:val="single" w:sz="4" w:space="0" w:color="auto"/>
              <w:right w:val="single" w:sz="4" w:space="0" w:color="auto"/>
            </w:tcBorders>
            <w:shd w:val="clear" w:color="auto" w:fill="auto"/>
            <w:vAlign w:val="center"/>
            <w:hideMark/>
          </w:tcPr>
          <w:p w14:paraId="0F1EB9A9" w14:textId="77777777" w:rsidR="00572995" w:rsidRPr="00483EBE" w:rsidRDefault="00572995" w:rsidP="00E8324D">
            <w:pPr>
              <w:pStyle w:val="Tablas"/>
              <w:rPr>
                <w:sz w:val="12"/>
                <w:szCs w:val="12"/>
              </w:rPr>
            </w:pPr>
            <w:r w:rsidRPr="00483EBE">
              <w:rPr>
                <w:sz w:val="12"/>
                <w:szCs w:val="12"/>
              </w:rPr>
              <w:t>$927</w:t>
            </w:r>
          </w:p>
        </w:tc>
        <w:tc>
          <w:tcPr>
            <w:tcW w:w="0" w:type="auto"/>
            <w:tcBorders>
              <w:top w:val="nil"/>
              <w:left w:val="nil"/>
              <w:bottom w:val="single" w:sz="4" w:space="0" w:color="auto"/>
              <w:right w:val="single" w:sz="4" w:space="0" w:color="auto"/>
            </w:tcBorders>
            <w:shd w:val="clear" w:color="auto" w:fill="auto"/>
            <w:vAlign w:val="center"/>
            <w:hideMark/>
          </w:tcPr>
          <w:p w14:paraId="28C54397"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32BEBE5D"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A99CCB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4EE3D7"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42878FC3"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5A311D1" w14:textId="77777777" w:rsidR="00572995" w:rsidRPr="00483EBE" w:rsidRDefault="00572995" w:rsidP="00E8324D">
            <w:pPr>
              <w:pStyle w:val="Tablas"/>
              <w:rPr>
                <w:sz w:val="12"/>
                <w:szCs w:val="12"/>
              </w:rPr>
            </w:pPr>
            <w:r w:rsidRPr="00483EBE">
              <w:rPr>
                <w:sz w:val="12"/>
                <w:szCs w:val="12"/>
              </w:rPr>
              <w:t>$3,895</w:t>
            </w:r>
          </w:p>
        </w:tc>
        <w:tc>
          <w:tcPr>
            <w:tcW w:w="0" w:type="auto"/>
            <w:tcBorders>
              <w:top w:val="nil"/>
              <w:left w:val="nil"/>
              <w:bottom w:val="single" w:sz="4" w:space="0" w:color="auto"/>
              <w:right w:val="single" w:sz="4" w:space="0" w:color="auto"/>
            </w:tcBorders>
            <w:shd w:val="clear" w:color="auto" w:fill="auto"/>
            <w:vAlign w:val="center"/>
            <w:hideMark/>
          </w:tcPr>
          <w:p w14:paraId="3BEF60EF" w14:textId="77777777" w:rsidR="00572995" w:rsidRPr="00483EBE" w:rsidRDefault="00572995" w:rsidP="00E8324D">
            <w:pPr>
              <w:pStyle w:val="Tablas"/>
              <w:rPr>
                <w:sz w:val="12"/>
                <w:szCs w:val="12"/>
              </w:rPr>
            </w:pPr>
            <w:r w:rsidRPr="00483EBE">
              <w:rPr>
                <w:sz w:val="12"/>
                <w:szCs w:val="12"/>
              </w:rPr>
              <w:t>$1,298</w:t>
            </w:r>
          </w:p>
        </w:tc>
        <w:tc>
          <w:tcPr>
            <w:tcW w:w="0" w:type="auto"/>
            <w:tcBorders>
              <w:top w:val="nil"/>
              <w:left w:val="nil"/>
              <w:bottom w:val="single" w:sz="4" w:space="0" w:color="auto"/>
              <w:right w:val="single" w:sz="4" w:space="0" w:color="auto"/>
            </w:tcBorders>
            <w:shd w:val="clear" w:color="auto" w:fill="auto"/>
            <w:vAlign w:val="center"/>
            <w:hideMark/>
          </w:tcPr>
          <w:p w14:paraId="69667AC7"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1B8108D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03D3D88" w14:textId="77777777" w:rsidR="00572995" w:rsidRPr="00483EBE" w:rsidRDefault="00572995" w:rsidP="00E8324D">
            <w:pPr>
              <w:pStyle w:val="Tablas"/>
              <w:rPr>
                <w:sz w:val="12"/>
                <w:szCs w:val="12"/>
              </w:rPr>
            </w:pPr>
            <w:r w:rsidRPr="00483EBE">
              <w:rPr>
                <w:sz w:val="12"/>
                <w:szCs w:val="12"/>
              </w:rPr>
              <w:t>SM</w:t>
            </w:r>
          </w:p>
        </w:tc>
      </w:tr>
      <w:tr w:rsidR="00572995" w:rsidRPr="00483EBE" w14:paraId="520F05D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BE38F43"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33FBC439" w14:textId="77777777" w:rsidR="00572995" w:rsidRPr="00483EBE" w:rsidRDefault="00572995" w:rsidP="00E8324D">
            <w:pPr>
              <w:pStyle w:val="Tablas"/>
              <w:rPr>
                <w:sz w:val="12"/>
                <w:szCs w:val="12"/>
              </w:rPr>
            </w:pPr>
            <w:r w:rsidRPr="00483EBE">
              <w:rPr>
                <w:sz w:val="12"/>
                <w:szCs w:val="12"/>
              </w:rPr>
              <w:t xml:space="preserve">23 </w:t>
            </w:r>
          </w:p>
        </w:tc>
        <w:tc>
          <w:tcPr>
            <w:tcW w:w="0" w:type="auto"/>
            <w:tcBorders>
              <w:top w:val="nil"/>
              <w:left w:val="nil"/>
              <w:bottom w:val="single" w:sz="4" w:space="0" w:color="auto"/>
              <w:right w:val="single" w:sz="4" w:space="0" w:color="auto"/>
            </w:tcBorders>
            <w:shd w:val="clear" w:color="auto" w:fill="auto"/>
            <w:vAlign w:val="center"/>
            <w:hideMark/>
          </w:tcPr>
          <w:p w14:paraId="5CA3921A" w14:textId="77777777" w:rsidR="00572995" w:rsidRPr="00483EBE" w:rsidRDefault="00572995" w:rsidP="00E8324D">
            <w:pPr>
              <w:pStyle w:val="Tablas"/>
              <w:rPr>
                <w:sz w:val="12"/>
                <w:szCs w:val="12"/>
              </w:rPr>
            </w:pPr>
            <w:r w:rsidRPr="00483EBE">
              <w:rPr>
                <w:sz w:val="12"/>
                <w:szCs w:val="12"/>
              </w:rPr>
              <w:t>$24,604</w:t>
            </w:r>
          </w:p>
        </w:tc>
        <w:tc>
          <w:tcPr>
            <w:tcW w:w="0" w:type="auto"/>
            <w:tcBorders>
              <w:top w:val="nil"/>
              <w:left w:val="nil"/>
              <w:bottom w:val="single" w:sz="4" w:space="0" w:color="auto"/>
              <w:right w:val="single" w:sz="4" w:space="0" w:color="auto"/>
            </w:tcBorders>
            <w:shd w:val="clear" w:color="auto" w:fill="auto"/>
            <w:vAlign w:val="center"/>
            <w:hideMark/>
          </w:tcPr>
          <w:p w14:paraId="0A28CFA8" w14:textId="77777777" w:rsidR="00572995" w:rsidRPr="00483EBE" w:rsidRDefault="00572995" w:rsidP="00E8324D">
            <w:pPr>
              <w:pStyle w:val="Tablas"/>
              <w:rPr>
                <w:sz w:val="12"/>
                <w:szCs w:val="12"/>
              </w:rPr>
            </w:pPr>
            <w:r w:rsidRPr="00483EBE">
              <w:rPr>
                <w:sz w:val="12"/>
                <w:szCs w:val="12"/>
              </w:rPr>
              <w:t>$1,070</w:t>
            </w:r>
          </w:p>
        </w:tc>
        <w:tc>
          <w:tcPr>
            <w:tcW w:w="0" w:type="auto"/>
            <w:tcBorders>
              <w:top w:val="nil"/>
              <w:left w:val="nil"/>
              <w:bottom w:val="single" w:sz="4" w:space="0" w:color="auto"/>
              <w:right w:val="single" w:sz="4" w:space="0" w:color="auto"/>
            </w:tcBorders>
            <w:shd w:val="clear" w:color="auto" w:fill="auto"/>
            <w:vAlign w:val="center"/>
            <w:hideMark/>
          </w:tcPr>
          <w:p w14:paraId="5AB31C33"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244DA4E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1BBD34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DA484A9"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1B8220A3"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6A2ACD80" w14:textId="77777777" w:rsidR="00572995" w:rsidRPr="00483EBE" w:rsidRDefault="00572995" w:rsidP="00E8324D">
            <w:pPr>
              <w:pStyle w:val="Tablas"/>
              <w:rPr>
                <w:sz w:val="12"/>
                <w:szCs w:val="12"/>
              </w:rPr>
            </w:pPr>
            <w:r w:rsidRPr="00483EBE">
              <w:rPr>
                <w:sz w:val="12"/>
                <w:szCs w:val="12"/>
              </w:rPr>
              <w:t>$9,993</w:t>
            </w:r>
          </w:p>
        </w:tc>
        <w:tc>
          <w:tcPr>
            <w:tcW w:w="0" w:type="auto"/>
            <w:tcBorders>
              <w:top w:val="nil"/>
              <w:left w:val="nil"/>
              <w:bottom w:val="single" w:sz="4" w:space="0" w:color="auto"/>
              <w:right w:val="single" w:sz="4" w:space="0" w:color="auto"/>
            </w:tcBorders>
            <w:shd w:val="clear" w:color="auto" w:fill="auto"/>
            <w:vAlign w:val="center"/>
            <w:hideMark/>
          </w:tcPr>
          <w:p w14:paraId="071AA1DD" w14:textId="77777777" w:rsidR="00572995" w:rsidRPr="00483EBE" w:rsidRDefault="00572995" w:rsidP="00E8324D">
            <w:pPr>
              <w:pStyle w:val="Tablas"/>
              <w:rPr>
                <w:sz w:val="12"/>
                <w:szCs w:val="12"/>
              </w:rPr>
            </w:pPr>
            <w:r w:rsidRPr="00483EBE">
              <w:rPr>
                <w:sz w:val="12"/>
                <w:szCs w:val="12"/>
              </w:rPr>
              <w:t>$1,428</w:t>
            </w:r>
          </w:p>
        </w:tc>
        <w:tc>
          <w:tcPr>
            <w:tcW w:w="0" w:type="auto"/>
            <w:tcBorders>
              <w:top w:val="nil"/>
              <w:left w:val="nil"/>
              <w:bottom w:val="single" w:sz="4" w:space="0" w:color="auto"/>
              <w:right w:val="single" w:sz="4" w:space="0" w:color="auto"/>
            </w:tcBorders>
            <w:shd w:val="clear" w:color="auto" w:fill="auto"/>
            <w:vAlign w:val="center"/>
            <w:hideMark/>
          </w:tcPr>
          <w:p w14:paraId="23C04027"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2169D9B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4D2B24C" w14:textId="77777777" w:rsidR="00572995" w:rsidRPr="00483EBE" w:rsidRDefault="00572995" w:rsidP="00E8324D">
            <w:pPr>
              <w:pStyle w:val="Tablas"/>
              <w:rPr>
                <w:sz w:val="12"/>
                <w:szCs w:val="12"/>
              </w:rPr>
            </w:pPr>
            <w:r w:rsidRPr="00483EBE">
              <w:rPr>
                <w:sz w:val="12"/>
                <w:szCs w:val="12"/>
              </w:rPr>
              <w:t>SM</w:t>
            </w:r>
          </w:p>
        </w:tc>
      </w:tr>
      <w:tr w:rsidR="00572995" w:rsidRPr="00483EBE" w14:paraId="55206CA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5610405"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15E3FCA6"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6660350F" w14:textId="77777777" w:rsidR="00572995" w:rsidRPr="00483EBE" w:rsidRDefault="00572995" w:rsidP="00E8324D">
            <w:pPr>
              <w:pStyle w:val="Tablas"/>
              <w:rPr>
                <w:sz w:val="12"/>
                <w:szCs w:val="12"/>
              </w:rPr>
            </w:pPr>
            <w:r w:rsidRPr="00483EBE">
              <w:rPr>
                <w:sz w:val="12"/>
                <w:szCs w:val="12"/>
              </w:rPr>
              <w:t>$23,685</w:t>
            </w:r>
          </w:p>
        </w:tc>
        <w:tc>
          <w:tcPr>
            <w:tcW w:w="0" w:type="auto"/>
            <w:tcBorders>
              <w:top w:val="nil"/>
              <w:left w:val="nil"/>
              <w:bottom w:val="single" w:sz="4" w:space="0" w:color="auto"/>
              <w:right w:val="single" w:sz="4" w:space="0" w:color="auto"/>
            </w:tcBorders>
            <w:shd w:val="clear" w:color="auto" w:fill="auto"/>
            <w:vAlign w:val="center"/>
            <w:hideMark/>
          </w:tcPr>
          <w:p w14:paraId="13E0689A" w14:textId="77777777" w:rsidR="00572995" w:rsidRPr="00483EBE" w:rsidRDefault="00572995" w:rsidP="00E8324D">
            <w:pPr>
              <w:pStyle w:val="Tablas"/>
              <w:rPr>
                <w:sz w:val="12"/>
                <w:szCs w:val="12"/>
              </w:rPr>
            </w:pPr>
            <w:r w:rsidRPr="00483EBE">
              <w:rPr>
                <w:sz w:val="12"/>
                <w:szCs w:val="12"/>
              </w:rPr>
              <w:t>$1,128</w:t>
            </w:r>
          </w:p>
        </w:tc>
        <w:tc>
          <w:tcPr>
            <w:tcW w:w="0" w:type="auto"/>
            <w:tcBorders>
              <w:top w:val="nil"/>
              <w:left w:val="nil"/>
              <w:bottom w:val="single" w:sz="4" w:space="0" w:color="auto"/>
              <w:right w:val="single" w:sz="4" w:space="0" w:color="auto"/>
            </w:tcBorders>
            <w:shd w:val="clear" w:color="auto" w:fill="auto"/>
            <w:vAlign w:val="center"/>
            <w:hideMark/>
          </w:tcPr>
          <w:p w14:paraId="2319A1DB"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29631418"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906A5C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F127A96"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32F5CEA5"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B05570D" w14:textId="77777777" w:rsidR="00572995" w:rsidRPr="00483EBE" w:rsidRDefault="00572995" w:rsidP="00E8324D">
            <w:pPr>
              <w:pStyle w:val="Tablas"/>
              <w:rPr>
                <w:sz w:val="12"/>
                <w:szCs w:val="12"/>
              </w:rPr>
            </w:pPr>
            <w:r w:rsidRPr="00483EBE">
              <w:rPr>
                <w:sz w:val="12"/>
                <w:szCs w:val="12"/>
              </w:rPr>
              <w:t>$1,142</w:t>
            </w:r>
          </w:p>
        </w:tc>
        <w:tc>
          <w:tcPr>
            <w:tcW w:w="0" w:type="auto"/>
            <w:tcBorders>
              <w:top w:val="nil"/>
              <w:left w:val="nil"/>
              <w:bottom w:val="single" w:sz="4" w:space="0" w:color="auto"/>
              <w:right w:val="single" w:sz="4" w:space="0" w:color="auto"/>
            </w:tcBorders>
            <w:shd w:val="clear" w:color="auto" w:fill="auto"/>
            <w:vAlign w:val="center"/>
            <w:hideMark/>
          </w:tcPr>
          <w:p w14:paraId="36E94FA9" w14:textId="77777777" w:rsidR="00572995" w:rsidRPr="00483EBE" w:rsidRDefault="00572995" w:rsidP="00E8324D">
            <w:pPr>
              <w:pStyle w:val="Tablas"/>
              <w:rPr>
                <w:sz w:val="12"/>
                <w:szCs w:val="12"/>
              </w:rPr>
            </w:pPr>
            <w:r w:rsidRPr="00483EBE">
              <w:rPr>
                <w:sz w:val="12"/>
                <w:szCs w:val="12"/>
              </w:rPr>
              <w:t>$1,142</w:t>
            </w:r>
          </w:p>
        </w:tc>
        <w:tc>
          <w:tcPr>
            <w:tcW w:w="0" w:type="auto"/>
            <w:tcBorders>
              <w:top w:val="nil"/>
              <w:left w:val="nil"/>
              <w:bottom w:val="single" w:sz="4" w:space="0" w:color="auto"/>
              <w:right w:val="single" w:sz="4" w:space="0" w:color="auto"/>
            </w:tcBorders>
            <w:shd w:val="clear" w:color="auto" w:fill="auto"/>
            <w:vAlign w:val="center"/>
            <w:hideMark/>
          </w:tcPr>
          <w:p w14:paraId="2FA1DA3E"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6F3E39D0"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13CD0BB" w14:textId="77777777" w:rsidR="00572995" w:rsidRPr="00483EBE" w:rsidRDefault="00572995" w:rsidP="00E8324D">
            <w:pPr>
              <w:pStyle w:val="Tablas"/>
              <w:rPr>
                <w:sz w:val="12"/>
                <w:szCs w:val="12"/>
              </w:rPr>
            </w:pPr>
            <w:r w:rsidRPr="00483EBE">
              <w:rPr>
                <w:sz w:val="12"/>
                <w:szCs w:val="12"/>
              </w:rPr>
              <w:t>SM</w:t>
            </w:r>
          </w:p>
        </w:tc>
      </w:tr>
      <w:tr w:rsidR="00572995" w:rsidRPr="00483EBE" w14:paraId="518C315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7F41608"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9FE1DED"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34CEF1F4" w14:textId="77777777" w:rsidR="00572995" w:rsidRPr="00483EBE" w:rsidRDefault="00572995" w:rsidP="00E8324D">
            <w:pPr>
              <w:pStyle w:val="Tablas"/>
              <w:rPr>
                <w:sz w:val="12"/>
                <w:szCs w:val="12"/>
              </w:rPr>
            </w:pPr>
            <w:r w:rsidRPr="00483EBE">
              <w:rPr>
                <w:sz w:val="12"/>
                <w:szCs w:val="12"/>
              </w:rPr>
              <w:t>$25,994</w:t>
            </w:r>
          </w:p>
        </w:tc>
        <w:tc>
          <w:tcPr>
            <w:tcW w:w="0" w:type="auto"/>
            <w:tcBorders>
              <w:top w:val="nil"/>
              <w:left w:val="nil"/>
              <w:bottom w:val="single" w:sz="4" w:space="0" w:color="auto"/>
              <w:right w:val="single" w:sz="4" w:space="0" w:color="auto"/>
            </w:tcBorders>
            <w:shd w:val="clear" w:color="auto" w:fill="auto"/>
            <w:vAlign w:val="center"/>
            <w:hideMark/>
          </w:tcPr>
          <w:p w14:paraId="0224E3DA" w14:textId="77777777" w:rsidR="00572995" w:rsidRPr="00483EBE" w:rsidRDefault="00572995" w:rsidP="00E8324D">
            <w:pPr>
              <w:pStyle w:val="Tablas"/>
              <w:rPr>
                <w:sz w:val="12"/>
                <w:szCs w:val="12"/>
              </w:rPr>
            </w:pPr>
            <w:r w:rsidRPr="00483EBE">
              <w:rPr>
                <w:sz w:val="12"/>
                <w:szCs w:val="12"/>
              </w:rPr>
              <w:t>$1,238</w:t>
            </w:r>
          </w:p>
        </w:tc>
        <w:tc>
          <w:tcPr>
            <w:tcW w:w="0" w:type="auto"/>
            <w:tcBorders>
              <w:top w:val="nil"/>
              <w:left w:val="nil"/>
              <w:bottom w:val="single" w:sz="4" w:space="0" w:color="auto"/>
              <w:right w:val="single" w:sz="4" w:space="0" w:color="auto"/>
            </w:tcBorders>
            <w:shd w:val="clear" w:color="auto" w:fill="auto"/>
            <w:vAlign w:val="center"/>
            <w:hideMark/>
          </w:tcPr>
          <w:p w14:paraId="5C45DD3D"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7F454C18"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0852AE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CAE4D0"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15B8C8B2"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6CF812ED" w14:textId="77777777" w:rsidR="00572995" w:rsidRPr="00483EBE" w:rsidRDefault="00572995" w:rsidP="00E8324D">
            <w:pPr>
              <w:pStyle w:val="Tablas"/>
              <w:rPr>
                <w:sz w:val="12"/>
                <w:szCs w:val="12"/>
              </w:rPr>
            </w:pPr>
            <w:r w:rsidRPr="00483EBE">
              <w:rPr>
                <w:sz w:val="12"/>
                <w:szCs w:val="12"/>
              </w:rPr>
              <w:t>$6,851</w:t>
            </w:r>
          </w:p>
        </w:tc>
        <w:tc>
          <w:tcPr>
            <w:tcW w:w="0" w:type="auto"/>
            <w:tcBorders>
              <w:top w:val="nil"/>
              <w:left w:val="nil"/>
              <w:bottom w:val="single" w:sz="4" w:space="0" w:color="auto"/>
              <w:right w:val="single" w:sz="4" w:space="0" w:color="auto"/>
            </w:tcBorders>
            <w:shd w:val="clear" w:color="auto" w:fill="auto"/>
            <w:vAlign w:val="center"/>
            <w:hideMark/>
          </w:tcPr>
          <w:p w14:paraId="03FB0C22" w14:textId="77777777" w:rsidR="00572995" w:rsidRPr="00483EBE" w:rsidRDefault="00572995" w:rsidP="00E8324D">
            <w:pPr>
              <w:pStyle w:val="Tablas"/>
              <w:rPr>
                <w:sz w:val="12"/>
                <w:szCs w:val="12"/>
              </w:rPr>
            </w:pPr>
            <w:r w:rsidRPr="00483EBE">
              <w:rPr>
                <w:sz w:val="12"/>
                <w:szCs w:val="12"/>
              </w:rPr>
              <w:t>$1,142</w:t>
            </w:r>
          </w:p>
        </w:tc>
        <w:tc>
          <w:tcPr>
            <w:tcW w:w="0" w:type="auto"/>
            <w:tcBorders>
              <w:top w:val="nil"/>
              <w:left w:val="nil"/>
              <w:bottom w:val="single" w:sz="4" w:space="0" w:color="auto"/>
              <w:right w:val="single" w:sz="4" w:space="0" w:color="auto"/>
            </w:tcBorders>
            <w:shd w:val="clear" w:color="auto" w:fill="auto"/>
            <w:vAlign w:val="center"/>
            <w:hideMark/>
          </w:tcPr>
          <w:p w14:paraId="510D158B"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7E00613D"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F9F6901" w14:textId="77777777" w:rsidR="00572995" w:rsidRPr="00483EBE" w:rsidRDefault="00572995" w:rsidP="00E8324D">
            <w:pPr>
              <w:pStyle w:val="Tablas"/>
              <w:rPr>
                <w:sz w:val="12"/>
                <w:szCs w:val="12"/>
              </w:rPr>
            </w:pPr>
            <w:r w:rsidRPr="00483EBE">
              <w:rPr>
                <w:sz w:val="12"/>
                <w:szCs w:val="12"/>
              </w:rPr>
              <w:t>SM</w:t>
            </w:r>
          </w:p>
        </w:tc>
      </w:tr>
      <w:tr w:rsidR="00572995" w:rsidRPr="00483EBE" w14:paraId="3695B4F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A4DB8B1"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62B308DC"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0967C05C" w14:textId="77777777" w:rsidR="00572995" w:rsidRPr="00483EBE" w:rsidRDefault="00572995" w:rsidP="00E8324D">
            <w:pPr>
              <w:pStyle w:val="Tablas"/>
              <w:rPr>
                <w:sz w:val="12"/>
                <w:szCs w:val="12"/>
              </w:rPr>
            </w:pPr>
            <w:r w:rsidRPr="00483EBE">
              <w:rPr>
                <w:sz w:val="12"/>
                <w:szCs w:val="12"/>
              </w:rPr>
              <w:t>$21,744</w:t>
            </w:r>
          </w:p>
        </w:tc>
        <w:tc>
          <w:tcPr>
            <w:tcW w:w="0" w:type="auto"/>
            <w:tcBorders>
              <w:top w:val="nil"/>
              <w:left w:val="nil"/>
              <w:bottom w:val="single" w:sz="4" w:space="0" w:color="auto"/>
              <w:right w:val="single" w:sz="4" w:space="0" w:color="auto"/>
            </w:tcBorders>
            <w:shd w:val="clear" w:color="auto" w:fill="auto"/>
            <w:vAlign w:val="center"/>
            <w:hideMark/>
          </w:tcPr>
          <w:p w14:paraId="6C4B3421" w14:textId="77777777" w:rsidR="00572995" w:rsidRPr="00483EBE" w:rsidRDefault="00572995" w:rsidP="00E8324D">
            <w:pPr>
              <w:pStyle w:val="Tablas"/>
              <w:rPr>
                <w:sz w:val="12"/>
                <w:szCs w:val="12"/>
              </w:rPr>
            </w:pPr>
            <w:r w:rsidRPr="00483EBE">
              <w:rPr>
                <w:sz w:val="12"/>
                <w:szCs w:val="12"/>
              </w:rPr>
              <w:t>$1,279</w:t>
            </w:r>
          </w:p>
        </w:tc>
        <w:tc>
          <w:tcPr>
            <w:tcW w:w="0" w:type="auto"/>
            <w:tcBorders>
              <w:top w:val="nil"/>
              <w:left w:val="nil"/>
              <w:bottom w:val="single" w:sz="4" w:space="0" w:color="auto"/>
              <w:right w:val="single" w:sz="4" w:space="0" w:color="auto"/>
            </w:tcBorders>
            <w:shd w:val="clear" w:color="auto" w:fill="auto"/>
            <w:vAlign w:val="center"/>
            <w:hideMark/>
          </w:tcPr>
          <w:p w14:paraId="1C1BC45C"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7048C65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2ED543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5C58C30"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169FFA16"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249E002" w14:textId="77777777" w:rsidR="00572995" w:rsidRPr="00483EBE" w:rsidRDefault="00572995" w:rsidP="00E8324D">
            <w:pPr>
              <w:pStyle w:val="Tablas"/>
              <w:rPr>
                <w:sz w:val="12"/>
                <w:szCs w:val="12"/>
              </w:rPr>
            </w:pPr>
            <w:r w:rsidRPr="00483EBE">
              <w:rPr>
                <w:sz w:val="12"/>
                <w:szCs w:val="12"/>
              </w:rPr>
              <w:t>$2,880</w:t>
            </w:r>
          </w:p>
        </w:tc>
        <w:tc>
          <w:tcPr>
            <w:tcW w:w="0" w:type="auto"/>
            <w:tcBorders>
              <w:top w:val="nil"/>
              <w:left w:val="nil"/>
              <w:bottom w:val="single" w:sz="4" w:space="0" w:color="auto"/>
              <w:right w:val="single" w:sz="4" w:space="0" w:color="auto"/>
            </w:tcBorders>
            <w:shd w:val="clear" w:color="auto" w:fill="auto"/>
            <w:vAlign w:val="center"/>
            <w:hideMark/>
          </w:tcPr>
          <w:p w14:paraId="3723612D" w14:textId="77777777" w:rsidR="00572995" w:rsidRPr="00483EBE" w:rsidRDefault="00572995" w:rsidP="00E8324D">
            <w:pPr>
              <w:pStyle w:val="Tablas"/>
              <w:rPr>
                <w:sz w:val="12"/>
                <w:szCs w:val="12"/>
              </w:rPr>
            </w:pPr>
            <w:r w:rsidRPr="00483EBE">
              <w:rPr>
                <w:sz w:val="12"/>
                <w:szCs w:val="12"/>
              </w:rPr>
              <w:t>$1,440</w:t>
            </w:r>
          </w:p>
        </w:tc>
        <w:tc>
          <w:tcPr>
            <w:tcW w:w="0" w:type="auto"/>
            <w:tcBorders>
              <w:top w:val="nil"/>
              <w:left w:val="nil"/>
              <w:bottom w:val="single" w:sz="4" w:space="0" w:color="auto"/>
              <w:right w:val="single" w:sz="4" w:space="0" w:color="auto"/>
            </w:tcBorders>
            <w:shd w:val="clear" w:color="auto" w:fill="auto"/>
            <w:vAlign w:val="center"/>
            <w:hideMark/>
          </w:tcPr>
          <w:p w14:paraId="6353DAE1"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2300DA4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2C2CF40" w14:textId="77777777" w:rsidR="00572995" w:rsidRPr="00483EBE" w:rsidRDefault="00572995" w:rsidP="00E8324D">
            <w:pPr>
              <w:pStyle w:val="Tablas"/>
              <w:rPr>
                <w:sz w:val="12"/>
                <w:szCs w:val="12"/>
              </w:rPr>
            </w:pPr>
            <w:r w:rsidRPr="00483EBE">
              <w:rPr>
                <w:sz w:val="12"/>
                <w:szCs w:val="12"/>
              </w:rPr>
              <w:t>SM</w:t>
            </w:r>
          </w:p>
        </w:tc>
      </w:tr>
      <w:tr w:rsidR="00572995" w:rsidRPr="00483EBE" w14:paraId="5680602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4B9AEE"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77836F54"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0852E5AD" w14:textId="77777777" w:rsidR="00572995" w:rsidRPr="00483EBE" w:rsidRDefault="00572995" w:rsidP="00E8324D">
            <w:pPr>
              <w:pStyle w:val="Tablas"/>
              <w:rPr>
                <w:sz w:val="12"/>
                <w:szCs w:val="12"/>
              </w:rPr>
            </w:pPr>
            <w:r w:rsidRPr="00483EBE">
              <w:rPr>
                <w:sz w:val="12"/>
                <w:szCs w:val="12"/>
              </w:rPr>
              <w:t>$24,596</w:t>
            </w:r>
          </w:p>
        </w:tc>
        <w:tc>
          <w:tcPr>
            <w:tcW w:w="0" w:type="auto"/>
            <w:tcBorders>
              <w:top w:val="nil"/>
              <w:left w:val="nil"/>
              <w:bottom w:val="single" w:sz="4" w:space="0" w:color="auto"/>
              <w:right w:val="single" w:sz="4" w:space="0" w:color="auto"/>
            </w:tcBorders>
            <w:shd w:val="clear" w:color="auto" w:fill="auto"/>
            <w:vAlign w:val="center"/>
            <w:hideMark/>
          </w:tcPr>
          <w:p w14:paraId="6F41D092" w14:textId="77777777" w:rsidR="00572995" w:rsidRPr="00483EBE" w:rsidRDefault="00572995" w:rsidP="00E8324D">
            <w:pPr>
              <w:pStyle w:val="Tablas"/>
              <w:rPr>
                <w:sz w:val="12"/>
                <w:szCs w:val="12"/>
              </w:rPr>
            </w:pPr>
            <w:r w:rsidRPr="00483EBE">
              <w:rPr>
                <w:sz w:val="12"/>
                <w:szCs w:val="12"/>
              </w:rPr>
              <w:t>$1,118</w:t>
            </w:r>
          </w:p>
        </w:tc>
        <w:tc>
          <w:tcPr>
            <w:tcW w:w="0" w:type="auto"/>
            <w:tcBorders>
              <w:top w:val="nil"/>
              <w:left w:val="nil"/>
              <w:bottom w:val="single" w:sz="4" w:space="0" w:color="auto"/>
              <w:right w:val="single" w:sz="4" w:space="0" w:color="auto"/>
            </w:tcBorders>
            <w:shd w:val="clear" w:color="auto" w:fill="auto"/>
            <w:vAlign w:val="center"/>
            <w:hideMark/>
          </w:tcPr>
          <w:p w14:paraId="4AEB701E"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5390B2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86D083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9E02EC5"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386F15C8"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18A367CF" w14:textId="77777777" w:rsidR="00572995" w:rsidRPr="00483EBE" w:rsidRDefault="00572995" w:rsidP="00E8324D">
            <w:pPr>
              <w:pStyle w:val="Tablas"/>
              <w:rPr>
                <w:sz w:val="12"/>
                <w:szCs w:val="12"/>
              </w:rPr>
            </w:pPr>
            <w:r w:rsidRPr="00483EBE">
              <w:rPr>
                <w:sz w:val="12"/>
                <w:szCs w:val="12"/>
              </w:rPr>
              <w:t>$2,698</w:t>
            </w:r>
          </w:p>
        </w:tc>
        <w:tc>
          <w:tcPr>
            <w:tcW w:w="0" w:type="auto"/>
            <w:tcBorders>
              <w:top w:val="nil"/>
              <w:left w:val="nil"/>
              <w:bottom w:val="single" w:sz="4" w:space="0" w:color="auto"/>
              <w:right w:val="single" w:sz="4" w:space="0" w:color="auto"/>
            </w:tcBorders>
            <w:shd w:val="clear" w:color="auto" w:fill="auto"/>
            <w:vAlign w:val="center"/>
            <w:hideMark/>
          </w:tcPr>
          <w:p w14:paraId="4FD234FC" w14:textId="77777777" w:rsidR="00572995" w:rsidRPr="00483EBE" w:rsidRDefault="00572995" w:rsidP="00E8324D">
            <w:pPr>
              <w:pStyle w:val="Tablas"/>
              <w:rPr>
                <w:sz w:val="12"/>
                <w:szCs w:val="12"/>
              </w:rPr>
            </w:pPr>
            <w:r w:rsidRPr="00483EBE">
              <w:rPr>
                <w:sz w:val="12"/>
                <w:szCs w:val="12"/>
              </w:rPr>
              <w:t>$899</w:t>
            </w:r>
          </w:p>
        </w:tc>
        <w:tc>
          <w:tcPr>
            <w:tcW w:w="0" w:type="auto"/>
            <w:tcBorders>
              <w:top w:val="nil"/>
              <w:left w:val="nil"/>
              <w:bottom w:val="single" w:sz="4" w:space="0" w:color="auto"/>
              <w:right w:val="single" w:sz="4" w:space="0" w:color="auto"/>
            </w:tcBorders>
            <w:shd w:val="clear" w:color="auto" w:fill="auto"/>
            <w:vAlign w:val="center"/>
            <w:hideMark/>
          </w:tcPr>
          <w:p w14:paraId="4E4777A5"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26C5D573"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E9A74D2" w14:textId="77777777" w:rsidR="00572995" w:rsidRPr="00483EBE" w:rsidRDefault="00572995" w:rsidP="00E8324D">
            <w:pPr>
              <w:pStyle w:val="Tablas"/>
              <w:rPr>
                <w:sz w:val="12"/>
                <w:szCs w:val="12"/>
              </w:rPr>
            </w:pPr>
            <w:r w:rsidRPr="00483EBE">
              <w:rPr>
                <w:sz w:val="12"/>
                <w:szCs w:val="12"/>
              </w:rPr>
              <w:t>SM</w:t>
            </w:r>
          </w:p>
        </w:tc>
      </w:tr>
      <w:tr w:rsidR="00572995" w:rsidRPr="00483EBE" w14:paraId="1012C3A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F6678E"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8EF77D2"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05D486D7" w14:textId="77777777" w:rsidR="00572995" w:rsidRPr="00483EBE" w:rsidRDefault="00572995" w:rsidP="00E8324D">
            <w:pPr>
              <w:pStyle w:val="Tablas"/>
              <w:rPr>
                <w:sz w:val="12"/>
                <w:szCs w:val="12"/>
              </w:rPr>
            </w:pPr>
            <w:r w:rsidRPr="00483EBE">
              <w:rPr>
                <w:sz w:val="12"/>
                <w:szCs w:val="12"/>
              </w:rPr>
              <w:t>$35,551</w:t>
            </w:r>
          </w:p>
        </w:tc>
        <w:tc>
          <w:tcPr>
            <w:tcW w:w="0" w:type="auto"/>
            <w:tcBorders>
              <w:top w:val="nil"/>
              <w:left w:val="nil"/>
              <w:bottom w:val="single" w:sz="4" w:space="0" w:color="auto"/>
              <w:right w:val="single" w:sz="4" w:space="0" w:color="auto"/>
            </w:tcBorders>
            <w:shd w:val="clear" w:color="auto" w:fill="auto"/>
            <w:vAlign w:val="center"/>
            <w:hideMark/>
          </w:tcPr>
          <w:p w14:paraId="45458786" w14:textId="77777777" w:rsidR="00572995" w:rsidRPr="00483EBE" w:rsidRDefault="00572995" w:rsidP="00E8324D">
            <w:pPr>
              <w:pStyle w:val="Tablas"/>
              <w:rPr>
                <w:sz w:val="12"/>
                <w:szCs w:val="12"/>
              </w:rPr>
            </w:pPr>
            <w:r w:rsidRPr="00483EBE">
              <w:rPr>
                <w:sz w:val="12"/>
                <w:szCs w:val="12"/>
              </w:rPr>
              <w:t>$1,111</w:t>
            </w:r>
          </w:p>
        </w:tc>
        <w:tc>
          <w:tcPr>
            <w:tcW w:w="0" w:type="auto"/>
            <w:tcBorders>
              <w:top w:val="nil"/>
              <w:left w:val="nil"/>
              <w:bottom w:val="single" w:sz="4" w:space="0" w:color="auto"/>
              <w:right w:val="single" w:sz="4" w:space="0" w:color="auto"/>
            </w:tcBorders>
            <w:shd w:val="clear" w:color="auto" w:fill="auto"/>
            <w:vAlign w:val="center"/>
            <w:hideMark/>
          </w:tcPr>
          <w:p w14:paraId="176CF9F9"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ABE743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77D22A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A6E46A"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2B95937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4483293" w14:textId="77777777" w:rsidR="00572995" w:rsidRPr="00483EBE" w:rsidRDefault="00572995" w:rsidP="00E8324D">
            <w:pPr>
              <w:pStyle w:val="Tablas"/>
              <w:rPr>
                <w:sz w:val="12"/>
                <w:szCs w:val="12"/>
              </w:rPr>
            </w:pPr>
            <w:r w:rsidRPr="00483EBE">
              <w:rPr>
                <w:sz w:val="12"/>
                <w:szCs w:val="12"/>
              </w:rPr>
              <w:t>$1,175</w:t>
            </w:r>
          </w:p>
        </w:tc>
        <w:tc>
          <w:tcPr>
            <w:tcW w:w="0" w:type="auto"/>
            <w:tcBorders>
              <w:top w:val="nil"/>
              <w:left w:val="nil"/>
              <w:bottom w:val="single" w:sz="4" w:space="0" w:color="auto"/>
              <w:right w:val="single" w:sz="4" w:space="0" w:color="auto"/>
            </w:tcBorders>
            <w:shd w:val="clear" w:color="auto" w:fill="auto"/>
            <w:vAlign w:val="center"/>
            <w:hideMark/>
          </w:tcPr>
          <w:p w14:paraId="00C8F72A" w14:textId="77777777" w:rsidR="00572995" w:rsidRPr="00483EBE" w:rsidRDefault="00572995" w:rsidP="00E8324D">
            <w:pPr>
              <w:pStyle w:val="Tablas"/>
              <w:rPr>
                <w:sz w:val="12"/>
                <w:szCs w:val="12"/>
              </w:rPr>
            </w:pPr>
            <w:r w:rsidRPr="00483EBE">
              <w:rPr>
                <w:sz w:val="12"/>
                <w:szCs w:val="12"/>
              </w:rPr>
              <w:t>$1,175</w:t>
            </w:r>
          </w:p>
        </w:tc>
        <w:tc>
          <w:tcPr>
            <w:tcW w:w="0" w:type="auto"/>
            <w:tcBorders>
              <w:top w:val="nil"/>
              <w:left w:val="nil"/>
              <w:bottom w:val="single" w:sz="4" w:space="0" w:color="auto"/>
              <w:right w:val="single" w:sz="4" w:space="0" w:color="auto"/>
            </w:tcBorders>
            <w:shd w:val="clear" w:color="auto" w:fill="auto"/>
            <w:vAlign w:val="center"/>
            <w:hideMark/>
          </w:tcPr>
          <w:p w14:paraId="38BEBDD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08864BD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318F8F0" w14:textId="77777777" w:rsidR="00572995" w:rsidRPr="00483EBE" w:rsidRDefault="00572995" w:rsidP="00E8324D">
            <w:pPr>
              <w:pStyle w:val="Tablas"/>
              <w:rPr>
                <w:sz w:val="12"/>
                <w:szCs w:val="12"/>
              </w:rPr>
            </w:pPr>
            <w:r w:rsidRPr="00483EBE">
              <w:rPr>
                <w:sz w:val="12"/>
                <w:szCs w:val="12"/>
              </w:rPr>
              <w:t>SM</w:t>
            </w:r>
          </w:p>
        </w:tc>
      </w:tr>
      <w:tr w:rsidR="00572995" w:rsidRPr="00483EBE" w14:paraId="1D3DCB2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E823C0"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76B046ED"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639DEB8E" w14:textId="77777777" w:rsidR="00572995" w:rsidRPr="00483EBE" w:rsidRDefault="00572995" w:rsidP="00E8324D">
            <w:pPr>
              <w:pStyle w:val="Tablas"/>
              <w:rPr>
                <w:sz w:val="12"/>
                <w:szCs w:val="12"/>
              </w:rPr>
            </w:pPr>
            <w:r w:rsidRPr="00483EBE">
              <w:rPr>
                <w:sz w:val="12"/>
                <w:szCs w:val="12"/>
              </w:rPr>
              <w:t>$39,175</w:t>
            </w:r>
          </w:p>
        </w:tc>
        <w:tc>
          <w:tcPr>
            <w:tcW w:w="0" w:type="auto"/>
            <w:tcBorders>
              <w:top w:val="nil"/>
              <w:left w:val="nil"/>
              <w:bottom w:val="single" w:sz="4" w:space="0" w:color="auto"/>
              <w:right w:val="single" w:sz="4" w:space="0" w:color="auto"/>
            </w:tcBorders>
            <w:shd w:val="clear" w:color="auto" w:fill="auto"/>
            <w:vAlign w:val="center"/>
            <w:hideMark/>
          </w:tcPr>
          <w:p w14:paraId="3C62915C" w14:textId="77777777" w:rsidR="00572995" w:rsidRPr="00483EBE" w:rsidRDefault="00572995" w:rsidP="00E8324D">
            <w:pPr>
              <w:pStyle w:val="Tablas"/>
              <w:rPr>
                <w:sz w:val="12"/>
                <w:szCs w:val="12"/>
              </w:rPr>
            </w:pPr>
            <w:r w:rsidRPr="00483EBE">
              <w:rPr>
                <w:sz w:val="12"/>
                <w:szCs w:val="12"/>
              </w:rPr>
              <w:t>$1,632</w:t>
            </w:r>
          </w:p>
        </w:tc>
        <w:tc>
          <w:tcPr>
            <w:tcW w:w="0" w:type="auto"/>
            <w:tcBorders>
              <w:top w:val="nil"/>
              <w:left w:val="nil"/>
              <w:bottom w:val="single" w:sz="4" w:space="0" w:color="auto"/>
              <w:right w:val="single" w:sz="4" w:space="0" w:color="auto"/>
            </w:tcBorders>
            <w:shd w:val="clear" w:color="auto" w:fill="auto"/>
            <w:vAlign w:val="center"/>
            <w:hideMark/>
          </w:tcPr>
          <w:p w14:paraId="2C6F4A0B" w14:textId="77777777" w:rsidR="00572995" w:rsidRPr="00483EBE" w:rsidRDefault="00572995" w:rsidP="00E8324D">
            <w:pPr>
              <w:pStyle w:val="Tablas"/>
              <w:rPr>
                <w:sz w:val="12"/>
                <w:szCs w:val="12"/>
              </w:rPr>
            </w:pPr>
            <w:r w:rsidRPr="00483EBE">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447856B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7A4B38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892414"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7C39F6C4"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6BCC5CC" w14:textId="77777777" w:rsidR="00572995" w:rsidRPr="00483EBE" w:rsidRDefault="00572995" w:rsidP="00E8324D">
            <w:pPr>
              <w:pStyle w:val="Tablas"/>
              <w:rPr>
                <w:sz w:val="12"/>
                <w:szCs w:val="12"/>
              </w:rPr>
            </w:pPr>
            <w:r w:rsidRPr="00483EBE">
              <w:rPr>
                <w:sz w:val="12"/>
                <w:szCs w:val="12"/>
              </w:rPr>
              <w:t>$4,897</w:t>
            </w:r>
          </w:p>
        </w:tc>
        <w:tc>
          <w:tcPr>
            <w:tcW w:w="0" w:type="auto"/>
            <w:tcBorders>
              <w:top w:val="nil"/>
              <w:left w:val="nil"/>
              <w:bottom w:val="single" w:sz="4" w:space="0" w:color="auto"/>
              <w:right w:val="single" w:sz="4" w:space="0" w:color="auto"/>
            </w:tcBorders>
            <w:shd w:val="clear" w:color="auto" w:fill="auto"/>
            <w:vAlign w:val="center"/>
            <w:hideMark/>
          </w:tcPr>
          <w:p w14:paraId="22FD020C" w14:textId="77777777" w:rsidR="00572995" w:rsidRPr="00483EBE" w:rsidRDefault="00572995" w:rsidP="00E8324D">
            <w:pPr>
              <w:pStyle w:val="Tablas"/>
              <w:rPr>
                <w:sz w:val="12"/>
                <w:szCs w:val="12"/>
              </w:rPr>
            </w:pPr>
            <w:r w:rsidRPr="00483EBE">
              <w:rPr>
                <w:sz w:val="12"/>
                <w:szCs w:val="12"/>
              </w:rPr>
              <w:t>$1,224</w:t>
            </w:r>
          </w:p>
        </w:tc>
        <w:tc>
          <w:tcPr>
            <w:tcW w:w="0" w:type="auto"/>
            <w:tcBorders>
              <w:top w:val="nil"/>
              <w:left w:val="nil"/>
              <w:bottom w:val="single" w:sz="4" w:space="0" w:color="auto"/>
              <w:right w:val="single" w:sz="4" w:space="0" w:color="auto"/>
            </w:tcBorders>
            <w:shd w:val="clear" w:color="auto" w:fill="auto"/>
            <w:vAlign w:val="center"/>
            <w:hideMark/>
          </w:tcPr>
          <w:p w14:paraId="5F443F27"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5837AF3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B4A5222" w14:textId="77777777" w:rsidR="00572995" w:rsidRPr="00483EBE" w:rsidRDefault="00572995" w:rsidP="00E8324D">
            <w:pPr>
              <w:pStyle w:val="Tablas"/>
              <w:rPr>
                <w:sz w:val="12"/>
                <w:szCs w:val="12"/>
              </w:rPr>
            </w:pPr>
            <w:r w:rsidRPr="00483EBE">
              <w:rPr>
                <w:sz w:val="12"/>
                <w:szCs w:val="12"/>
              </w:rPr>
              <w:t>SM</w:t>
            </w:r>
          </w:p>
        </w:tc>
      </w:tr>
      <w:tr w:rsidR="00572995" w:rsidRPr="00483EBE" w14:paraId="16BD03D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A85BAE"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63D21659"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0DB04301" w14:textId="77777777" w:rsidR="00572995" w:rsidRPr="00483EBE" w:rsidRDefault="00572995" w:rsidP="00E8324D">
            <w:pPr>
              <w:pStyle w:val="Tablas"/>
              <w:rPr>
                <w:sz w:val="12"/>
                <w:szCs w:val="12"/>
              </w:rPr>
            </w:pPr>
            <w:r w:rsidRPr="00483EBE">
              <w:rPr>
                <w:sz w:val="12"/>
                <w:szCs w:val="12"/>
              </w:rPr>
              <w:t>$23,371</w:t>
            </w:r>
          </w:p>
        </w:tc>
        <w:tc>
          <w:tcPr>
            <w:tcW w:w="0" w:type="auto"/>
            <w:tcBorders>
              <w:top w:val="nil"/>
              <w:left w:val="nil"/>
              <w:bottom w:val="single" w:sz="4" w:space="0" w:color="auto"/>
              <w:right w:val="single" w:sz="4" w:space="0" w:color="auto"/>
            </w:tcBorders>
            <w:shd w:val="clear" w:color="auto" w:fill="auto"/>
            <w:vAlign w:val="center"/>
            <w:hideMark/>
          </w:tcPr>
          <w:p w14:paraId="3E073BB4" w14:textId="77777777" w:rsidR="00572995" w:rsidRPr="00483EBE" w:rsidRDefault="00572995" w:rsidP="00E8324D">
            <w:pPr>
              <w:pStyle w:val="Tablas"/>
              <w:rPr>
                <w:sz w:val="12"/>
                <w:szCs w:val="12"/>
              </w:rPr>
            </w:pPr>
            <w:r w:rsidRPr="00483EBE">
              <w:rPr>
                <w:sz w:val="12"/>
                <w:szCs w:val="12"/>
              </w:rPr>
              <w:t>$1,230</w:t>
            </w:r>
          </w:p>
        </w:tc>
        <w:tc>
          <w:tcPr>
            <w:tcW w:w="0" w:type="auto"/>
            <w:tcBorders>
              <w:top w:val="nil"/>
              <w:left w:val="nil"/>
              <w:bottom w:val="single" w:sz="4" w:space="0" w:color="auto"/>
              <w:right w:val="single" w:sz="4" w:space="0" w:color="auto"/>
            </w:tcBorders>
            <w:shd w:val="clear" w:color="auto" w:fill="auto"/>
            <w:vAlign w:val="center"/>
            <w:hideMark/>
          </w:tcPr>
          <w:p w14:paraId="368A4707"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71D39AD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DE7953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53ABCF"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5CF2D55A"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AEFBD87" w14:textId="77777777" w:rsidR="00572995" w:rsidRPr="00483EBE" w:rsidRDefault="00572995" w:rsidP="00E8324D">
            <w:pPr>
              <w:pStyle w:val="Tablas"/>
              <w:rPr>
                <w:sz w:val="12"/>
                <w:szCs w:val="12"/>
              </w:rPr>
            </w:pPr>
            <w:r w:rsidRPr="00483EBE">
              <w:rPr>
                <w:sz w:val="12"/>
                <w:szCs w:val="12"/>
              </w:rPr>
              <w:t>$1,807</w:t>
            </w:r>
          </w:p>
        </w:tc>
        <w:tc>
          <w:tcPr>
            <w:tcW w:w="0" w:type="auto"/>
            <w:tcBorders>
              <w:top w:val="nil"/>
              <w:left w:val="nil"/>
              <w:bottom w:val="single" w:sz="4" w:space="0" w:color="auto"/>
              <w:right w:val="single" w:sz="4" w:space="0" w:color="auto"/>
            </w:tcBorders>
            <w:shd w:val="clear" w:color="auto" w:fill="auto"/>
            <w:vAlign w:val="center"/>
            <w:hideMark/>
          </w:tcPr>
          <w:p w14:paraId="0A46CA19" w14:textId="77777777" w:rsidR="00572995" w:rsidRPr="00483EBE" w:rsidRDefault="00572995" w:rsidP="00E8324D">
            <w:pPr>
              <w:pStyle w:val="Tablas"/>
              <w:rPr>
                <w:sz w:val="12"/>
                <w:szCs w:val="12"/>
              </w:rPr>
            </w:pPr>
            <w:r w:rsidRPr="00483EBE">
              <w:rPr>
                <w:sz w:val="12"/>
                <w:szCs w:val="12"/>
              </w:rPr>
              <w:t>$904</w:t>
            </w:r>
          </w:p>
        </w:tc>
        <w:tc>
          <w:tcPr>
            <w:tcW w:w="0" w:type="auto"/>
            <w:tcBorders>
              <w:top w:val="nil"/>
              <w:left w:val="nil"/>
              <w:bottom w:val="single" w:sz="4" w:space="0" w:color="auto"/>
              <w:right w:val="single" w:sz="4" w:space="0" w:color="auto"/>
            </w:tcBorders>
            <w:shd w:val="clear" w:color="auto" w:fill="auto"/>
            <w:vAlign w:val="center"/>
            <w:hideMark/>
          </w:tcPr>
          <w:p w14:paraId="58C3E3D8"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6E08A93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D5165D8" w14:textId="77777777" w:rsidR="00572995" w:rsidRPr="00483EBE" w:rsidRDefault="00572995" w:rsidP="00E8324D">
            <w:pPr>
              <w:pStyle w:val="Tablas"/>
              <w:rPr>
                <w:sz w:val="12"/>
                <w:szCs w:val="12"/>
              </w:rPr>
            </w:pPr>
            <w:r w:rsidRPr="00483EBE">
              <w:rPr>
                <w:sz w:val="12"/>
                <w:szCs w:val="12"/>
              </w:rPr>
              <w:t>SM</w:t>
            </w:r>
          </w:p>
        </w:tc>
      </w:tr>
      <w:tr w:rsidR="00572995" w:rsidRPr="00483EBE" w14:paraId="63F1316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48DF96"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42B67C32"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6DC769FF" w14:textId="77777777" w:rsidR="00572995" w:rsidRPr="00483EBE" w:rsidRDefault="00572995" w:rsidP="00E8324D">
            <w:pPr>
              <w:pStyle w:val="Tablas"/>
              <w:rPr>
                <w:sz w:val="12"/>
                <w:szCs w:val="12"/>
              </w:rPr>
            </w:pPr>
            <w:r w:rsidRPr="00483EBE">
              <w:rPr>
                <w:sz w:val="12"/>
                <w:szCs w:val="12"/>
              </w:rPr>
              <w:t>$32,578</w:t>
            </w:r>
          </w:p>
        </w:tc>
        <w:tc>
          <w:tcPr>
            <w:tcW w:w="0" w:type="auto"/>
            <w:tcBorders>
              <w:top w:val="nil"/>
              <w:left w:val="nil"/>
              <w:bottom w:val="single" w:sz="4" w:space="0" w:color="auto"/>
              <w:right w:val="single" w:sz="4" w:space="0" w:color="auto"/>
            </w:tcBorders>
            <w:shd w:val="clear" w:color="auto" w:fill="auto"/>
            <w:vAlign w:val="center"/>
            <w:hideMark/>
          </w:tcPr>
          <w:p w14:paraId="163A41B1" w14:textId="77777777" w:rsidR="00572995" w:rsidRPr="00483EBE" w:rsidRDefault="00572995" w:rsidP="00E8324D">
            <w:pPr>
              <w:pStyle w:val="Tablas"/>
              <w:rPr>
                <w:sz w:val="12"/>
                <w:szCs w:val="12"/>
              </w:rPr>
            </w:pPr>
            <w:r w:rsidRPr="00483EBE">
              <w:rPr>
                <w:sz w:val="12"/>
                <w:szCs w:val="12"/>
              </w:rPr>
              <w:t>$1,253</w:t>
            </w:r>
          </w:p>
        </w:tc>
        <w:tc>
          <w:tcPr>
            <w:tcW w:w="0" w:type="auto"/>
            <w:tcBorders>
              <w:top w:val="nil"/>
              <w:left w:val="nil"/>
              <w:bottom w:val="single" w:sz="4" w:space="0" w:color="auto"/>
              <w:right w:val="single" w:sz="4" w:space="0" w:color="auto"/>
            </w:tcBorders>
            <w:shd w:val="clear" w:color="auto" w:fill="auto"/>
            <w:vAlign w:val="center"/>
            <w:hideMark/>
          </w:tcPr>
          <w:p w14:paraId="53F6E610"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41E4C795"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0C97BD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9FCEDA"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29CF5771"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125A4B9E" w14:textId="77777777" w:rsidR="00572995" w:rsidRPr="00483EBE" w:rsidRDefault="00572995" w:rsidP="00E8324D">
            <w:pPr>
              <w:pStyle w:val="Tablas"/>
              <w:rPr>
                <w:sz w:val="12"/>
                <w:szCs w:val="12"/>
              </w:rPr>
            </w:pPr>
            <w:r w:rsidRPr="00483EBE">
              <w:rPr>
                <w:sz w:val="12"/>
                <w:szCs w:val="12"/>
              </w:rPr>
              <w:t>$6,138</w:t>
            </w:r>
          </w:p>
        </w:tc>
        <w:tc>
          <w:tcPr>
            <w:tcW w:w="0" w:type="auto"/>
            <w:tcBorders>
              <w:top w:val="nil"/>
              <w:left w:val="nil"/>
              <w:bottom w:val="single" w:sz="4" w:space="0" w:color="auto"/>
              <w:right w:val="single" w:sz="4" w:space="0" w:color="auto"/>
            </w:tcBorders>
            <w:shd w:val="clear" w:color="auto" w:fill="auto"/>
            <w:vAlign w:val="center"/>
            <w:hideMark/>
          </w:tcPr>
          <w:p w14:paraId="2D139D67" w14:textId="77777777" w:rsidR="00572995" w:rsidRPr="00483EBE" w:rsidRDefault="00572995" w:rsidP="00E8324D">
            <w:pPr>
              <w:pStyle w:val="Tablas"/>
              <w:rPr>
                <w:sz w:val="12"/>
                <w:szCs w:val="12"/>
              </w:rPr>
            </w:pPr>
            <w:r w:rsidRPr="00483EBE">
              <w:rPr>
                <w:sz w:val="12"/>
                <w:szCs w:val="12"/>
              </w:rPr>
              <w:t>$1,228</w:t>
            </w:r>
          </w:p>
        </w:tc>
        <w:tc>
          <w:tcPr>
            <w:tcW w:w="0" w:type="auto"/>
            <w:tcBorders>
              <w:top w:val="nil"/>
              <w:left w:val="nil"/>
              <w:bottom w:val="single" w:sz="4" w:space="0" w:color="auto"/>
              <w:right w:val="single" w:sz="4" w:space="0" w:color="auto"/>
            </w:tcBorders>
            <w:shd w:val="clear" w:color="auto" w:fill="auto"/>
            <w:vAlign w:val="center"/>
            <w:hideMark/>
          </w:tcPr>
          <w:p w14:paraId="648A4A50"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2851CD5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5400448" w14:textId="77777777" w:rsidR="00572995" w:rsidRPr="00483EBE" w:rsidRDefault="00572995" w:rsidP="00E8324D">
            <w:pPr>
              <w:pStyle w:val="Tablas"/>
              <w:rPr>
                <w:sz w:val="12"/>
                <w:szCs w:val="12"/>
              </w:rPr>
            </w:pPr>
            <w:r w:rsidRPr="00483EBE">
              <w:rPr>
                <w:sz w:val="12"/>
                <w:szCs w:val="12"/>
              </w:rPr>
              <w:t>SM</w:t>
            </w:r>
          </w:p>
        </w:tc>
      </w:tr>
      <w:tr w:rsidR="00572995" w:rsidRPr="00483EBE" w14:paraId="1C8328E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700D778"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3656E006"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3DDD2052" w14:textId="77777777" w:rsidR="00572995" w:rsidRPr="00483EBE" w:rsidRDefault="00572995" w:rsidP="00E8324D">
            <w:pPr>
              <w:pStyle w:val="Tablas"/>
              <w:rPr>
                <w:sz w:val="12"/>
                <w:szCs w:val="12"/>
              </w:rPr>
            </w:pPr>
            <w:r w:rsidRPr="00483EBE">
              <w:rPr>
                <w:sz w:val="12"/>
                <w:szCs w:val="12"/>
              </w:rPr>
              <w:t>$44,483</w:t>
            </w:r>
          </w:p>
        </w:tc>
        <w:tc>
          <w:tcPr>
            <w:tcW w:w="0" w:type="auto"/>
            <w:tcBorders>
              <w:top w:val="nil"/>
              <w:left w:val="nil"/>
              <w:bottom w:val="single" w:sz="4" w:space="0" w:color="auto"/>
              <w:right w:val="single" w:sz="4" w:space="0" w:color="auto"/>
            </w:tcBorders>
            <w:shd w:val="clear" w:color="auto" w:fill="auto"/>
            <w:vAlign w:val="center"/>
            <w:hideMark/>
          </w:tcPr>
          <w:p w14:paraId="672DB0F8" w14:textId="77777777" w:rsidR="00572995" w:rsidRPr="00483EBE" w:rsidRDefault="00572995" w:rsidP="00E8324D">
            <w:pPr>
              <w:pStyle w:val="Tablas"/>
              <w:rPr>
                <w:sz w:val="12"/>
                <w:szCs w:val="12"/>
              </w:rPr>
            </w:pPr>
            <w:r w:rsidRPr="00483EBE">
              <w:rPr>
                <w:sz w:val="12"/>
                <w:szCs w:val="12"/>
              </w:rPr>
              <w:t>$1,483</w:t>
            </w:r>
          </w:p>
        </w:tc>
        <w:tc>
          <w:tcPr>
            <w:tcW w:w="0" w:type="auto"/>
            <w:tcBorders>
              <w:top w:val="nil"/>
              <w:left w:val="nil"/>
              <w:bottom w:val="single" w:sz="4" w:space="0" w:color="auto"/>
              <w:right w:val="single" w:sz="4" w:space="0" w:color="auto"/>
            </w:tcBorders>
            <w:shd w:val="clear" w:color="auto" w:fill="auto"/>
            <w:vAlign w:val="center"/>
            <w:hideMark/>
          </w:tcPr>
          <w:p w14:paraId="5EEB095C" w14:textId="77777777" w:rsidR="00572995" w:rsidRPr="00483EBE" w:rsidRDefault="00572995" w:rsidP="00E8324D">
            <w:pPr>
              <w:pStyle w:val="Tablas"/>
              <w:rPr>
                <w:sz w:val="12"/>
                <w:szCs w:val="12"/>
              </w:rPr>
            </w:pPr>
            <w:r w:rsidRPr="00483EBE">
              <w:rPr>
                <w:sz w:val="12"/>
                <w:szCs w:val="12"/>
              </w:rPr>
              <w:t>$124</w:t>
            </w:r>
          </w:p>
        </w:tc>
        <w:tc>
          <w:tcPr>
            <w:tcW w:w="0" w:type="auto"/>
            <w:tcBorders>
              <w:top w:val="nil"/>
              <w:left w:val="nil"/>
              <w:bottom w:val="single" w:sz="4" w:space="0" w:color="auto"/>
              <w:right w:val="single" w:sz="4" w:space="0" w:color="auto"/>
            </w:tcBorders>
            <w:shd w:val="clear" w:color="auto" w:fill="auto"/>
            <w:vAlign w:val="center"/>
            <w:hideMark/>
          </w:tcPr>
          <w:p w14:paraId="79D30481"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F60D342"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0955156"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6B5E193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3FA7667" w14:textId="77777777" w:rsidR="00572995" w:rsidRPr="00483EBE" w:rsidRDefault="00572995" w:rsidP="00E8324D">
            <w:pPr>
              <w:pStyle w:val="Tablas"/>
              <w:rPr>
                <w:sz w:val="12"/>
                <w:szCs w:val="12"/>
              </w:rPr>
            </w:pPr>
            <w:r w:rsidRPr="00483EBE">
              <w:rPr>
                <w:sz w:val="12"/>
                <w:szCs w:val="12"/>
              </w:rPr>
              <w:t>$2,138</w:t>
            </w:r>
          </w:p>
        </w:tc>
        <w:tc>
          <w:tcPr>
            <w:tcW w:w="0" w:type="auto"/>
            <w:tcBorders>
              <w:top w:val="nil"/>
              <w:left w:val="nil"/>
              <w:bottom w:val="single" w:sz="4" w:space="0" w:color="auto"/>
              <w:right w:val="single" w:sz="4" w:space="0" w:color="auto"/>
            </w:tcBorders>
            <w:shd w:val="clear" w:color="auto" w:fill="auto"/>
            <w:vAlign w:val="center"/>
            <w:hideMark/>
          </w:tcPr>
          <w:p w14:paraId="0A9D070B" w14:textId="77777777" w:rsidR="00572995" w:rsidRPr="00483EBE" w:rsidRDefault="00572995" w:rsidP="00E8324D">
            <w:pPr>
              <w:pStyle w:val="Tablas"/>
              <w:rPr>
                <w:sz w:val="12"/>
                <w:szCs w:val="12"/>
              </w:rPr>
            </w:pPr>
            <w:r w:rsidRPr="00483EBE">
              <w:rPr>
                <w:sz w:val="12"/>
                <w:szCs w:val="12"/>
              </w:rPr>
              <w:t>$1,069</w:t>
            </w:r>
          </w:p>
        </w:tc>
        <w:tc>
          <w:tcPr>
            <w:tcW w:w="0" w:type="auto"/>
            <w:tcBorders>
              <w:top w:val="nil"/>
              <w:left w:val="nil"/>
              <w:bottom w:val="single" w:sz="4" w:space="0" w:color="auto"/>
              <w:right w:val="single" w:sz="4" w:space="0" w:color="auto"/>
            </w:tcBorders>
            <w:shd w:val="clear" w:color="auto" w:fill="auto"/>
            <w:vAlign w:val="center"/>
            <w:hideMark/>
          </w:tcPr>
          <w:p w14:paraId="4523D842"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0B2C3CB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B21D8B3" w14:textId="77777777" w:rsidR="00572995" w:rsidRPr="00483EBE" w:rsidRDefault="00572995" w:rsidP="00E8324D">
            <w:pPr>
              <w:pStyle w:val="Tablas"/>
              <w:rPr>
                <w:sz w:val="12"/>
                <w:szCs w:val="12"/>
              </w:rPr>
            </w:pPr>
            <w:r w:rsidRPr="00483EBE">
              <w:rPr>
                <w:sz w:val="12"/>
                <w:szCs w:val="12"/>
              </w:rPr>
              <w:t>SM</w:t>
            </w:r>
          </w:p>
        </w:tc>
      </w:tr>
      <w:tr w:rsidR="00572995" w:rsidRPr="00483EBE" w14:paraId="21C4F39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C56356"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2580BB47"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569D4EF6" w14:textId="77777777" w:rsidR="00572995" w:rsidRPr="00483EBE" w:rsidRDefault="00572995" w:rsidP="00E8324D">
            <w:pPr>
              <w:pStyle w:val="Tablas"/>
              <w:rPr>
                <w:sz w:val="12"/>
                <w:szCs w:val="12"/>
              </w:rPr>
            </w:pPr>
            <w:r w:rsidRPr="00483EBE">
              <w:rPr>
                <w:sz w:val="12"/>
                <w:szCs w:val="12"/>
              </w:rPr>
              <w:t>$27,469</w:t>
            </w:r>
          </w:p>
        </w:tc>
        <w:tc>
          <w:tcPr>
            <w:tcW w:w="0" w:type="auto"/>
            <w:tcBorders>
              <w:top w:val="nil"/>
              <w:left w:val="nil"/>
              <w:bottom w:val="single" w:sz="4" w:space="0" w:color="auto"/>
              <w:right w:val="single" w:sz="4" w:space="0" w:color="auto"/>
            </w:tcBorders>
            <w:shd w:val="clear" w:color="auto" w:fill="auto"/>
            <w:vAlign w:val="center"/>
            <w:hideMark/>
          </w:tcPr>
          <w:p w14:paraId="6BEB07BC" w14:textId="77777777" w:rsidR="00572995" w:rsidRPr="00483EBE" w:rsidRDefault="00572995" w:rsidP="00E8324D">
            <w:pPr>
              <w:pStyle w:val="Tablas"/>
              <w:rPr>
                <w:sz w:val="12"/>
                <w:szCs w:val="12"/>
              </w:rPr>
            </w:pPr>
            <w:r w:rsidRPr="00483EBE">
              <w:rPr>
                <w:sz w:val="12"/>
                <w:szCs w:val="12"/>
              </w:rPr>
              <w:t>$1,145</w:t>
            </w:r>
          </w:p>
        </w:tc>
        <w:tc>
          <w:tcPr>
            <w:tcW w:w="0" w:type="auto"/>
            <w:tcBorders>
              <w:top w:val="nil"/>
              <w:left w:val="nil"/>
              <w:bottom w:val="single" w:sz="4" w:space="0" w:color="auto"/>
              <w:right w:val="single" w:sz="4" w:space="0" w:color="auto"/>
            </w:tcBorders>
            <w:shd w:val="clear" w:color="auto" w:fill="auto"/>
            <w:vAlign w:val="center"/>
            <w:hideMark/>
          </w:tcPr>
          <w:p w14:paraId="3294A55E"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0B98DA8C"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204E6B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1369ED"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30D3571B"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6C18585" w14:textId="77777777" w:rsidR="00572995" w:rsidRPr="00483EBE" w:rsidRDefault="00572995" w:rsidP="00E8324D">
            <w:pPr>
              <w:pStyle w:val="Tablas"/>
              <w:rPr>
                <w:sz w:val="12"/>
                <w:szCs w:val="12"/>
              </w:rPr>
            </w:pPr>
            <w:r w:rsidRPr="00483EBE">
              <w:rPr>
                <w:sz w:val="12"/>
                <w:szCs w:val="12"/>
              </w:rPr>
              <w:t>$2,397</w:t>
            </w:r>
          </w:p>
        </w:tc>
        <w:tc>
          <w:tcPr>
            <w:tcW w:w="0" w:type="auto"/>
            <w:tcBorders>
              <w:top w:val="nil"/>
              <w:left w:val="nil"/>
              <w:bottom w:val="single" w:sz="4" w:space="0" w:color="auto"/>
              <w:right w:val="single" w:sz="4" w:space="0" w:color="auto"/>
            </w:tcBorders>
            <w:shd w:val="clear" w:color="auto" w:fill="auto"/>
            <w:vAlign w:val="center"/>
            <w:hideMark/>
          </w:tcPr>
          <w:p w14:paraId="392C0992" w14:textId="77777777" w:rsidR="00572995" w:rsidRPr="00483EBE" w:rsidRDefault="00572995" w:rsidP="00E8324D">
            <w:pPr>
              <w:pStyle w:val="Tablas"/>
              <w:rPr>
                <w:sz w:val="12"/>
                <w:szCs w:val="12"/>
              </w:rPr>
            </w:pPr>
            <w:r w:rsidRPr="00483EBE">
              <w:rPr>
                <w:sz w:val="12"/>
                <w:szCs w:val="12"/>
              </w:rPr>
              <w:t>$1,199</w:t>
            </w:r>
          </w:p>
        </w:tc>
        <w:tc>
          <w:tcPr>
            <w:tcW w:w="0" w:type="auto"/>
            <w:tcBorders>
              <w:top w:val="nil"/>
              <w:left w:val="nil"/>
              <w:bottom w:val="single" w:sz="4" w:space="0" w:color="auto"/>
              <w:right w:val="single" w:sz="4" w:space="0" w:color="auto"/>
            </w:tcBorders>
            <w:shd w:val="clear" w:color="auto" w:fill="auto"/>
            <w:vAlign w:val="center"/>
            <w:hideMark/>
          </w:tcPr>
          <w:p w14:paraId="6978001A"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3BA8CC06"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5A7CF34" w14:textId="77777777" w:rsidR="00572995" w:rsidRPr="00483EBE" w:rsidRDefault="00572995" w:rsidP="00E8324D">
            <w:pPr>
              <w:pStyle w:val="Tablas"/>
              <w:rPr>
                <w:sz w:val="12"/>
                <w:szCs w:val="12"/>
              </w:rPr>
            </w:pPr>
            <w:r w:rsidRPr="00483EBE">
              <w:rPr>
                <w:sz w:val="12"/>
                <w:szCs w:val="12"/>
              </w:rPr>
              <w:t>SM</w:t>
            </w:r>
          </w:p>
        </w:tc>
      </w:tr>
      <w:tr w:rsidR="00572995" w:rsidRPr="00483EBE" w14:paraId="29062EB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BC24280"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67DDD07"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259515AF" w14:textId="77777777" w:rsidR="00572995" w:rsidRPr="00483EBE" w:rsidRDefault="00572995" w:rsidP="00E8324D">
            <w:pPr>
              <w:pStyle w:val="Tablas"/>
              <w:rPr>
                <w:sz w:val="12"/>
                <w:szCs w:val="12"/>
              </w:rPr>
            </w:pPr>
            <w:r w:rsidRPr="00483EBE">
              <w:rPr>
                <w:sz w:val="12"/>
                <w:szCs w:val="12"/>
              </w:rPr>
              <w:t>$44,753</w:t>
            </w:r>
          </w:p>
        </w:tc>
        <w:tc>
          <w:tcPr>
            <w:tcW w:w="0" w:type="auto"/>
            <w:tcBorders>
              <w:top w:val="nil"/>
              <w:left w:val="nil"/>
              <w:bottom w:val="single" w:sz="4" w:space="0" w:color="auto"/>
              <w:right w:val="single" w:sz="4" w:space="0" w:color="auto"/>
            </w:tcBorders>
            <w:shd w:val="clear" w:color="auto" w:fill="auto"/>
            <w:vAlign w:val="center"/>
            <w:hideMark/>
          </w:tcPr>
          <w:p w14:paraId="636DA0A1" w14:textId="77777777" w:rsidR="00572995" w:rsidRPr="00483EBE" w:rsidRDefault="00572995" w:rsidP="00E8324D">
            <w:pPr>
              <w:pStyle w:val="Tablas"/>
              <w:rPr>
                <w:sz w:val="12"/>
                <w:szCs w:val="12"/>
              </w:rPr>
            </w:pPr>
            <w:r w:rsidRPr="00483EBE">
              <w:rPr>
                <w:sz w:val="12"/>
                <w:szCs w:val="12"/>
              </w:rPr>
              <w:t>$1,598</w:t>
            </w:r>
          </w:p>
        </w:tc>
        <w:tc>
          <w:tcPr>
            <w:tcW w:w="0" w:type="auto"/>
            <w:tcBorders>
              <w:top w:val="nil"/>
              <w:left w:val="nil"/>
              <w:bottom w:val="single" w:sz="4" w:space="0" w:color="auto"/>
              <w:right w:val="single" w:sz="4" w:space="0" w:color="auto"/>
            </w:tcBorders>
            <w:shd w:val="clear" w:color="auto" w:fill="auto"/>
            <w:vAlign w:val="center"/>
            <w:hideMark/>
          </w:tcPr>
          <w:p w14:paraId="7FB83A51" w14:textId="77777777" w:rsidR="00572995" w:rsidRPr="00483EBE" w:rsidRDefault="00572995" w:rsidP="00E8324D">
            <w:pPr>
              <w:pStyle w:val="Tablas"/>
              <w:rPr>
                <w:sz w:val="12"/>
                <w:szCs w:val="12"/>
              </w:rPr>
            </w:pPr>
            <w:r w:rsidRPr="00483EBE">
              <w:rPr>
                <w:sz w:val="12"/>
                <w:szCs w:val="12"/>
              </w:rPr>
              <w:t>$133</w:t>
            </w:r>
          </w:p>
        </w:tc>
        <w:tc>
          <w:tcPr>
            <w:tcW w:w="0" w:type="auto"/>
            <w:tcBorders>
              <w:top w:val="nil"/>
              <w:left w:val="nil"/>
              <w:bottom w:val="single" w:sz="4" w:space="0" w:color="auto"/>
              <w:right w:val="single" w:sz="4" w:space="0" w:color="auto"/>
            </w:tcBorders>
            <w:shd w:val="clear" w:color="auto" w:fill="auto"/>
            <w:vAlign w:val="center"/>
            <w:hideMark/>
          </w:tcPr>
          <w:p w14:paraId="59A242F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0EFDC3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E005B1"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49473DB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D17EE06" w14:textId="77777777" w:rsidR="00572995" w:rsidRPr="00483EBE" w:rsidRDefault="00572995" w:rsidP="00E8324D">
            <w:pPr>
              <w:pStyle w:val="Tablas"/>
              <w:rPr>
                <w:sz w:val="12"/>
                <w:szCs w:val="12"/>
              </w:rPr>
            </w:pPr>
            <w:r w:rsidRPr="00483EBE">
              <w:rPr>
                <w:sz w:val="12"/>
                <w:szCs w:val="12"/>
              </w:rPr>
              <w:t>$1,096</w:t>
            </w:r>
          </w:p>
        </w:tc>
        <w:tc>
          <w:tcPr>
            <w:tcW w:w="0" w:type="auto"/>
            <w:tcBorders>
              <w:top w:val="nil"/>
              <w:left w:val="nil"/>
              <w:bottom w:val="single" w:sz="4" w:space="0" w:color="auto"/>
              <w:right w:val="single" w:sz="4" w:space="0" w:color="auto"/>
            </w:tcBorders>
            <w:shd w:val="clear" w:color="auto" w:fill="auto"/>
            <w:vAlign w:val="center"/>
            <w:hideMark/>
          </w:tcPr>
          <w:p w14:paraId="2A1333C6" w14:textId="77777777" w:rsidR="00572995" w:rsidRPr="00483EBE" w:rsidRDefault="00572995" w:rsidP="00E8324D">
            <w:pPr>
              <w:pStyle w:val="Tablas"/>
              <w:rPr>
                <w:sz w:val="12"/>
                <w:szCs w:val="12"/>
              </w:rPr>
            </w:pPr>
            <w:r w:rsidRPr="00483EBE">
              <w:rPr>
                <w:sz w:val="12"/>
                <w:szCs w:val="12"/>
              </w:rPr>
              <w:t>$1,096</w:t>
            </w:r>
          </w:p>
        </w:tc>
        <w:tc>
          <w:tcPr>
            <w:tcW w:w="0" w:type="auto"/>
            <w:tcBorders>
              <w:top w:val="nil"/>
              <w:left w:val="nil"/>
              <w:bottom w:val="single" w:sz="4" w:space="0" w:color="auto"/>
              <w:right w:val="single" w:sz="4" w:space="0" w:color="auto"/>
            </w:tcBorders>
            <w:shd w:val="clear" w:color="auto" w:fill="auto"/>
            <w:vAlign w:val="center"/>
            <w:hideMark/>
          </w:tcPr>
          <w:p w14:paraId="3DB5F35E"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08463F15"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9EECB9E" w14:textId="77777777" w:rsidR="00572995" w:rsidRPr="00483EBE" w:rsidRDefault="00572995" w:rsidP="00E8324D">
            <w:pPr>
              <w:pStyle w:val="Tablas"/>
              <w:rPr>
                <w:sz w:val="12"/>
                <w:szCs w:val="12"/>
              </w:rPr>
            </w:pPr>
            <w:r w:rsidRPr="00483EBE">
              <w:rPr>
                <w:sz w:val="12"/>
                <w:szCs w:val="12"/>
              </w:rPr>
              <w:t>SM</w:t>
            </w:r>
          </w:p>
        </w:tc>
      </w:tr>
      <w:tr w:rsidR="00572995" w:rsidRPr="00483EBE" w14:paraId="434F9E2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D3ACC70"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03C1DA1B"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3ED8E333" w14:textId="77777777" w:rsidR="00572995" w:rsidRPr="00483EBE" w:rsidRDefault="00572995" w:rsidP="00E8324D">
            <w:pPr>
              <w:pStyle w:val="Tablas"/>
              <w:rPr>
                <w:sz w:val="12"/>
                <w:szCs w:val="12"/>
              </w:rPr>
            </w:pPr>
            <w:r w:rsidRPr="00483EBE">
              <w:rPr>
                <w:sz w:val="12"/>
                <w:szCs w:val="12"/>
              </w:rPr>
              <w:t>$43,882</w:t>
            </w:r>
          </w:p>
        </w:tc>
        <w:tc>
          <w:tcPr>
            <w:tcW w:w="0" w:type="auto"/>
            <w:tcBorders>
              <w:top w:val="nil"/>
              <w:left w:val="nil"/>
              <w:bottom w:val="single" w:sz="4" w:space="0" w:color="auto"/>
              <w:right w:val="single" w:sz="4" w:space="0" w:color="auto"/>
            </w:tcBorders>
            <w:shd w:val="clear" w:color="auto" w:fill="auto"/>
            <w:vAlign w:val="center"/>
            <w:hideMark/>
          </w:tcPr>
          <w:p w14:paraId="2190E782" w14:textId="77777777" w:rsidR="00572995" w:rsidRPr="00483EBE" w:rsidRDefault="00572995" w:rsidP="00E8324D">
            <w:pPr>
              <w:pStyle w:val="Tablas"/>
              <w:rPr>
                <w:sz w:val="12"/>
                <w:szCs w:val="12"/>
              </w:rPr>
            </w:pPr>
            <w:r w:rsidRPr="00483EBE">
              <w:rPr>
                <w:sz w:val="12"/>
                <w:szCs w:val="12"/>
              </w:rPr>
              <w:t>$1,254</w:t>
            </w:r>
          </w:p>
        </w:tc>
        <w:tc>
          <w:tcPr>
            <w:tcW w:w="0" w:type="auto"/>
            <w:tcBorders>
              <w:top w:val="nil"/>
              <w:left w:val="nil"/>
              <w:bottom w:val="single" w:sz="4" w:space="0" w:color="auto"/>
              <w:right w:val="single" w:sz="4" w:space="0" w:color="auto"/>
            </w:tcBorders>
            <w:shd w:val="clear" w:color="auto" w:fill="auto"/>
            <w:vAlign w:val="center"/>
            <w:hideMark/>
          </w:tcPr>
          <w:p w14:paraId="4F0E20BF" w14:textId="77777777" w:rsidR="00572995" w:rsidRPr="00483EBE" w:rsidRDefault="00572995" w:rsidP="00E8324D">
            <w:pPr>
              <w:pStyle w:val="Tablas"/>
              <w:rPr>
                <w:sz w:val="12"/>
                <w:szCs w:val="12"/>
              </w:rPr>
            </w:pPr>
            <w:r w:rsidRPr="00483EBE">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6C0B13E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00780E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AE9CF40"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36C0AB3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1874F962" w14:textId="77777777" w:rsidR="00572995" w:rsidRPr="00483EBE" w:rsidRDefault="00572995" w:rsidP="00E8324D">
            <w:pPr>
              <w:pStyle w:val="Tablas"/>
              <w:rPr>
                <w:sz w:val="12"/>
                <w:szCs w:val="12"/>
              </w:rPr>
            </w:pPr>
            <w:r w:rsidRPr="00483EBE">
              <w:rPr>
                <w:sz w:val="12"/>
                <w:szCs w:val="12"/>
              </w:rPr>
              <w:t>$4,206</w:t>
            </w:r>
          </w:p>
        </w:tc>
        <w:tc>
          <w:tcPr>
            <w:tcW w:w="0" w:type="auto"/>
            <w:tcBorders>
              <w:top w:val="nil"/>
              <w:left w:val="nil"/>
              <w:bottom w:val="single" w:sz="4" w:space="0" w:color="auto"/>
              <w:right w:val="single" w:sz="4" w:space="0" w:color="auto"/>
            </w:tcBorders>
            <w:shd w:val="clear" w:color="auto" w:fill="auto"/>
            <w:vAlign w:val="center"/>
            <w:hideMark/>
          </w:tcPr>
          <w:p w14:paraId="5A8FD202" w14:textId="77777777" w:rsidR="00572995" w:rsidRPr="00483EBE" w:rsidRDefault="00572995" w:rsidP="00E8324D">
            <w:pPr>
              <w:pStyle w:val="Tablas"/>
              <w:rPr>
                <w:sz w:val="12"/>
                <w:szCs w:val="12"/>
              </w:rPr>
            </w:pPr>
            <w:r w:rsidRPr="00483EBE">
              <w:rPr>
                <w:sz w:val="12"/>
                <w:szCs w:val="12"/>
              </w:rPr>
              <w:t>$1,051</w:t>
            </w:r>
          </w:p>
        </w:tc>
        <w:tc>
          <w:tcPr>
            <w:tcW w:w="0" w:type="auto"/>
            <w:tcBorders>
              <w:top w:val="nil"/>
              <w:left w:val="nil"/>
              <w:bottom w:val="single" w:sz="4" w:space="0" w:color="auto"/>
              <w:right w:val="single" w:sz="4" w:space="0" w:color="auto"/>
            </w:tcBorders>
            <w:shd w:val="clear" w:color="auto" w:fill="auto"/>
            <w:vAlign w:val="center"/>
            <w:hideMark/>
          </w:tcPr>
          <w:p w14:paraId="5A787369"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9F0776F"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7922B390" w14:textId="77777777" w:rsidR="00572995" w:rsidRPr="00483EBE" w:rsidRDefault="00572995" w:rsidP="00E8324D">
            <w:pPr>
              <w:pStyle w:val="Tablas"/>
              <w:rPr>
                <w:sz w:val="12"/>
                <w:szCs w:val="12"/>
              </w:rPr>
            </w:pPr>
            <w:r w:rsidRPr="00483EBE">
              <w:rPr>
                <w:sz w:val="12"/>
                <w:szCs w:val="12"/>
              </w:rPr>
              <w:t>SM</w:t>
            </w:r>
          </w:p>
        </w:tc>
      </w:tr>
      <w:tr w:rsidR="00572995" w:rsidRPr="00483EBE" w14:paraId="745D7ED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072843F"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2448556E"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0602300F" w14:textId="77777777" w:rsidR="00572995" w:rsidRPr="00483EBE" w:rsidRDefault="00572995" w:rsidP="00E8324D">
            <w:pPr>
              <w:pStyle w:val="Tablas"/>
              <w:rPr>
                <w:sz w:val="12"/>
                <w:szCs w:val="12"/>
              </w:rPr>
            </w:pPr>
            <w:r w:rsidRPr="00483EBE">
              <w:rPr>
                <w:sz w:val="12"/>
                <w:szCs w:val="12"/>
              </w:rPr>
              <w:t>$47,777</w:t>
            </w:r>
          </w:p>
        </w:tc>
        <w:tc>
          <w:tcPr>
            <w:tcW w:w="0" w:type="auto"/>
            <w:tcBorders>
              <w:top w:val="nil"/>
              <w:left w:val="nil"/>
              <w:bottom w:val="single" w:sz="4" w:space="0" w:color="auto"/>
              <w:right w:val="single" w:sz="4" w:space="0" w:color="auto"/>
            </w:tcBorders>
            <w:shd w:val="clear" w:color="auto" w:fill="auto"/>
            <w:vAlign w:val="center"/>
            <w:hideMark/>
          </w:tcPr>
          <w:p w14:paraId="1CFA73C9" w14:textId="77777777" w:rsidR="00572995" w:rsidRPr="00483EBE" w:rsidRDefault="00572995" w:rsidP="00E8324D">
            <w:pPr>
              <w:pStyle w:val="Tablas"/>
              <w:rPr>
                <w:sz w:val="12"/>
                <w:szCs w:val="12"/>
              </w:rPr>
            </w:pPr>
            <w:r w:rsidRPr="00483EBE">
              <w:rPr>
                <w:sz w:val="12"/>
                <w:szCs w:val="12"/>
              </w:rPr>
              <w:t>$1,405</w:t>
            </w:r>
          </w:p>
        </w:tc>
        <w:tc>
          <w:tcPr>
            <w:tcW w:w="0" w:type="auto"/>
            <w:tcBorders>
              <w:top w:val="nil"/>
              <w:left w:val="nil"/>
              <w:bottom w:val="single" w:sz="4" w:space="0" w:color="auto"/>
              <w:right w:val="single" w:sz="4" w:space="0" w:color="auto"/>
            </w:tcBorders>
            <w:shd w:val="clear" w:color="auto" w:fill="auto"/>
            <w:vAlign w:val="center"/>
            <w:hideMark/>
          </w:tcPr>
          <w:p w14:paraId="4F38B2AC" w14:textId="77777777" w:rsidR="00572995" w:rsidRPr="00483EBE" w:rsidRDefault="00572995" w:rsidP="00E8324D">
            <w:pPr>
              <w:pStyle w:val="Tablas"/>
              <w:rPr>
                <w:sz w:val="12"/>
                <w:szCs w:val="12"/>
              </w:rPr>
            </w:pPr>
            <w:r w:rsidRPr="00483EBE">
              <w:rPr>
                <w:sz w:val="12"/>
                <w:szCs w:val="12"/>
              </w:rPr>
              <w:t>$117</w:t>
            </w:r>
          </w:p>
        </w:tc>
        <w:tc>
          <w:tcPr>
            <w:tcW w:w="0" w:type="auto"/>
            <w:tcBorders>
              <w:top w:val="nil"/>
              <w:left w:val="nil"/>
              <w:bottom w:val="single" w:sz="4" w:space="0" w:color="auto"/>
              <w:right w:val="single" w:sz="4" w:space="0" w:color="auto"/>
            </w:tcBorders>
            <w:shd w:val="clear" w:color="auto" w:fill="auto"/>
            <w:vAlign w:val="center"/>
            <w:hideMark/>
          </w:tcPr>
          <w:p w14:paraId="4D2B435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FC3CFD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09B735"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1DC6645E"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5F052424" w14:textId="77777777" w:rsidR="00572995" w:rsidRPr="00483EBE" w:rsidRDefault="00572995" w:rsidP="00E8324D">
            <w:pPr>
              <w:pStyle w:val="Tablas"/>
              <w:rPr>
                <w:sz w:val="12"/>
                <w:szCs w:val="12"/>
              </w:rPr>
            </w:pPr>
            <w:r w:rsidRPr="00483EBE">
              <w:rPr>
                <w:sz w:val="12"/>
                <w:szCs w:val="12"/>
              </w:rPr>
              <w:t>$8,085</w:t>
            </w:r>
          </w:p>
        </w:tc>
        <w:tc>
          <w:tcPr>
            <w:tcW w:w="0" w:type="auto"/>
            <w:tcBorders>
              <w:top w:val="nil"/>
              <w:left w:val="nil"/>
              <w:bottom w:val="single" w:sz="4" w:space="0" w:color="auto"/>
              <w:right w:val="single" w:sz="4" w:space="0" w:color="auto"/>
            </w:tcBorders>
            <w:shd w:val="clear" w:color="auto" w:fill="auto"/>
            <w:vAlign w:val="center"/>
            <w:hideMark/>
          </w:tcPr>
          <w:p w14:paraId="6348698B" w14:textId="77777777" w:rsidR="00572995" w:rsidRPr="00483EBE" w:rsidRDefault="00572995" w:rsidP="00E8324D">
            <w:pPr>
              <w:pStyle w:val="Tablas"/>
              <w:rPr>
                <w:sz w:val="12"/>
                <w:szCs w:val="12"/>
              </w:rPr>
            </w:pPr>
            <w:r w:rsidRPr="00483EBE">
              <w:rPr>
                <w:sz w:val="12"/>
                <w:szCs w:val="12"/>
              </w:rPr>
              <w:t>$1,155</w:t>
            </w:r>
          </w:p>
        </w:tc>
        <w:tc>
          <w:tcPr>
            <w:tcW w:w="0" w:type="auto"/>
            <w:tcBorders>
              <w:top w:val="nil"/>
              <w:left w:val="nil"/>
              <w:bottom w:val="single" w:sz="4" w:space="0" w:color="auto"/>
              <w:right w:val="single" w:sz="4" w:space="0" w:color="auto"/>
            </w:tcBorders>
            <w:shd w:val="clear" w:color="auto" w:fill="auto"/>
            <w:vAlign w:val="center"/>
            <w:hideMark/>
          </w:tcPr>
          <w:p w14:paraId="6C05EBFC"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3A3B115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7160F81" w14:textId="77777777" w:rsidR="00572995" w:rsidRPr="00483EBE" w:rsidRDefault="00572995" w:rsidP="00E8324D">
            <w:pPr>
              <w:pStyle w:val="Tablas"/>
              <w:rPr>
                <w:sz w:val="12"/>
                <w:szCs w:val="12"/>
              </w:rPr>
            </w:pPr>
            <w:r w:rsidRPr="00483EBE">
              <w:rPr>
                <w:sz w:val="12"/>
                <w:szCs w:val="12"/>
              </w:rPr>
              <w:t>SM</w:t>
            </w:r>
          </w:p>
        </w:tc>
      </w:tr>
      <w:tr w:rsidR="00572995" w:rsidRPr="00483EBE" w14:paraId="0ECB212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D8A433"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2F20101F"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7C1735B2" w14:textId="77777777" w:rsidR="00572995" w:rsidRPr="00483EBE" w:rsidRDefault="00572995" w:rsidP="00E8324D">
            <w:pPr>
              <w:pStyle w:val="Tablas"/>
              <w:rPr>
                <w:sz w:val="12"/>
                <w:szCs w:val="12"/>
              </w:rPr>
            </w:pPr>
            <w:r w:rsidRPr="00483EBE">
              <w:rPr>
                <w:sz w:val="12"/>
                <w:szCs w:val="12"/>
              </w:rPr>
              <w:t>$38,200</w:t>
            </w:r>
          </w:p>
        </w:tc>
        <w:tc>
          <w:tcPr>
            <w:tcW w:w="0" w:type="auto"/>
            <w:tcBorders>
              <w:top w:val="nil"/>
              <w:left w:val="nil"/>
              <w:bottom w:val="single" w:sz="4" w:space="0" w:color="auto"/>
              <w:right w:val="single" w:sz="4" w:space="0" w:color="auto"/>
            </w:tcBorders>
            <w:shd w:val="clear" w:color="auto" w:fill="auto"/>
            <w:vAlign w:val="center"/>
            <w:hideMark/>
          </w:tcPr>
          <w:p w14:paraId="2173F5F6" w14:textId="77777777" w:rsidR="00572995" w:rsidRPr="00483EBE" w:rsidRDefault="00572995" w:rsidP="00E8324D">
            <w:pPr>
              <w:pStyle w:val="Tablas"/>
              <w:rPr>
                <w:sz w:val="12"/>
                <w:szCs w:val="12"/>
              </w:rPr>
            </w:pPr>
            <w:r w:rsidRPr="00483EBE">
              <w:rPr>
                <w:sz w:val="12"/>
                <w:szCs w:val="12"/>
              </w:rPr>
              <w:t>$1,415</w:t>
            </w:r>
          </w:p>
        </w:tc>
        <w:tc>
          <w:tcPr>
            <w:tcW w:w="0" w:type="auto"/>
            <w:tcBorders>
              <w:top w:val="nil"/>
              <w:left w:val="nil"/>
              <w:bottom w:val="single" w:sz="4" w:space="0" w:color="auto"/>
              <w:right w:val="single" w:sz="4" w:space="0" w:color="auto"/>
            </w:tcBorders>
            <w:shd w:val="clear" w:color="auto" w:fill="auto"/>
            <w:vAlign w:val="center"/>
            <w:hideMark/>
          </w:tcPr>
          <w:p w14:paraId="78AFA16D"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04D0C23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7B890E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9ABEBC"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7194189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597F96EB" w14:textId="77777777" w:rsidR="00572995" w:rsidRPr="00483EBE" w:rsidRDefault="00572995" w:rsidP="00E8324D">
            <w:pPr>
              <w:pStyle w:val="Tablas"/>
              <w:rPr>
                <w:sz w:val="12"/>
                <w:szCs w:val="12"/>
              </w:rPr>
            </w:pPr>
            <w:r w:rsidRPr="00483EBE">
              <w:rPr>
                <w:sz w:val="12"/>
                <w:szCs w:val="12"/>
              </w:rPr>
              <w:t>$8,552</w:t>
            </w:r>
          </w:p>
        </w:tc>
        <w:tc>
          <w:tcPr>
            <w:tcW w:w="0" w:type="auto"/>
            <w:tcBorders>
              <w:top w:val="nil"/>
              <w:left w:val="nil"/>
              <w:bottom w:val="single" w:sz="4" w:space="0" w:color="auto"/>
              <w:right w:val="single" w:sz="4" w:space="0" w:color="auto"/>
            </w:tcBorders>
            <w:shd w:val="clear" w:color="auto" w:fill="auto"/>
            <w:vAlign w:val="center"/>
            <w:hideMark/>
          </w:tcPr>
          <w:p w14:paraId="0ECD9535" w14:textId="77777777" w:rsidR="00572995" w:rsidRPr="00483EBE" w:rsidRDefault="00572995" w:rsidP="00E8324D">
            <w:pPr>
              <w:pStyle w:val="Tablas"/>
              <w:rPr>
                <w:sz w:val="12"/>
                <w:szCs w:val="12"/>
              </w:rPr>
            </w:pPr>
            <w:r w:rsidRPr="00483EBE">
              <w:rPr>
                <w:sz w:val="12"/>
                <w:szCs w:val="12"/>
              </w:rPr>
              <w:t>$1,222</w:t>
            </w:r>
          </w:p>
        </w:tc>
        <w:tc>
          <w:tcPr>
            <w:tcW w:w="0" w:type="auto"/>
            <w:tcBorders>
              <w:top w:val="nil"/>
              <w:left w:val="nil"/>
              <w:bottom w:val="single" w:sz="4" w:space="0" w:color="auto"/>
              <w:right w:val="single" w:sz="4" w:space="0" w:color="auto"/>
            </w:tcBorders>
            <w:shd w:val="clear" w:color="auto" w:fill="auto"/>
            <w:vAlign w:val="center"/>
            <w:hideMark/>
          </w:tcPr>
          <w:p w14:paraId="7FE1D1F0"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153FF387"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16E47F3" w14:textId="77777777" w:rsidR="00572995" w:rsidRPr="00483EBE" w:rsidRDefault="00572995" w:rsidP="00E8324D">
            <w:pPr>
              <w:pStyle w:val="Tablas"/>
              <w:rPr>
                <w:sz w:val="12"/>
                <w:szCs w:val="12"/>
              </w:rPr>
            </w:pPr>
            <w:r w:rsidRPr="00483EBE">
              <w:rPr>
                <w:sz w:val="12"/>
                <w:szCs w:val="12"/>
              </w:rPr>
              <w:t>SM</w:t>
            </w:r>
          </w:p>
        </w:tc>
      </w:tr>
      <w:tr w:rsidR="00572995" w:rsidRPr="00483EBE" w14:paraId="63F87D3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1C48468"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0B184115"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3C85780E" w14:textId="77777777" w:rsidR="00572995" w:rsidRPr="00483EBE" w:rsidRDefault="00572995" w:rsidP="00E8324D">
            <w:pPr>
              <w:pStyle w:val="Tablas"/>
              <w:rPr>
                <w:sz w:val="12"/>
                <w:szCs w:val="12"/>
              </w:rPr>
            </w:pPr>
            <w:r w:rsidRPr="00483EBE">
              <w:rPr>
                <w:sz w:val="12"/>
                <w:szCs w:val="12"/>
              </w:rPr>
              <w:t>$48,615</w:t>
            </w:r>
          </w:p>
        </w:tc>
        <w:tc>
          <w:tcPr>
            <w:tcW w:w="0" w:type="auto"/>
            <w:tcBorders>
              <w:top w:val="nil"/>
              <w:left w:val="nil"/>
              <w:bottom w:val="single" w:sz="4" w:space="0" w:color="auto"/>
              <w:right w:val="single" w:sz="4" w:space="0" w:color="auto"/>
            </w:tcBorders>
            <w:shd w:val="clear" w:color="auto" w:fill="auto"/>
            <w:vAlign w:val="center"/>
            <w:hideMark/>
          </w:tcPr>
          <w:p w14:paraId="675B781E" w14:textId="77777777" w:rsidR="00572995" w:rsidRPr="00483EBE" w:rsidRDefault="00572995" w:rsidP="00E8324D">
            <w:pPr>
              <w:pStyle w:val="Tablas"/>
              <w:rPr>
                <w:sz w:val="12"/>
                <w:szCs w:val="12"/>
              </w:rPr>
            </w:pPr>
            <w:r w:rsidRPr="00483EBE">
              <w:rPr>
                <w:sz w:val="12"/>
                <w:szCs w:val="12"/>
              </w:rPr>
              <w:t>$1,157</w:t>
            </w:r>
          </w:p>
        </w:tc>
        <w:tc>
          <w:tcPr>
            <w:tcW w:w="0" w:type="auto"/>
            <w:tcBorders>
              <w:top w:val="nil"/>
              <w:left w:val="nil"/>
              <w:bottom w:val="single" w:sz="4" w:space="0" w:color="auto"/>
              <w:right w:val="single" w:sz="4" w:space="0" w:color="auto"/>
            </w:tcBorders>
            <w:shd w:val="clear" w:color="auto" w:fill="auto"/>
            <w:vAlign w:val="center"/>
            <w:hideMark/>
          </w:tcPr>
          <w:p w14:paraId="3B1BF83B"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3B0EC76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104775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362EB91"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64F404E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06CC2A0" w14:textId="77777777" w:rsidR="00572995" w:rsidRPr="00483EBE" w:rsidRDefault="00572995" w:rsidP="00E8324D">
            <w:pPr>
              <w:pStyle w:val="Tablas"/>
              <w:rPr>
                <w:sz w:val="12"/>
                <w:szCs w:val="12"/>
              </w:rPr>
            </w:pPr>
            <w:r w:rsidRPr="00483EBE">
              <w:rPr>
                <w:sz w:val="12"/>
                <w:szCs w:val="12"/>
              </w:rPr>
              <w:t>$2,256</w:t>
            </w:r>
          </w:p>
        </w:tc>
        <w:tc>
          <w:tcPr>
            <w:tcW w:w="0" w:type="auto"/>
            <w:tcBorders>
              <w:top w:val="nil"/>
              <w:left w:val="nil"/>
              <w:bottom w:val="single" w:sz="4" w:space="0" w:color="auto"/>
              <w:right w:val="single" w:sz="4" w:space="0" w:color="auto"/>
            </w:tcBorders>
            <w:shd w:val="clear" w:color="auto" w:fill="auto"/>
            <w:vAlign w:val="center"/>
            <w:hideMark/>
          </w:tcPr>
          <w:p w14:paraId="67732A25" w14:textId="77777777" w:rsidR="00572995" w:rsidRPr="00483EBE" w:rsidRDefault="00572995" w:rsidP="00E8324D">
            <w:pPr>
              <w:pStyle w:val="Tablas"/>
              <w:rPr>
                <w:sz w:val="12"/>
                <w:szCs w:val="12"/>
              </w:rPr>
            </w:pPr>
            <w:r w:rsidRPr="00483EBE">
              <w:rPr>
                <w:sz w:val="12"/>
                <w:szCs w:val="12"/>
              </w:rPr>
              <w:t>$1,128</w:t>
            </w:r>
          </w:p>
        </w:tc>
        <w:tc>
          <w:tcPr>
            <w:tcW w:w="0" w:type="auto"/>
            <w:tcBorders>
              <w:top w:val="nil"/>
              <w:left w:val="nil"/>
              <w:bottom w:val="single" w:sz="4" w:space="0" w:color="auto"/>
              <w:right w:val="single" w:sz="4" w:space="0" w:color="auto"/>
            </w:tcBorders>
            <w:shd w:val="clear" w:color="auto" w:fill="auto"/>
            <w:vAlign w:val="center"/>
            <w:hideMark/>
          </w:tcPr>
          <w:p w14:paraId="4824CC39"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46BB7289"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025C4B8" w14:textId="77777777" w:rsidR="00572995" w:rsidRPr="00483EBE" w:rsidRDefault="00572995" w:rsidP="00E8324D">
            <w:pPr>
              <w:pStyle w:val="Tablas"/>
              <w:rPr>
                <w:sz w:val="12"/>
                <w:szCs w:val="12"/>
              </w:rPr>
            </w:pPr>
            <w:r w:rsidRPr="00483EBE">
              <w:rPr>
                <w:sz w:val="12"/>
                <w:szCs w:val="12"/>
              </w:rPr>
              <w:t>SM</w:t>
            </w:r>
          </w:p>
        </w:tc>
      </w:tr>
      <w:tr w:rsidR="00572995" w:rsidRPr="00483EBE" w14:paraId="751FEEE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E9886B"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702342FD"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13CDE71D" w14:textId="77777777" w:rsidR="00572995" w:rsidRPr="00483EBE" w:rsidRDefault="00572995" w:rsidP="00E8324D">
            <w:pPr>
              <w:pStyle w:val="Tablas"/>
              <w:rPr>
                <w:sz w:val="12"/>
                <w:szCs w:val="12"/>
              </w:rPr>
            </w:pPr>
            <w:r w:rsidRPr="00483EBE">
              <w:rPr>
                <w:sz w:val="12"/>
                <w:szCs w:val="12"/>
              </w:rPr>
              <w:t>$35,323</w:t>
            </w:r>
          </w:p>
        </w:tc>
        <w:tc>
          <w:tcPr>
            <w:tcW w:w="0" w:type="auto"/>
            <w:tcBorders>
              <w:top w:val="nil"/>
              <w:left w:val="nil"/>
              <w:bottom w:val="single" w:sz="4" w:space="0" w:color="auto"/>
              <w:right w:val="single" w:sz="4" w:space="0" w:color="auto"/>
            </w:tcBorders>
            <w:shd w:val="clear" w:color="auto" w:fill="auto"/>
            <w:vAlign w:val="center"/>
            <w:hideMark/>
          </w:tcPr>
          <w:p w14:paraId="5D27F91C" w14:textId="77777777" w:rsidR="00572995" w:rsidRPr="00483EBE" w:rsidRDefault="00572995" w:rsidP="00E8324D">
            <w:pPr>
              <w:pStyle w:val="Tablas"/>
              <w:rPr>
                <w:sz w:val="12"/>
                <w:szCs w:val="12"/>
              </w:rPr>
            </w:pPr>
            <w:r w:rsidRPr="00483EBE">
              <w:rPr>
                <w:sz w:val="12"/>
                <w:szCs w:val="12"/>
              </w:rPr>
              <w:t>$1,359</w:t>
            </w:r>
          </w:p>
        </w:tc>
        <w:tc>
          <w:tcPr>
            <w:tcW w:w="0" w:type="auto"/>
            <w:tcBorders>
              <w:top w:val="nil"/>
              <w:left w:val="nil"/>
              <w:bottom w:val="single" w:sz="4" w:space="0" w:color="auto"/>
              <w:right w:val="single" w:sz="4" w:space="0" w:color="auto"/>
            </w:tcBorders>
            <w:shd w:val="clear" w:color="auto" w:fill="auto"/>
            <w:vAlign w:val="center"/>
            <w:hideMark/>
          </w:tcPr>
          <w:p w14:paraId="618C7C24"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65834A2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78C12C55"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CEBB7B"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06FB283E"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6C437BBB" w14:textId="77777777" w:rsidR="00572995" w:rsidRPr="00483EBE" w:rsidRDefault="00572995" w:rsidP="00E8324D">
            <w:pPr>
              <w:pStyle w:val="Tablas"/>
              <w:rPr>
                <w:sz w:val="12"/>
                <w:szCs w:val="12"/>
              </w:rPr>
            </w:pPr>
            <w:r w:rsidRPr="00483EBE">
              <w:rPr>
                <w:sz w:val="12"/>
                <w:szCs w:val="12"/>
              </w:rPr>
              <w:t>$5,268</w:t>
            </w:r>
          </w:p>
        </w:tc>
        <w:tc>
          <w:tcPr>
            <w:tcW w:w="0" w:type="auto"/>
            <w:tcBorders>
              <w:top w:val="nil"/>
              <w:left w:val="nil"/>
              <w:bottom w:val="single" w:sz="4" w:space="0" w:color="auto"/>
              <w:right w:val="single" w:sz="4" w:space="0" w:color="auto"/>
            </w:tcBorders>
            <w:shd w:val="clear" w:color="auto" w:fill="auto"/>
            <w:vAlign w:val="center"/>
            <w:hideMark/>
          </w:tcPr>
          <w:p w14:paraId="73EEB163" w14:textId="77777777" w:rsidR="00572995" w:rsidRPr="00483EBE" w:rsidRDefault="00572995" w:rsidP="00E8324D">
            <w:pPr>
              <w:pStyle w:val="Tablas"/>
              <w:rPr>
                <w:sz w:val="12"/>
                <w:szCs w:val="12"/>
              </w:rPr>
            </w:pPr>
            <w:r w:rsidRPr="00483EBE">
              <w:rPr>
                <w:sz w:val="12"/>
                <w:szCs w:val="12"/>
              </w:rPr>
              <w:t>$1,054</w:t>
            </w:r>
          </w:p>
        </w:tc>
        <w:tc>
          <w:tcPr>
            <w:tcW w:w="0" w:type="auto"/>
            <w:tcBorders>
              <w:top w:val="nil"/>
              <w:left w:val="nil"/>
              <w:bottom w:val="single" w:sz="4" w:space="0" w:color="auto"/>
              <w:right w:val="single" w:sz="4" w:space="0" w:color="auto"/>
            </w:tcBorders>
            <w:shd w:val="clear" w:color="auto" w:fill="auto"/>
            <w:vAlign w:val="center"/>
            <w:hideMark/>
          </w:tcPr>
          <w:p w14:paraId="271817EE"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625ACDC4"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094BCE8" w14:textId="77777777" w:rsidR="00572995" w:rsidRPr="00483EBE" w:rsidRDefault="00572995" w:rsidP="00E8324D">
            <w:pPr>
              <w:pStyle w:val="Tablas"/>
              <w:rPr>
                <w:sz w:val="12"/>
                <w:szCs w:val="12"/>
              </w:rPr>
            </w:pPr>
            <w:r w:rsidRPr="00483EBE">
              <w:rPr>
                <w:sz w:val="12"/>
                <w:szCs w:val="12"/>
              </w:rPr>
              <w:t>SM</w:t>
            </w:r>
          </w:p>
        </w:tc>
      </w:tr>
      <w:tr w:rsidR="00572995" w:rsidRPr="00483EBE" w14:paraId="1484BFF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1D70A8"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3577BB5E" w14:textId="77777777" w:rsidR="00572995" w:rsidRPr="00483EBE" w:rsidRDefault="00572995" w:rsidP="00E8324D">
            <w:pPr>
              <w:pStyle w:val="Tablas"/>
              <w:rPr>
                <w:sz w:val="12"/>
                <w:szCs w:val="12"/>
              </w:rPr>
            </w:pPr>
            <w:r w:rsidRPr="00483EBE">
              <w:rPr>
                <w:sz w:val="12"/>
                <w:szCs w:val="12"/>
              </w:rPr>
              <w:t xml:space="preserve">34 </w:t>
            </w:r>
          </w:p>
        </w:tc>
        <w:tc>
          <w:tcPr>
            <w:tcW w:w="0" w:type="auto"/>
            <w:tcBorders>
              <w:top w:val="nil"/>
              <w:left w:val="nil"/>
              <w:bottom w:val="single" w:sz="4" w:space="0" w:color="auto"/>
              <w:right w:val="single" w:sz="4" w:space="0" w:color="auto"/>
            </w:tcBorders>
            <w:shd w:val="clear" w:color="auto" w:fill="auto"/>
            <w:vAlign w:val="center"/>
            <w:hideMark/>
          </w:tcPr>
          <w:p w14:paraId="4D5BD2EC" w14:textId="77777777" w:rsidR="00572995" w:rsidRPr="00483EBE" w:rsidRDefault="00572995" w:rsidP="00E8324D">
            <w:pPr>
              <w:pStyle w:val="Tablas"/>
              <w:rPr>
                <w:sz w:val="12"/>
                <w:szCs w:val="12"/>
              </w:rPr>
            </w:pPr>
            <w:r w:rsidRPr="00483EBE">
              <w:rPr>
                <w:sz w:val="12"/>
                <w:szCs w:val="12"/>
              </w:rPr>
              <w:t>$44,964</w:t>
            </w:r>
          </w:p>
        </w:tc>
        <w:tc>
          <w:tcPr>
            <w:tcW w:w="0" w:type="auto"/>
            <w:tcBorders>
              <w:top w:val="nil"/>
              <w:left w:val="nil"/>
              <w:bottom w:val="single" w:sz="4" w:space="0" w:color="auto"/>
              <w:right w:val="single" w:sz="4" w:space="0" w:color="auto"/>
            </w:tcBorders>
            <w:shd w:val="clear" w:color="auto" w:fill="auto"/>
            <w:vAlign w:val="center"/>
            <w:hideMark/>
          </w:tcPr>
          <w:p w14:paraId="56B79667" w14:textId="77777777" w:rsidR="00572995" w:rsidRPr="00483EBE" w:rsidRDefault="00572995" w:rsidP="00E8324D">
            <w:pPr>
              <w:pStyle w:val="Tablas"/>
              <w:rPr>
                <w:sz w:val="12"/>
                <w:szCs w:val="12"/>
              </w:rPr>
            </w:pPr>
            <w:r w:rsidRPr="00483EBE">
              <w:rPr>
                <w:sz w:val="12"/>
                <w:szCs w:val="12"/>
              </w:rPr>
              <w:t>$1,322</w:t>
            </w:r>
          </w:p>
        </w:tc>
        <w:tc>
          <w:tcPr>
            <w:tcW w:w="0" w:type="auto"/>
            <w:tcBorders>
              <w:top w:val="nil"/>
              <w:left w:val="nil"/>
              <w:bottom w:val="single" w:sz="4" w:space="0" w:color="auto"/>
              <w:right w:val="single" w:sz="4" w:space="0" w:color="auto"/>
            </w:tcBorders>
            <w:shd w:val="clear" w:color="auto" w:fill="auto"/>
            <w:vAlign w:val="center"/>
            <w:hideMark/>
          </w:tcPr>
          <w:p w14:paraId="5C11D21F"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32B6CDE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A05B3D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D11D4B"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6C5D861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5AEDCA8A" w14:textId="77777777" w:rsidR="00572995" w:rsidRPr="00483EBE" w:rsidRDefault="00572995" w:rsidP="00E8324D">
            <w:pPr>
              <w:pStyle w:val="Tablas"/>
              <w:rPr>
                <w:sz w:val="12"/>
                <w:szCs w:val="12"/>
              </w:rPr>
            </w:pPr>
            <w:r w:rsidRPr="00483EBE">
              <w:rPr>
                <w:sz w:val="12"/>
                <w:szCs w:val="12"/>
              </w:rPr>
              <w:t>$4,205</w:t>
            </w:r>
          </w:p>
        </w:tc>
        <w:tc>
          <w:tcPr>
            <w:tcW w:w="0" w:type="auto"/>
            <w:tcBorders>
              <w:top w:val="nil"/>
              <w:left w:val="nil"/>
              <w:bottom w:val="single" w:sz="4" w:space="0" w:color="auto"/>
              <w:right w:val="single" w:sz="4" w:space="0" w:color="auto"/>
            </w:tcBorders>
            <w:shd w:val="clear" w:color="auto" w:fill="auto"/>
            <w:vAlign w:val="center"/>
            <w:hideMark/>
          </w:tcPr>
          <w:p w14:paraId="6F7FF429" w14:textId="77777777" w:rsidR="00572995" w:rsidRPr="00483EBE" w:rsidRDefault="00572995" w:rsidP="00E8324D">
            <w:pPr>
              <w:pStyle w:val="Tablas"/>
              <w:rPr>
                <w:sz w:val="12"/>
                <w:szCs w:val="12"/>
              </w:rPr>
            </w:pPr>
            <w:r w:rsidRPr="00483EBE">
              <w:rPr>
                <w:sz w:val="12"/>
                <w:szCs w:val="12"/>
              </w:rPr>
              <w:t>$1,051</w:t>
            </w:r>
          </w:p>
        </w:tc>
        <w:tc>
          <w:tcPr>
            <w:tcW w:w="0" w:type="auto"/>
            <w:tcBorders>
              <w:top w:val="nil"/>
              <w:left w:val="nil"/>
              <w:bottom w:val="single" w:sz="4" w:space="0" w:color="auto"/>
              <w:right w:val="single" w:sz="4" w:space="0" w:color="auto"/>
            </w:tcBorders>
            <w:shd w:val="clear" w:color="auto" w:fill="auto"/>
            <w:vAlign w:val="center"/>
            <w:hideMark/>
          </w:tcPr>
          <w:p w14:paraId="1AC6B58B"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542F57A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3742B0C8" w14:textId="77777777" w:rsidR="00572995" w:rsidRPr="00483EBE" w:rsidRDefault="00572995" w:rsidP="00E8324D">
            <w:pPr>
              <w:pStyle w:val="Tablas"/>
              <w:rPr>
                <w:sz w:val="12"/>
                <w:szCs w:val="12"/>
              </w:rPr>
            </w:pPr>
            <w:r w:rsidRPr="00483EBE">
              <w:rPr>
                <w:sz w:val="12"/>
                <w:szCs w:val="12"/>
              </w:rPr>
              <w:t>SM</w:t>
            </w:r>
          </w:p>
        </w:tc>
      </w:tr>
      <w:tr w:rsidR="00572995" w:rsidRPr="00483EBE" w14:paraId="1329A67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3C49835"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680FF54E"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47429930" w14:textId="77777777" w:rsidR="00572995" w:rsidRPr="00483EBE" w:rsidRDefault="00572995" w:rsidP="00E8324D">
            <w:pPr>
              <w:pStyle w:val="Tablas"/>
              <w:rPr>
                <w:sz w:val="12"/>
                <w:szCs w:val="12"/>
              </w:rPr>
            </w:pPr>
            <w:r w:rsidRPr="00483EBE">
              <w:rPr>
                <w:sz w:val="12"/>
                <w:szCs w:val="12"/>
              </w:rPr>
              <w:t>$52,939</w:t>
            </w:r>
          </w:p>
        </w:tc>
        <w:tc>
          <w:tcPr>
            <w:tcW w:w="0" w:type="auto"/>
            <w:tcBorders>
              <w:top w:val="nil"/>
              <w:left w:val="nil"/>
              <w:bottom w:val="single" w:sz="4" w:space="0" w:color="auto"/>
              <w:right w:val="single" w:sz="4" w:space="0" w:color="auto"/>
            </w:tcBorders>
            <w:shd w:val="clear" w:color="auto" w:fill="auto"/>
            <w:vAlign w:val="center"/>
            <w:hideMark/>
          </w:tcPr>
          <w:p w14:paraId="60FB96D5" w14:textId="77777777" w:rsidR="00572995" w:rsidRPr="00483EBE" w:rsidRDefault="00572995" w:rsidP="00E8324D">
            <w:pPr>
              <w:pStyle w:val="Tablas"/>
              <w:rPr>
                <w:sz w:val="12"/>
                <w:szCs w:val="12"/>
              </w:rPr>
            </w:pPr>
            <w:r w:rsidRPr="00483EBE">
              <w:rPr>
                <w:sz w:val="12"/>
                <w:szCs w:val="12"/>
              </w:rPr>
              <w:t>$1,291</w:t>
            </w:r>
          </w:p>
        </w:tc>
        <w:tc>
          <w:tcPr>
            <w:tcW w:w="0" w:type="auto"/>
            <w:tcBorders>
              <w:top w:val="nil"/>
              <w:left w:val="nil"/>
              <w:bottom w:val="single" w:sz="4" w:space="0" w:color="auto"/>
              <w:right w:val="single" w:sz="4" w:space="0" w:color="auto"/>
            </w:tcBorders>
            <w:shd w:val="clear" w:color="auto" w:fill="auto"/>
            <w:vAlign w:val="center"/>
            <w:hideMark/>
          </w:tcPr>
          <w:p w14:paraId="2ED665C3"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720AB165"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F445B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74B952"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44F64C44"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7D89F80" w14:textId="77777777" w:rsidR="00572995" w:rsidRPr="00483EBE" w:rsidRDefault="00572995" w:rsidP="00E8324D">
            <w:pPr>
              <w:pStyle w:val="Tablas"/>
              <w:rPr>
                <w:sz w:val="12"/>
                <w:szCs w:val="12"/>
              </w:rPr>
            </w:pPr>
            <w:r w:rsidRPr="00483EBE">
              <w:rPr>
                <w:sz w:val="12"/>
                <w:szCs w:val="12"/>
              </w:rPr>
              <w:t>$3,851</w:t>
            </w:r>
          </w:p>
        </w:tc>
        <w:tc>
          <w:tcPr>
            <w:tcW w:w="0" w:type="auto"/>
            <w:tcBorders>
              <w:top w:val="nil"/>
              <w:left w:val="nil"/>
              <w:bottom w:val="single" w:sz="4" w:space="0" w:color="auto"/>
              <w:right w:val="single" w:sz="4" w:space="0" w:color="auto"/>
            </w:tcBorders>
            <w:shd w:val="clear" w:color="auto" w:fill="auto"/>
            <w:vAlign w:val="center"/>
            <w:hideMark/>
          </w:tcPr>
          <w:p w14:paraId="0C6BC054" w14:textId="77777777" w:rsidR="00572995" w:rsidRPr="00483EBE" w:rsidRDefault="00572995" w:rsidP="00E8324D">
            <w:pPr>
              <w:pStyle w:val="Tablas"/>
              <w:rPr>
                <w:sz w:val="12"/>
                <w:szCs w:val="12"/>
              </w:rPr>
            </w:pPr>
            <w:r w:rsidRPr="00483EBE">
              <w:rPr>
                <w:sz w:val="12"/>
                <w:szCs w:val="12"/>
              </w:rPr>
              <w:t>$963</w:t>
            </w:r>
          </w:p>
        </w:tc>
        <w:tc>
          <w:tcPr>
            <w:tcW w:w="0" w:type="auto"/>
            <w:tcBorders>
              <w:top w:val="nil"/>
              <w:left w:val="nil"/>
              <w:bottom w:val="single" w:sz="4" w:space="0" w:color="auto"/>
              <w:right w:val="single" w:sz="4" w:space="0" w:color="auto"/>
            </w:tcBorders>
            <w:shd w:val="clear" w:color="auto" w:fill="auto"/>
            <w:vAlign w:val="center"/>
            <w:hideMark/>
          </w:tcPr>
          <w:p w14:paraId="1CBE0D4A"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4210A14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3071E7F" w14:textId="77777777" w:rsidR="00572995" w:rsidRPr="00483EBE" w:rsidRDefault="00572995" w:rsidP="00E8324D">
            <w:pPr>
              <w:pStyle w:val="Tablas"/>
              <w:rPr>
                <w:sz w:val="12"/>
                <w:szCs w:val="12"/>
              </w:rPr>
            </w:pPr>
            <w:r w:rsidRPr="00483EBE">
              <w:rPr>
                <w:sz w:val="12"/>
                <w:szCs w:val="12"/>
              </w:rPr>
              <w:t>SM</w:t>
            </w:r>
          </w:p>
        </w:tc>
      </w:tr>
      <w:tr w:rsidR="00572995" w:rsidRPr="00483EBE" w14:paraId="694F00C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E4AD4D"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42D93D09"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230768D9" w14:textId="77777777" w:rsidR="00572995" w:rsidRPr="00483EBE" w:rsidRDefault="00572995" w:rsidP="00E8324D">
            <w:pPr>
              <w:pStyle w:val="Tablas"/>
              <w:rPr>
                <w:sz w:val="12"/>
                <w:szCs w:val="12"/>
              </w:rPr>
            </w:pPr>
            <w:r w:rsidRPr="00483EBE">
              <w:rPr>
                <w:sz w:val="12"/>
                <w:szCs w:val="12"/>
              </w:rPr>
              <w:t>$67,023</w:t>
            </w:r>
          </w:p>
        </w:tc>
        <w:tc>
          <w:tcPr>
            <w:tcW w:w="0" w:type="auto"/>
            <w:tcBorders>
              <w:top w:val="nil"/>
              <w:left w:val="nil"/>
              <w:bottom w:val="single" w:sz="4" w:space="0" w:color="auto"/>
              <w:right w:val="single" w:sz="4" w:space="0" w:color="auto"/>
            </w:tcBorders>
            <w:shd w:val="clear" w:color="auto" w:fill="auto"/>
            <w:vAlign w:val="center"/>
            <w:hideMark/>
          </w:tcPr>
          <w:p w14:paraId="6E4E19DB" w14:textId="77777777" w:rsidR="00572995" w:rsidRPr="00483EBE" w:rsidRDefault="00572995" w:rsidP="00E8324D">
            <w:pPr>
              <w:pStyle w:val="Tablas"/>
              <w:rPr>
                <w:sz w:val="12"/>
                <w:szCs w:val="12"/>
              </w:rPr>
            </w:pPr>
            <w:r w:rsidRPr="00483EBE">
              <w:rPr>
                <w:sz w:val="12"/>
                <w:szCs w:val="12"/>
              </w:rPr>
              <w:t>$1,635</w:t>
            </w:r>
          </w:p>
        </w:tc>
        <w:tc>
          <w:tcPr>
            <w:tcW w:w="0" w:type="auto"/>
            <w:tcBorders>
              <w:top w:val="nil"/>
              <w:left w:val="nil"/>
              <w:bottom w:val="single" w:sz="4" w:space="0" w:color="auto"/>
              <w:right w:val="single" w:sz="4" w:space="0" w:color="auto"/>
            </w:tcBorders>
            <w:shd w:val="clear" w:color="auto" w:fill="auto"/>
            <w:vAlign w:val="center"/>
            <w:hideMark/>
          </w:tcPr>
          <w:p w14:paraId="4542DC45" w14:textId="77777777" w:rsidR="00572995" w:rsidRPr="00483EBE" w:rsidRDefault="00572995" w:rsidP="00E8324D">
            <w:pPr>
              <w:pStyle w:val="Tablas"/>
              <w:rPr>
                <w:sz w:val="12"/>
                <w:szCs w:val="12"/>
              </w:rPr>
            </w:pPr>
            <w:r w:rsidRPr="00483EBE">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31092AB2"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7B7AA28"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C07A2E9"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7C01B170"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8010BFF" w14:textId="77777777" w:rsidR="00572995" w:rsidRPr="00483EBE" w:rsidRDefault="00572995" w:rsidP="00E8324D">
            <w:pPr>
              <w:pStyle w:val="Tablas"/>
              <w:rPr>
                <w:sz w:val="12"/>
                <w:szCs w:val="12"/>
              </w:rPr>
            </w:pPr>
            <w:r w:rsidRPr="00483EBE">
              <w:rPr>
                <w:sz w:val="12"/>
                <w:szCs w:val="12"/>
              </w:rPr>
              <w:t>$4,012</w:t>
            </w:r>
          </w:p>
        </w:tc>
        <w:tc>
          <w:tcPr>
            <w:tcW w:w="0" w:type="auto"/>
            <w:tcBorders>
              <w:top w:val="nil"/>
              <w:left w:val="nil"/>
              <w:bottom w:val="single" w:sz="4" w:space="0" w:color="auto"/>
              <w:right w:val="single" w:sz="4" w:space="0" w:color="auto"/>
            </w:tcBorders>
            <w:shd w:val="clear" w:color="auto" w:fill="auto"/>
            <w:vAlign w:val="center"/>
            <w:hideMark/>
          </w:tcPr>
          <w:p w14:paraId="0B362EA6" w14:textId="77777777" w:rsidR="00572995" w:rsidRPr="00483EBE" w:rsidRDefault="00572995" w:rsidP="00E8324D">
            <w:pPr>
              <w:pStyle w:val="Tablas"/>
              <w:rPr>
                <w:sz w:val="12"/>
                <w:szCs w:val="12"/>
              </w:rPr>
            </w:pPr>
            <w:r w:rsidRPr="00483EBE">
              <w:rPr>
                <w:sz w:val="12"/>
                <w:szCs w:val="12"/>
              </w:rPr>
              <w:t>$1,003</w:t>
            </w:r>
          </w:p>
        </w:tc>
        <w:tc>
          <w:tcPr>
            <w:tcW w:w="0" w:type="auto"/>
            <w:tcBorders>
              <w:top w:val="nil"/>
              <w:left w:val="nil"/>
              <w:bottom w:val="single" w:sz="4" w:space="0" w:color="auto"/>
              <w:right w:val="single" w:sz="4" w:space="0" w:color="auto"/>
            </w:tcBorders>
            <w:shd w:val="clear" w:color="auto" w:fill="auto"/>
            <w:vAlign w:val="center"/>
            <w:hideMark/>
          </w:tcPr>
          <w:p w14:paraId="38A85732"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2D25D82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FE32D56" w14:textId="77777777" w:rsidR="00572995" w:rsidRPr="00483EBE" w:rsidRDefault="00572995" w:rsidP="00E8324D">
            <w:pPr>
              <w:pStyle w:val="Tablas"/>
              <w:rPr>
                <w:sz w:val="12"/>
                <w:szCs w:val="12"/>
              </w:rPr>
            </w:pPr>
            <w:r w:rsidRPr="00483EBE">
              <w:rPr>
                <w:sz w:val="12"/>
                <w:szCs w:val="12"/>
              </w:rPr>
              <w:t>SM</w:t>
            </w:r>
          </w:p>
        </w:tc>
      </w:tr>
      <w:tr w:rsidR="00572995" w:rsidRPr="00483EBE" w14:paraId="6A59341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6DE9A08"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4C7EB69" w14:textId="77777777" w:rsidR="00572995" w:rsidRPr="00483EBE" w:rsidRDefault="00572995" w:rsidP="00E8324D">
            <w:pPr>
              <w:pStyle w:val="Tablas"/>
              <w:rPr>
                <w:sz w:val="12"/>
                <w:szCs w:val="12"/>
              </w:rPr>
            </w:pPr>
            <w:r w:rsidRPr="00483EBE">
              <w:rPr>
                <w:sz w:val="12"/>
                <w:szCs w:val="12"/>
              </w:rPr>
              <w:t xml:space="preserve">26 </w:t>
            </w:r>
          </w:p>
        </w:tc>
        <w:tc>
          <w:tcPr>
            <w:tcW w:w="0" w:type="auto"/>
            <w:tcBorders>
              <w:top w:val="nil"/>
              <w:left w:val="nil"/>
              <w:bottom w:val="single" w:sz="4" w:space="0" w:color="auto"/>
              <w:right w:val="single" w:sz="4" w:space="0" w:color="auto"/>
            </w:tcBorders>
            <w:shd w:val="clear" w:color="auto" w:fill="auto"/>
            <w:vAlign w:val="center"/>
            <w:hideMark/>
          </w:tcPr>
          <w:p w14:paraId="349F186D" w14:textId="77777777" w:rsidR="00572995" w:rsidRPr="00483EBE" w:rsidRDefault="00572995" w:rsidP="00E8324D">
            <w:pPr>
              <w:pStyle w:val="Tablas"/>
              <w:rPr>
                <w:sz w:val="12"/>
                <w:szCs w:val="12"/>
              </w:rPr>
            </w:pPr>
            <w:r w:rsidRPr="00483EBE">
              <w:rPr>
                <w:sz w:val="12"/>
                <w:szCs w:val="12"/>
              </w:rPr>
              <w:t>$38,216</w:t>
            </w:r>
          </w:p>
        </w:tc>
        <w:tc>
          <w:tcPr>
            <w:tcW w:w="0" w:type="auto"/>
            <w:tcBorders>
              <w:top w:val="nil"/>
              <w:left w:val="nil"/>
              <w:bottom w:val="single" w:sz="4" w:space="0" w:color="auto"/>
              <w:right w:val="single" w:sz="4" w:space="0" w:color="auto"/>
            </w:tcBorders>
            <w:shd w:val="clear" w:color="auto" w:fill="auto"/>
            <w:vAlign w:val="center"/>
            <w:hideMark/>
          </w:tcPr>
          <w:p w14:paraId="5678DC0C" w14:textId="77777777" w:rsidR="00572995" w:rsidRPr="00483EBE" w:rsidRDefault="00572995" w:rsidP="00E8324D">
            <w:pPr>
              <w:pStyle w:val="Tablas"/>
              <w:rPr>
                <w:sz w:val="12"/>
                <w:szCs w:val="12"/>
              </w:rPr>
            </w:pPr>
            <w:r w:rsidRPr="00483EBE">
              <w:rPr>
                <w:sz w:val="12"/>
                <w:szCs w:val="12"/>
              </w:rPr>
              <w:t>$1,470</w:t>
            </w:r>
          </w:p>
        </w:tc>
        <w:tc>
          <w:tcPr>
            <w:tcW w:w="0" w:type="auto"/>
            <w:tcBorders>
              <w:top w:val="nil"/>
              <w:left w:val="nil"/>
              <w:bottom w:val="single" w:sz="4" w:space="0" w:color="auto"/>
              <w:right w:val="single" w:sz="4" w:space="0" w:color="auto"/>
            </w:tcBorders>
            <w:shd w:val="clear" w:color="auto" w:fill="auto"/>
            <w:vAlign w:val="center"/>
            <w:hideMark/>
          </w:tcPr>
          <w:p w14:paraId="759E9904" w14:textId="77777777" w:rsidR="00572995" w:rsidRPr="00483EBE" w:rsidRDefault="00572995" w:rsidP="00E8324D">
            <w:pPr>
              <w:pStyle w:val="Tablas"/>
              <w:rPr>
                <w:sz w:val="12"/>
                <w:szCs w:val="12"/>
              </w:rPr>
            </w:pPr>
            <w:r w:rsidRPr="00483EBE">
              <w:rPr>
                <w:sz w:val="12"/>
                <w:szCs w:val="12"/>
              </w:rPr>
              <w:t>$122</w:t>
            </w:r>
          </w:p>
        </w:tc>
        <w:tc>
          <w:tcPr>
            <w:tcW w:w="0" w:type="auto"/>
            <w:tcBorders>
              <w:top w:val="nil"/>
              <w:left w:val="nil"/>
              <w:bottom w:val="single" w:sz="4" w:space="0" w:color="auto"/>
              <w:right w:val="single" w:sz="4" w:space="0" w:color="auto"/>
            </w:tcBorders>
            <w:shd w:val="clear" w:color="auto" w:fill="auto"/>
            <w:vAlign w:val="center"/>
            <w:hideMark/>
          </w:tcPr>
          <w:p w14:paraId="6061146E"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759A20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AA50EC"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64EF27CD"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5D6DAE9" w14:textId="77777777" w:rsidR="00572995" w:rsidRPr="00483EBE" w:rsidRDefault="00572995" w:rsidP="00E8324D">
            <w:pPr>
              <w:pStyle w:val="Tablas"/>
              <w:rPr>
                <w:sz w:val="12"/>
                <w:szCs w:val="12"/>
              </w:rPr>
            </w:pPr>
            <w:r w:rsidRPr="00483EBE">
              <w:rPr>
                <w:sz w:val="12"/>
                <w:szCs w:val="12"/>
              </w:rPr>
              <w:t>$2,728</w:t>
            </w:r>
          </w:p>
        </w:tc>
        <w:tc>
          <w:tcPr>
            <w:tcW w:w="0" w:type="auto"/>
            <w:tcBorders>
              <w:top w:val="nil"/>
              <w:left w:val="nil"/>
              <w:bottom w:val="single" w:sz="4" w:space="0" w:color="auto"/>
              <w:right w:val="single" w:sz="4" w:space="0" w:color="auto"/>
            </w:tcBorders>
            <w:shd w:val="clear" w:color="auto" w:fill="auto"/>
            <w:vAlign w:val="center"/>
            <w:hideMark/>
          </w:tcPr>
          <w:p w14:paraId="5E98E4A6" w14:textId="77777777" w:rsidR="00572995" w:rsidRPr="00483EBE" w:rsidRDefault="00572995" w:rsidP="00E8324D">
            <w:pPr>
              <w:pStyle w:val="Tablas"/>
              <w:rPr>
                <w:sz w:val="12"/>
                <w:szCs w:val="12"/>
              </w:rPr>
            </w:pPr>
            <w:r w:rsidRPr="00483EBE">
              <w:rPr>
                <w:sz w:val="12"/>
                <w:szCs w:val="12"/>
              </w:rPr>
              <w:t>$909</w:t>
            </w:r>
          </w:p>
        </w:tc>
        <w:tc>
          <w:tcPr>
            <w:tcW w:w="0" w:type="auto"/>
            <w:tcBorders>
              <w:top w:val="nil"/>
              <w:left w:val="nil"/>
              <w:bottom w:val="single" w:sz="4" w:space="0" w:color="auto"/>
              <w:right w:val="single" w:sz="4" w:space="0" w:color="auto"/>
            </w:tcBorders>
            <w:shd w:val="clear" w:color="auto" w:fill="auto"/>
            <w:vAlign w:val="center"/>
            <w:hideMark/>
          </w:tcPr>
          <w:p w14:paraId="2A88A380"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56F52E4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6FC5BC4" w14:textId="77777777" w:rsidR="00572995" w:rsidRPr="00483EBE" w:rsidRDefault="00572995" w:rsidP="00E8324D">
            <w:pPr>
              <w:pStyle w:val="Tablas"/>
              <w:rPr>
                <w:sz w:val="12"/>
                <w:szCs w:val="12"/>
              </w:rPr>
            </w:pPr>
            <w:r w:rsidRPr="00483EBE">
              <w:rPr>
                <w:sz w:val="12"/>
                <w:szCs w:val="12"/>
              </w:rPr>
              <w:t>SM</w:t>
            </w:r>
          </w:p>
        </w:tc>
      </w:tr>
      <w:tr w:rsidR="00572995" w:rsidRPr="00483EBE" w14:paraId="0D1DF46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B310211"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22293599"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21F9E5F5" w14:textId="77777777" w:rsidR="00572995" w:rsidRPr="00483EBE" w:rsidRDefault="00572995" w:rsidP="00E8324D">
            <w:pPr>
              <w:pStyle w:val="Tablas"/>
              <w:rPr>
                <w:sz w:val="12"/>
                <w:szCs w:val="12"/>
              </w:rPr>
            </w:pPr>
            <w:r w:rsidRPr="00483EBE">
              <w:rPr>
                <w:sz w:val="12"/>
                <w:szCs w:val="12"/>
              </w:rPr>
              <w:t>$38,924</w:t>
            </w:r>
          </w:p>
        </w:tc>
        <w:tc>
          <w:tcPr>
            <w:tcW w:w="0" w:type="auto"/>
            <w:tcBorders>
              <w:top w:val="nil"/>
              <w:left w:val="nil"/>
              <w:bottom w:val="single" w:sz="4" w:space="0" w:color="auto"/>
              <w:right w:val="single" w:sz="4" w:space="0" w:color="auto"/>
            </w:tcBorders>
            <w:shd w:val="clear" w:color="auto" w:fill="auto"/>
            <w:vAlign w:val="center"/>
            <w:hideMark/>
          </w:tcPr>
          <w:p w14:paraId="0AF7A466" w14:textId="77777777" w:rsidR="00572995" w:rsidRPr="00483EBE" w:rsidRDefault="00572995" w:rsidP="00E8324D">
            <w:pPr>
              <w:pStyle w:val="Tablas"/>
              <w:rPr>
                <w:sz w:val="12"/>
                <w:szCs w:val="12"/>
              </w:rPr>
            </w:pPr>
            <w:r w:rsidRPr="00483EBE">
              <w:rPr>
                <w:sz w:val="12"/>
                <w:szCs w:val="12"/>
              </w:rPr>
              <w:t>$1,390</w:t>
            </w:r>
          </w:p>
        </w:tc>
        <w:tc>
          <w:tcPr>
            <w:tcW w:w="0" w:type="auto"/>
            <w:tcBorders>
              <w:top w:val="nil"/>
              <w:left w:val="nil"/>
              <w:bottom w:val="single" w:sz="4" w:space="0" w:color="auto"/>
              <w:right w:val="single" w:sz="4" w:space="0" w:color="auto"/>
            </w:tcBorders>
            <w:shd w:val="clear" w:color="auto" w:fill="auto"/>
            <w:vAlign w:val="center"/>
            <w:hideMark/>
          </w:tcPr>
          <w:p w14:paraId="596A9FF7" w14:textId="77777777" w:rsidR="00572995" w:rsidRPr="00483EBE" w:rsidRDefault="00572995" w:rsidP="00E8324D">
            <w:pPr>
              <w:pStyle w:val="Tablas"/>
              <w:rPr>
                <w:sz w:val="12"/>
                <w:szCs w:val="12"/>
              </w:rPr>
            </w:pPr>
            <w:r w:rsidRPr="00483EBE">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6A87A86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7155A52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ACD806"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6AE853E4"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DE73974" w14:textId="77777777" w:rsidR="00572995" w:rsidRPr="00483EBE" w:rsidRDefault="00572995" w:rsidP="00E8324D">
            <w:pPr>
              <w:pStyle w:val="Tablas"/>
              <w:rPr>
                <w:sz w:val="12"/>
                <w:szCs w:val="12"/>
              </w:rPr>
            </w:pPr>
            <w:r w:rsidRPr="00483EBE">
              <w:rPr>
                <w:sz w:val="12"/>
                <w:szCs w:val="12"/>
              </w:rPr>
              <w:t>$2,376</w:t>
            </w:r>
          </w:p>
        </w:tc>
        <w:tc>
          <w:tcPr>
            <w:tcW w:w="0" w:type="auto"/>
            <w:tcBorders>
              <w:top w:val="nil"/>
              <w:left w:val="nil"/>
              <w:bottom w:val="single" w:sz="4" w:space="0" w:color="auto"/>
              <w:right w:val="single" w:sz="4" w:space="0" w:color="auto"/>
            </w:tcBorders>
            <w:shd w:val="clear" w:color="auto" w:fill="auto"/>
            <w:vAlign w:val="center"/>
            <w:hideMark/>
          </w:tcPr>
          <w:p w14:paraId="5A93F912" w14:textId="77777777" w:rsidR="00572995" w:rsidRPr="00483EBE" w:rsidRDefault="00572995" w:rsidP="00E8324D">
            <w:pPr>
              <w:pStyle w:val="Tablas"/>
              <w:rPr>
                <w:sz w:val="12"/>
                <w:szCs w:val="12"/>
              </w:rPr>
            </w:pPr>
            <w:r w:rsidRPr="00483EBE">
              <w:rPr>
                <w:sz w:val="12"/>
                <w:szCs w:val="12"/>
              </w:rPr>
              <w:t>$792</w:t>
            </w:r>
          </w:p>
        </w:tc>
        <w:tc>
          <w:tcPr>
            <w:tcW w:w="0" w:type="auto"/>
            <w:tcBorders>
              <w:top w:val="nil"/>
              <w:left w:val="nil"/>
              <w:bottom w:val="single" w:sz="4" w:space="0" w:color="auto"/>
              <w:right w:val="single" w:sz="4" w:space="0" w:color="auto"/>
            </w:tcBorders>
            <w:shd w:val="clear" w:color="auto" w:fill="auto"/>
            <w:vAlign w:val="center"/>
            <w:hideMark/>
          </w:tcPr>
          <w:p w14:paraId="79C710F6"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64E29D0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4AE4871" w14:textId="77777777" w:rsidR="00572995" w:rsidRPr="00483EBE" w:rsidRDefault="00572995" w:rsidP="00E8324D">
            <w:pPr>
              <w:pStyle w:val="Tablas"/>
              <w:rPr>
                <w:sz w:val="12"/>
                <w:szCs w:val="12"/>
              </w:rPr>
            </w:pPr>
            <w:r w:rsidRPr="00483EBE">
              <w:rPr>
                <w:sz w:val="12"/>
                <w:szCs w:val="12"/>
              </w:rPr>
              <w:t>SM</w:t>
            </w:r>
          </w:p>
        </w:tc>
      </w:tr>
      <w:tr w:rsidR="00572995" w:rsidRPr="00483EBE" w14:paraId="2A5B9FE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36466C"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2A3874C1" w14:textId="77777777" w:rsidR="00572995" w:rsidRPr="00483EBE" w:rsidRDefault="00572995" w:rsidP="00E8324D">
            <w:pPr>
              <w:pStyle w:val="Tablas"/>
              <w:rPr>
                <w:sz w:val="12"/>
                <w:szCs w:val="12"/>
              </w:rPr>
            </w:pPr>
            <w:r w:rsidRPr="00483EBE">
              <w:rPr>
                <w:sz w:val="12"/>
                <w:szCs w:val="12"/>
              </w:rPr>
              <w:t xml:space="preserve">36 </w:t>
            </w:r>
          </w:p>
        </w:tc>
        <w:tc>
          <w:tcPr>
            <w:tcW w:w="0" w:type="auto"/>
            <w:tcBorders>
              <w:top w:val="nil"/>
              <w:left w:val="nil"/>
              <w:bottom w:val="single" w:sz="4" w:space="0" w:color="auto"/>
              <w:right w:val="single" w:sz="4" w:space="0" w:color="auto"/>
            </w:tcBorders>
            <w:shd w:val="clear" w:color="auto" w:fill="auto"/>
            <w:vAlign w:val="center"/>
            <w:hideMark/>
          </w:tcPr>
          <w:p w14:paraId="52E3C995" w14:textId="77777777" w:rsidR="00572995" w:rsidRPr="00483EBE" w:rsidRDefault="00572995" w:rsidP="00E8324D">
            <w:pPr>
              <w:pStyle w:val="Tablas"/>
              <w:rPr>
                <w:sz w:val="12"/>
                <w:szCs w:val="12"/>
              </w:rPr>
            </w:pPr>
            <w:r w:rsidRPr="00483EBE">
              <w:rPr>
                <w:sz w:val="12"/>
                <w:szCs w:val="12"/>
              </w:rPr>
              <w:t>$46,398</w:t>
            </w:r>
          </w:p>
        </w:tc>
        <w:tc>
          <w:tcPr>
            <w:tcW w:w="0" w:type="auto"/>
            <w:tcBorders>
              <w:top w:val="nil"/>
              <w:left w:val="nil"/>
              <w:bottom w:val="single" w:sz="4" w:space="0" w:color="auto"/>
              <w:right w:val="single" w:sz="4" w:space="0" w:color="auto"/>
            </w:tcBorders>
            <w:shd w:val="clear" w:color="auto" w:fill="auto"/>
            <w:vAlign w:val="center"/>
            <w:hideMark/>
          </w:tcPr>
          <w:p w14:paraId="07B93F2F" w14:textId="77777777" w:rsidR="00572995" w:rsidRPr="00483EBE" w:rsidRDefault="00572995" w:rsidP="00E8324D">
            <w:pPr>
              <w:pStyle w:val="Tablas"/>
              <w:rPr>
                <w:sz w:val="12"/>
                <w:szCs w:val="12"/>
              </w:rPr>
            </w:pPr>
            <w:r w:rsidRPr="00483EBE">
              <w:rPr>
                <w:sz w:val="12"/>
                <w:szCs w:val="12"/>
              </w:rPr>
              <w:t>$1,289</w:t>
            </w:r>
          </w:p>
        </w:tc>
        <w:tc>
          <w:tcPr>
            <w:tcW w:w="0" w:type="auto"/>
            <w:tcBorders>
              <w:top w:val="nil"/>
              <w:left w:val="nil"/>
              <w:bottom w:val="single" w:sz="4" w:space="0" w:color="auto"/>
              <w:right w:val="single" w:sz="4" w:space="0" w:color="auto"/>
            </w:tcBorders>
            <w:shd w:val="clear" w:color="auto" w:fill="auto"/>
            <w:vAlign w:val="center"/>
            <w:hideMark/>
          </w:tcPr>
          <w:p w14:paraId="68B9B0AF"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36BC15C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89C0B7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71D450"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3AEADE59"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F60DBA4" w14:textId="77777777" w:rsidR="00572995" w:rsidRPr="00483EBE" w:rsidRDefault="00572995" w:rsidP="00E8324D">
            <w:pPr>
              <w:pStyle w:val="Tablas"/>
              <w:rPr>
                <w:sz w:val="12"/>
                <w:szCs w:val="12"/>
              </w:rPr>
            </w:pPr>
            <w:r w:rsidRPr="00483EBE">
              <w:rPr>
                <w:sz w:val="12"/>
                <w:szCs w:val="12"/>
              </w:rPr>
              <w:t>$1,948</w:t>
            </w:r>
          </w:p>
        </w:tc>
        <w:tc>
          <w:tcPr>
            <w:tcW w:w="0" w:type="auto"/>
            <w:tcBorders>
              <w:top w:val="nil"/>
              <w:left w:val="nil"/>
              <w:bottom w:val="single" w:sz="4" w:space="0" w:color="auto"/>
              <w:right w:val="single" w:sz="4" w:space="0" w:color="auto"/>
            </w:tcBorders>
            <w:shd w:val="clear" w:color="auto" w:fill="auto"/>
            <w:vAlign w:val="center"/>
            <w:hideMark/>
          </w:tcPr>
          <w:p w14:paraId="21D6FE38" w14:textId="77777777" w:rsidR="00572995" w:rsidRPr="00483EBE" w:rsidRDefault="00572995" w:rsidP="00E8324D">
            <w:pPr>
              <w:pStyle w:val="Tablas"/>
              <w:rPr>
                <w:sz w:val="12"/>
                <w:szCs w:val="12"/>
              </w:rPr>
            </w:pPr>
            <w:r w:rsidRPr="00483EBE">
              <w:rPr>
                <w:sz w:val="12"/>
                <w:szCs w:val="12"/>
              </w:rPr>
              <w:t>$974</w:t>
            </w:r>
          </w:p>
        </w:tc>
        <w:tc>
          <w:tcPr>
            <w:tcW w:w="0" w:type="auto"/>
            <w:tcBorders>
              <w:top w:val="nil"/>
              <w:left w:val="nil"/>
              <w:bottom w:val="single" w:sz="4" w:space="0" w:color="auto"/>
              <w:right w:val="single" w:sz="4" w:space="0" w:color="auto"/>
            </w:tcBorders>
            <w:shd w:val="clear" w:color="auto" w:fill="auto"/>
            <w:vAlign w:val="center"/>
            <w:hideMark/>
          </w:tcPr>
          <w:p w14:paraId="4FE36370"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616AA94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53EC468E" w14:textId="77777777" w:rsidR="00572995" w:rsidRPr="00483EBE" w:rsidRDefault="00572995" w:rsidP="00E8324D">
            <w:pPr>
              <w:pStyle w:val="Tablas"/>
              <w:rPr>
                <w:sz w:val="12"/>
                <w:szCs w:val="12"/>
              </w:rPr>
            </w:pPr>
            <w:r w:rsidRPr="00483EBE">
              <w:rPr>
                <w:sz w:val="12"/>
                <w:szCs w:val="12"/>
              </w:rPr>
              <w:t>SM</w:t>
            </w:r>
          </w:p>
        </w:tc>
      </w:tr>
      <w:tr w:rsidR="00572995" w:rsidRPr="00483EBE" w14:paraId="07BA717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8127DD2"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1871A268"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5A701D56" w14:textId="77777777" w:rsidR="00572995" w:rsidRPr="00483EBE" w:rsidRDefault="00572995" w:rsidP="00E8324D">
            <w:pPr>
              <w:pStyle w:val="Tablas"/>
              <w:rPr>
                <w:sz w:val="12"/>
                <w:szCs w:val="12"/>
              </w:rPr>
            </w:pPr>
            <w:r w:rsidRPr="00483EBE">
              <w:rPr>
                <w:sz w:val="12"/>
                <w:szCs w:val="12"/>
              </w:rPr>
              <w:t>$51,249</w:t>
            </w:r>
          </w:p>
        </w:tc>
        <w:tc>
          <w:tcPr>
            <w:tcW w:w="0" w:type="auto"/>
            <w:tcBorders>
              <w:top w:val="nil"/>
              <w:left w:val="nil"/>
              <w:bottom w:val="single" w:sz="4" w:space="0" w:color="auto"/>
              <w:right w:val="single" w:sz="4" w:space="0" w:color="auto"/>
            </w:tcBorders>
            <w:shd w:val="clear" w:color="auto" w:fill="auto"/>
            <w:vAlign w:val="center"/>
            <w:hideMark/>
          </w:tcPr>
          <w:p w14:paraId="1A2256DE" w14:textId="77777777" w:rsidR="00572995" w:rsidRPr="00483EBE" w:rsidRDefault="00572995" w:rsidP="00E8324D">
            <w:pPr>
              <w:pStyle w:val="Tablas"/>
              <w:rPr>
                <w:sz w:val="12"/>
                <w:szCs w:val="12"/>
              </w:rPr>
            </w:pPr>
            <w:r w:rsidRPr="00483EBE">
              <w:rPr>
                <w:sz w:val="12"/>
                <w:szCs w:val="12"/>
              </w:rPr>
              <w:t>$1,708</w:t>
            </w:r>
          </w:p>
        </w:tc>
        <w:tc>
          <w:tcPr>
            <w:tcW w:w="0" w:type="auto"/>
            <w:tcBorders>
              <w:top w:val="nil"/>
              <w:left w:val="nil"/>
              <w:bottom w:val="single" w:sz="4" w:space="0" w:color="auto"/>
              <w:right w:val="single" w:sz="4" w:space="0" w:color="auto"/>
            </w:tcBorders>
            <w:shd w:val="clear" w:color="auto" w:fill="auto"/>
            <w:vAlign w:val="center"/>
            <w:hideMark/>
          </w:tcPr>
          <w:p w14:paraId="326B4855" w14:textId="77777777" w:rsidR="00572995" w:rsidRPr="00483EBE" w:rsidRDefault="00572995" w:rsidP="00E8324D">
            <w:pPr>
              <w:pStyle w:val="Tablas"/>
              <w:rPr>
                <w:sz w:val="12"/>
                <w:szCs w:val="12"/>
              </w:rPr>
            </w:pPr>
            <w:r w:rsidRPr="00483EBE">
              <w:rPr>
                <w:sz w:val="12"/>
                <w:szCs w:val="12"/>
              </w:rPr>
              <w:t>$142</w:t>
            </w:r>
          </w:p>
        </w:tc>
        <w:tc>
          <w:tcPr>
            <w:tcW w:w="0" w:type="auto"/>
            <w:tcBorders>
              <w:top w:val="nil"/>
              <w:left w:val="nil"/>
              <w:bottom w:val="single" w:sz="4" w:space="0" w:color="auto"/>
              <w:right w:val="single" w:sz="4" w:space="0" w:color="auto"/>
            </w:tcBorders>
            <w:shd w:val="clear" w:color="auto" w:fill="auto"/>
            <w:vAlign w:val="center"/>
            <w:hideMark/>
          </w:tcPr>
          <w:p w14:paraId="58C2BBD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1AE2F6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5E6B7F"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0B4ECD7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92E12E4" w14:textId="77777777" w:rsidR="00572995" w:rsidRPr="00483EBE" w:rsidRDefault="00572995" w:rsidP="00E8324D">
            <w:pPr>
              <w:pStyle w:val="Tablas"/>
              <w:rPr>
                <w:sz w:val="12"/>
                <w:szCs w:val="12"/>
              </w:rPr>
            </w:pPr>
            <w:r w:rsidRPr="00483EBE">
              <w:rPr>
                <w:sz w:val="12"/>
                <w:szCs w:val="12"/>
              </w:rPr>
              <w:t>$883</w:t>
            </w:r>
          </w:p>
        </w:tc>
        <w:tc>
          <w:tcPr>
            <w:tcW w:w="0" w:type="auto"/>
            <w:tcBorders>
              <w:top w:val="nil"/>
              <w:left w:val="nil"/>
              <w:bottom w:val="single" w:sz="4" w:space="0" w:color="auto"/>
              <w:right w:val="single" w:sz="4" w:space="0" w:color="auto"/>
            </w:tcBorders>
            <w:shd w:val="clear" w:color="auto" w:fill="auto"/>
            <w:vAlign w:val="center"/>
            <w:hideMark/>
          </w:tcPr>
          <w:p w14:paraId="2797B6E8" w14:textId="77777777" w:rsidR="00572995" w:rsidRPr="00483EBE" w:rsidRDefault="00572995" w:rsidP="00E8324D">
            <w:pPr>
              <w:pStyle w:val="Tablas"/>
              <w:rPr>
                <w:sz w:val="12"/>
                <w:szCs w:val="12"/>
              </w:rPr>
            </w:pPr>
            <w:r w:rsidRPr="00483EBE">
              <w:rPr>
                <w:sz w:val="12"/>
                <w:szCs w:val="12"/>
              </w:rPr>
              <w:t>$883</w:t>
            </w:r>
          </w:p>
        </w:tc>
        <w:tc>
          <w:tcPr>
            <w:tcW w:w="0" w:type="auto"/>
            <w:tcBorders>
              <w:top w:val="nil"/>
              <w:left w:val="nil"/>
              <w:bottom w:val="single" w:sz="4" w:space="0" w:color="auto"/>
              <w:right w:val="single" w:sz="4" w:space="0" w:color="auto"/>
            </w:tcBorders>
            <w:shd w:val="clear" w:color="auto" w:fill="auto"/>
            <w:vAlign w:val="center"/>
            <w:hideMark/>
          </w:tcPr>
          <w:p w14:paraId="0250A259"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6A70EF6B"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99DD9D5" w14:textId="77777777" w:rsidR="00572995" w:rsidRPr="00483EBE" w:rsidRDefault="00572995" w:rsidP="00E8324D">
            <w:pPr>
              <w:pStyle w:val="Tablas"/>
              <w:rPr>
                <w:sz w:val="12"/>
                <w:szCs w:val="12"/>
              </w:rPr>
            </w:pPr>
            <w:r w:rsidRPr="00483EBE">
              <w:rPr>
                <w:sz w:val="12"/>
                <w:szCs w:val="12"/>
              </w:rPr>
              <w:t>SM</w:t>
            </w:r>
          </w:p>
        </w:tc>
      </w:tr>
      <w:tr w:rsidR="00572995" w:rsidRPr="00483EBE" w14:paraId="442E4FC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69F6E5F"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7D59F652"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7F4B9063" w14:textId="77777777" w:rsidR="00572995" w:rsidRPr="00483EBE" w:rsidRDefault="00572995" w:rsidP="00E8324D">
            <w:pPr>
              <w:pStyle w:val="Tablas"/>
              <w:rPr>
                <w:sz w:val="12"/>
                <w:szCs w:val="12"/>
              </w:rPr>
            </w:pPr>
            <w:r w:rsidRPr="00483EBE">
              <w:rPr>
                <w:sz w:val="12"/>
                <w:szCs w:val="12"/>
              </w:rPr>
              <w:t>$60,376</w:t>
            </w:r>
          </w:p>
        </w:tc>
        <w:tc>
          <w:tcPr>
            <w:tcW w:w="0" w:type="auto"/>
            <w:tcBorders>
              <w:top w:val="nil"/>
              <w:left w:val="nil"/>
              <w:bottom w:val="single" w:sz="4" w:space="0" w:color="auto"/>
              <w:right w:val="single" w:sz="4" w:space="0" w:color="auto"/>
            </w:tcBorders>
            <w:shd w:val="clear" w:color="auto" w:fill="auto"/>
            <w:vAlign w:val="center"/>
            <w:hideMark/>
          </w:tcPr>
          <w:p w14:paraId="10EF15B0" w14:textId="77777777" w:rsidR="00572995" w:rsidRPr="00483EBE" w:rsidRDefault="00572995" w:rsidP="00E8324D">
            <w:pPr>
              <w:pStyle w:val="Tablas"/>
              <w:rPr>
                <w:sz w:val="12"/>
                <w:szCs w:val="12"/>
              </w:rPr>
            </w:pPr>
            <w:r w:rsidRPr="00483EBE">
              <w:rPr>
                <w:sz w:val="12"/>
                <w:szCs w:val="12"/>
              </w:rPr>
              <w:t>$1,473</w:t>
            </w:r>
          </w:p>
        </w:tc>
        <w:tc>
          <w:tcPr>
            <w:tcW w:w="0" w:type="auto"/>
            <w:tcBorders>
              <w:top w:val="nil"/>
              <w:left w:val="nil"/>
              <w:bottom w:val="single" w:sz="4" w:space="0" w:color="auto"/>
              <w:right w:val="single" w:sz="4" w:space="0" w:color="auto"/>
            </w:tcBorders>
            <w:shd w:val="clear" w:color="auto" w:fill="auto"/>
            <w:vAlign w:val="center"/>
            <w:hideMark/>
          </w:tcPr>
          <w:p w14:paraId="3F1FADD2" w14:textId="77777777" w:rsidR="00572995" w:rsidRPr="00483EBE" w:rsidRDefault="00572995" w:rsidP="00E8324D">
            <w:pPr>
              <w:pStyle w:val="Tablas"/>
              <w:rPr>
                <w:sz w:val="12"/>
                <w:szCs w:val="12"/>
              </w:rPr>
            </w:pPr>
            <w:r w:rsidRPr="00483EBE">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3D5C239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2CD0FBA"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E0FFD3"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55C336C4"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D18D35F" w14:textId="77777777" w:rsidR="00572995" w:rsidRPr="00483EBE" w:rsidRDefault="00572995" w:rsidP="00E8324D">
            <w:pPr>
              <w:pStyle w:val="Tablas"/>
              <w:rPr>
                <w:sz w:val="12"/>
                <w:szCs w:val="12"/>
              </w:rPr>
            </w:pPr>
            <w:r w:rsidRPr="00483EBE">
              <w:rPr>
                <w:sz w:val="12"/>
                <w:szCs w:val="12"/>
              </w:rPr>
              <w:t>$2,972</w:t>
            </w:r>
          </w:p>
        </w:tc>
        <w:tc>
          <w:tcPr>
            <w:tcW w:w="0" w:type="auto"/>
            <w:tcBorders>
              <w:top w:val="nil"/>
              <w:left w:val="nil"/>
              <w:bottom w:val="single" w:sz="4" w:space="0" w:color="auto"/>
              <w:right w:val="single" w:sz="4" w:space="0" w:color="auto"/>
            </w:tcBorders>
            <w:shd w:val="clear" w:color="auto" w:fill="auto"/>
            <w:vAlign w:val="center"/>
            <w:hideMark/>
          </w:tcPr>
          <w:p w14:paraId="7C71B900" w14:textId="77777777" w:rsidR="00572995" w:rsidRPr="00483EBE" w:rsidRDefault="00572995" w:rsidP="00E8324D">
            <w:pPr>
              <w:pStyle w:val="Tablas"/>
              <w:rPr>
                <w:sz w:val="12"/>
                <w:szCs w:val="12"/>
              </w:rPr>
            </w:pPr>
            <w:r w:rsidRPr="00483EBE">
              <w:rPr>
                <w:sz w:val="12"/>
                <w:szCs w:val="12"/>
              </w:rPr>
              <w:t>$991</w:t>
            </w:r>
          </w:p>
        </w:tc>
        <w:tc>
          <w:tcPr>
            <w:tcW w:w="0" w:type="auto"/>
            <w:tcBorders>
              <w:top w:val="nil"/>
              <w:left w:val="nil"/>
              <w:bottom w:val="single" w:sz="4" w:space="0" w:color="auto"/>
              <w:right w:val="single" w:sz="4" w:space="0" w:color="auto"/>
            </w:tcBorders>
            <w:shd w:val="clear" w:color="auto" w:fill="auto"/>
            <w:vAlign w:val="center"/>
            <w:hideMark/>
          </w:tcPr>
          <w:p w14:paraId="31D33EDF"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101FACE2"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A381299" w14:textId="77777777" w:rsidR="00572995" w:rsidRPr="00483EBE" w:rsidRDefault="00572995" w:rsidP="00E8324D">
            <w:pPr>
              <w:pStyle w:val="Tablas"/>
              <w:rPr>
                <w:sz w:val="12"/>
                <w:szCs w:val="12"/>
              </w:rPr>
            </w:pPr>
            <w:r w:rsidRPr="00483EBE">
              <w:rPr>
                <w:sz w:val="12"/>
                <w:szCs w:val="12"/>
              </w:rPr>
              <w:t>SM</w:t>
            </w:r>
          </w:p>
        </w:tc>
      </w:tr>
      <w:tr w:rsidR="00572995" w:rsidRPr="00483EBE" w14:paraId="28FAF6D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B730C0" w14:textId="77777777" w:rsidR="00572995" w:rsidRPr="00483EBE" w:rsidRDefault="00572995" w:rsidP="00E8324D">
            <w:pPr>
              <w:pStyle w:val="Tablas"/>
              <w:rPr>
                <w:sz w:val="12"/>
                <w:szCs w:val="12"/>
              </w:rPr>
            </w:pPr>
            <w:r w:rsidRPr="00483EBE">
              <w:rPr>
                <w:sz w:val="12"/>
                <w:szCs w:val="12"/>
              </w:rPr>
              <w:lastRenderedPageBreak/>
              <w:t>85</w:t>
            </w:r>
          </w:p>
        </w:tc>
        <w:tc>
          <w:tcPr>
            <w:tcW w:w="0" w:type="auto"/>
            <w:tcBorders>
              <w:top w:val="nil"/>
              <w:left w:val="nil"/>
              <w:bottom w:val="single" w:sz="4" w:space="0" w:color="auto"/>
              <w:right w:val="single" w:sz="4" w:space="0" w:color="auto"/>
            </w:tcBorders>
            <w:shd w:val="clear" w:color="auto" w:fill="auto"/>
            <w:vAlign w:val="center"/>
            <w:hideMark/>
          </w:tcPr>
          <w:p w14:paraId="71D61D13" w14:textId="77777777" w:rsidR="00572995" w:rsidRPr="00483EBE" w:rsidRDefault="00572995" w:rsidP="00E8324D">
            <w:pPr>
              <w:pStyle w:val="Tablas"/>
              <w:rPr>
                <w:sz w:val="12"/>
                <w:szCs w:val="12"/>
              </w:rPr>
            </w:pPr>
            <w:r w:rsidRPr="00483EBE">
              <w:rPr>
                <w:sz w:val="12"/>
                <w:szCs w:val="12"/>
              </w:rPr>
              <w:t xml:space="preserve">35 </w:t>
            </w:r>
          </w:p>
        </w:tc>
        <w:tc>
          <w:tcPr>
            <w:tcW w:w="0" w:type="auto"/>
            <w:tcBorders>
              <w:top w:val="nil"/>
              <w:left w:val="nil"/>
              <w:bottom w:val="single" w:sz="4" w:space="0" w:color="auto"/>
              <w:right w:val="single" w:sz="4" w:space="0" w:color="auto"/>
            </w:tcBorders>
            <w:shd w:val="clear" w:color="auto" w:fill="auto"/>
            <w:vAlign w:val="center"/>
            <w:hideMark/>
          </w:tcPr>
          <w:p w14:paraId="3E264E40" w14:textId="77777777" w:rsidR="00572995" w:rsidRPr="00483EBE" w:rsidRDefault="00572995" w:rsidP="00E8324D">
            <w:pPr>
              <w:pStyle w:val="Tablas"/>
              <w:rPr>
                <w:sz w:val="12"/>
                <w:szCs w:val="12"/>
              </w:rPr>
            </w:pPr>
            <w:r w:rsidRPr="00483EBE">
              <w:rPr>
                <w:sz w:val="12"/>
                <w:szCs w:val="12"/>
              </w:rPr>
              <w:t>$48,065</w:t>
            </w:r>
          </w:p>
        </w:tc>
        <w:tc>
          <w:tcPr>
            <w:tcW w:w="0" w:type="auto"/>
            <w:tcBorders>
              <w:top w:val="nil"/>
              <w:left w:val="nil"/>
              <w:bottom w:val="single" w:sz="4" w:space="0" w:color="auto"/>
              <w:right w:val="single" w:sz="4" w:space="0" w:color="auto"/>
            </w:tcBorders>
            <w:shd w:val="clear" w:color="auto" w:fill="auto"/>
            <w:vAlign w:val="center"/>
            <w:hideMark/>
          </w:tcPr>
          <w:p w14:paraId="5E94B9E6" w14:textId="77777777" w:rsidR="00572995" w:rsidRPr="00483EBE" w:rsidRDefault="00572995" w:rsidP="00E8324D">
            <w:pPr>
              <w:pStyle w:val="Tablas"/>
              <w:rPr>
                <w:sz w:val="12"/>
                <w:szCs w:val="12"/>
              </w:rPr>
            </w:pPr>
            <w:r w:rsidRPr="00483EBE">
              <w:rPr>
                <w:sz w:val="12"/>
                <w:szCs w:val="12"/>
              </w:rPr>
              <w:t>$1,373</w:t>
            </w:r>
          </w:p>
        </w:tc>
        <w:tc>
          <w:tcPr>
            <w:tcW w:w="0" w:type="auto"/>
            <w:tcBorders>
              <w:top w:val="nil"/>
              <w:left w:val="nil"/>
              <w:bottom w:val="single" w:sz="4" w:space="0" w:color="auto"/>
              <w:right w:val="single" w:sz="4" w:space="0" w:color="auto"/>
            </w:tcBorders>
            <w:shd w:val="clear" w:color="auto" w:fill="auto"/>
            <w:vAlign w:val="center"/>
            <w:hideMark/>
          </w:tcPr>
          <w:p w14:paraId="0AACA5CB"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1C610C2E"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21CF35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BB10888"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11A129C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ECC0E4E" w14:textId="77777777" w:rsidR="00572995" w:rsidRPr="00483EBE" w:rsidRDefault="00572995" w:rsidP="00E8324D">
            <w:pPr>
              <w:pStyle w:val="Tablas"/>
              <w:rPr>
                <w:sz w:val="12"/>
                <w:szCs w:val="12"/>
              </w:rPr>
            </w:pPr>
            <w:r w:rsidRPr="00483EBE">
              <w:rPr>
                <w:sz w:val="12"/>
                <w:szCs w:val="12"/>
              </w:rPr>
              <w:t>$762</w:t>
            </w:r>
          </w:p>
        </w:tc>
        <w:tc>
          <w:tcPr>
            <w:tcW w:w="0" w:type="auto"/>
            <w:tcBorders>
              <w:top w:val="nil"/>
              <w:left w:val="nil"/>
              <w:bottom w:val="single" w:sz="4" w:space="0" w:color="auto"/>
              <w:right w:val="single" w:sz="4" w:space="0" w:color="auto"/>
            </w:tcBorders>
            <w:shd w:val="clear" w:color="auto" w:fill="auto"/>
            <w:vAlign w:val="center"/>
            <w:hideMark/>
          </w:tcPr>
          <w:p w14:paraId="254DB8D4" w14:textId="77777777" w:rsidR="00572995" w:rsidRPr="00483EBE" w:rsidRDefault="00572995" w:rsidP="00E8324D">
            <w:pPr>
              <w:pStyle w:val="Tablas"/>
              <w:rPr>
                <w:sz w:val="12"/>
                <w:szCs w:val="12"/>
              </w:rPr>
            </w:pPr>
            <w:r w:rsidRPr="00483EBE">
              <w:rPr>
                <w:sz w:val="12"/>
                <w:szCs w:val="12"/>
              </w:rPr>
              <w:t>$762</w:t>
            </w:r>
          </w:p>
        </w:tc>
        <w:tc>
          <w:tcPr>
            <w:tcW w:w="0" w:type="auto"/>
            <w:tcBorders>
              <w:top w:val="nil"/>
              <w:left w:val="nil"/>
              <w:bottom w:val="single" w:sz="4" w:space="0" w:color="auto"/>
              <w:right w:val="single" w:sz="4" w:space="0" w:color="auto"/>
            </w:tcBorders>
            <w:shd w:val="clear" w:color="auto" w:fill="auto"/>
            <w:vAlign w:val="center"/>
            <w:hideMark/>
          </w:tcPr>
          <w:p w14:paraId="31B86579"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0A199F3D"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13FE9731" w14:textId="77777777" w:rsidR="00572995" w:rsidRPr="00483EBE" w:rsidRDefault="00572995" w:rsidP="00E8324D">
            <w:pPr>
              <w:pStyle w:val="Tablas"/>
              <w:rPr>
                <w:sz w:val="12"/>
                <w:szCs w:val="12"/>
              </w:rPr>
            </w:pPr>
            <w:r w:rsidRPr="00483EBE">
              <w:rPr>
                <w:sz w:val="12"/>
                <w:szCs w:val="12"/>
              </w:rPr>
              <w:t>SM</w:t>
            </w:r>
          </w:p>
        </w:tc>
      </w:tr>
      <w:tr w:rsidR="00572995" w:rsidRPr="00483EBE" w14:paraId="7C912BB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EDC46E2"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23982F75"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20616FCD" w14:textId="77777777" w:rsidR="00572995" w:rsidRPr="00483EBE" w:rsidRDefault="00572995" w:rsidP="00E8324D">
            <w:pPr>
              <w:pStyle w:val="Tablas"/>
              <w:rPr>
                <w:sz w:val="12"/>
                <w:szCs w:val="12"/>
              </w:rPr>
            </w:pPr>
            <w:r w:rsidRPr="00483EBE">
              <w:rPr>
                <w:sz w:val="12"/>
                <w:szCs w:val="12"/>
              </w:rPr>
              <w:t>$61,446</w:t>
            </w:r>
          </w:p>
        </w:tc>
        <w:tc>
          <w:tcPr>
            <w:tcW w:w="0" w:type="auto"/>
            <w:tcBorders>
              <w:top w:val="nil"/>
              <w:left w:val="nil"/>
              <w:bottom w:val="single" w:sz="4" w:space="0" w:color="auto"/>
              <w:right w:val="single" w:sz="4" w:space="0" w:color="auto"/>
            </w:tcBorders>
            <w:shd w:val="clear" w:color="auto" w:fill="auto"/>
            <w:vAlign w:val="center"/>
            <w:hideMark/>
          </w:tcPr>
          <w:p w14:paraId="550ACC36" w14:textId="77777777" w:rsidR="00572995" w:rsidRPr="00483EBE" w:rsidRDefault="00572995" w:rsidP="00E8324D">
            <w:pPr>
              <w:pStyle w:val="Tablas"/>
              <w:rPr>
                <w:sz w:val="12"/>
                <w:szCs w:val="12"/>
              </w:rPr>
            </w:pPr>
            <w:r w:rsidRPr="00483EBE">
              <w:rPr>
                <w:sz w:val="12"/>
                <w:szCs w:val="12"/>
              </w:rPr>
              <w:t>$1,617</w:t>
            </w:r>
          </w:p>
        </w:tc>
        <w:tc>
          <w:tcPr>
            <w:tcW w:w="0" w:type="auto"/>
            <w:tcBorders>
              <w:top w:val="nil"/>
              <w:left w:val="nil"/>
              <w:bottom w:val="single" w:sz="4" w:space="0" w:color="auto"/>
              <w:right w:val="single" w:sz="4" w:space="0" w:color="auto"/>
            </w:tcBorders>
            <w:shd w:val="clear" w:color="auto" w:fill="auto"/>
            <w:vAlign w:val="center"/>
            <w:hideMark/>
          </w:tcPr>
          <w:p w14:paraId="1A490B10" w14:textId="77777777" w:rsidR="00572995" w:rsidRPr="00483EBE" w:rsidRDefault="00572995" w:rsidP="00E8324D">
            <w:pPr>
              <w:pStyle w:val="Tablas"/>
              <w:rPr>
                <w:sz w:val="12"/>
                <w:szCs w:val="12"/>
              </w:rPr>
            </w:pPr>
            <w:r w:rsidRPr="00483EBE">
              <w:rPr>
                <w:sz w:val="12"/>
                <w:szCs w:val="12"/>
              </w:rPr>
              <w:t>$135</w:t>
            </w:r>
          </w:p>
        </w:tc>
        <w:tc>
          <w:tcPr>
            <w:tcW w:w="0" w:type="auto"/>
            <w:tcBorders>
              <w:top w:val="nil"/>
              <w:left w:val="nil"/>
              <w:bottom w:val="single" w:sz="4" w:space="0" w:color="auto"/>
              <w:right w:val="single" w:sz="4" w:space="0" w:color="auto"/>
            </w:tcBorders>
            <w:shd w:val="clear" w:color="auto" w:fill="auto"/>
            <w:vAlign w:val="center"/>
            <w:hideMark/>
          </w:tcPr>
          <w:p w14:paraId="7F3A175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729D423C"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602E079"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76A525C"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4E64314" w14:textId="77777777" w:rsidR="00572995" w:rsidRPr="00483EBE" w:rsidRDefault="00572995" w:rsidP="00E8324D">
            <w:pPr>
              <w:pStyle w:val="Tablas"/>
              <w:rPr>
                <w:sz w:val="12"/>
                <w:szCs w:val="12"/>
              </w:rPr>
            </w:pPr>
            <w:r w:rsidRPr="00483EBE">
              <w:rPr>
                <w:sz w:val="12"/>
                <w:szCs w:val="12"/>
              </w:rPr>
              <w:t>$893</w:t>
            </w:r>
          </w:p>
        </w:tc>
        <w:tc>
          <w:tcPr>
            <w:tcW w:w="0" w:type="auto"/>
            <w:tcBorders>
              <w:top w:val="nil"/>
              <w:left w:val="nil"/>
              <w:bottom w:val="single" w:sz="4" w:space="0" w:color="auto"/>
              <w:right w:val="single" w:sz="4" w:space="0" w:color="auto"/>
            </w:tcBorders>
            <w:shd w:val="clear" w:color="auto" w:fill="auto"/>
            <w:vAlign w:val="center"/>
            <w:hideMark/>
          </w:tcPr>
          <w:p w14:paraId="60A81DD2" w14:textId="77777777" w:rsidR="00572995" w:rsidRPr="00483EBE" w:rsidRDefault="00572995" w:rsidP="00E8324D">
            <w:pPr>
              <w:pStyle w:val="Tablas"/>
              <w:rPr>
                <w:sz w:val="12"/>
                <w:szCs w:val="12"/>
              </w:rPr>
            </w:pPr>
            <w:r w:rsidRPr="00483EBE">
              <w:rPr>
                <w:sz w:val="12"/>
                <w:szCs w:val="12"/>
              </w:rPr>
              <w:t>$893</w:t>
            </w:r>
          </w:p>
        </w:tc>
        <w:tc>
          <w:tcPr>
            <w:tcW w:w="0" w:type="auto"/>
            <w:tcBorders>
              <w:top w:val="nil"/>
              <w:left w:val="nil"/>
              <w:bottom w:val="single" w:sz="4" w:space="0" w:color="auto"/>
              <w:right w:val="single" w:sz="4" w:space="0" w:color="auto"/>
            </w:tcBorders>
            <w:shd w:val="clear" w:color="auto" w:fill="auto"/>
            <w:vAlign w:val="center"/>
            <w:hideMark/>
          </w:tcPr>
          <w:p w14:paraId="2C8CED0A"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356E53C1"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48FD2A7" w14:textId="77777777" w:rsidR="00572995" w:rsidRPr="00483EBE" w:rsidRDefault="00572995" w:rsidP="00E8324D">
            <w:pPr>
              <w:pStyle w:val="Tablas"/>
              <w:rPr>
                <w:sz w:val="12"/>
                <w:szCs w:val="12"/>
              </w:rPr>
            </w:pPr>
            <w:r w:rsidRPr="00483EBE">
              <w:rPr>
                <w:sz w:val="12"/>
                <w:szCs w:val="12"/>
              </w:rPr>
              <w:t>SM</w:t>
            </w:r>
          </w:p>
        </w:tc>
      </w:tr>
      <w:tr w:rsidR="00572995" w:rsidRPr="00483EBE" w14:paraId="0CDB36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8468CD4" w14:textId="77777777" w:rsidR="00572995" w:rsidRPr="00483EBE" w:rsidRDefault="00572995" w:rsidP="00E8324D">
            <w:pPr>
              <w:pStyle w:val="Tablas"/>
              <w:rPr>
                <w:sz w:val="12"/>
                <w:szCs w:val="12"/>
              </w:rPr>
            </w:pPr>
            <w:r w:rsidRPr="00483EBE">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75958557"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04296321" w14:textId="77777777" w:rsidR="00572995" w:rsidRPr="00483EBE" w:rsidRDefault="00572995" w:rsidP="00E8324D">
            <w:pPr>
              <w:pStyle w:val="Tablas"/>
              <w:rPr>
                <w:sz w:val="12"/>
                <w:szCs w:val="12"/>
              </w:rPr>
            </w:pPr>
            <w:r w:rsidRPr="00483EBE">
              <w:rPr>
                <w:sz w:val="12"/>
                <w:szCs w:val="12"/>
              </w:rPr>
              <w:t>$63,626</w:t>
            </w:r>
          </w:p>
        </w:tc>
        <w:tc>
          <w:tcPr>
            <w:tcW w:w="0" w:type="auto"/>
            <w:tcBorders>
              <w:top w:val="nil"/>
              <w:left w:val="nil"/>
              <w:bottom w:val="single" w:sz="4" w:space="0" w:color="auto"/>
              <w:right w:val="single" w:sz="4" w:space="0" w:color="auto"/>
            </w:tcBorders>
            <w:shd w:val="clear" w:color="auto" w:fill="auto"/>
            <w:vAlign w:val="center"/>
            <w:hideMark/>
          </w:tcPr>
          <w:p w14:paraId="42CC9AAA" w14:textId="77777777" w:rsidR="00572995" w:rsidRPr="00483EBE" w:rsidRDefault="00572995" w:rsidP="00E8324D">
            <w:pPr>
              <w:pStyle w:val="Tablas"/>
              <w:rPr>
                <w:sz w:val="12"/>
                <w:szCs w:val="12"/>
              </w:rPr>
            </w:pPr>
            <w:r w:rsidRPr="00483EBE">
              <w:rPr>
                <w:sz w:val="12"/>
                <w:szCs w:val="12"/>
              </w:rPr>
              <w:t>$1,988</w:t>
            </w:r>
          </w:p>
        </w:tc>
        <w:tc>
          <w:tcPr>
            <w:tcW w:w="0" w:type="auto"/>
            <w:tcBorders>
              <w:top w:val="nil"/>
              <w:left w:val="nil"/>
              <w:bottom w:val="single" w:sz="4" w:space="0" w:color="auto"/>
              <w:right w:val="single" w:sz="4" w:space="0" w:color="auto"/>
            </w:tcBorders>
            <w:shd w:val="clear" w:color="auto" w:fill="auto"/>
            <w:vAlign w:val="center"/>
            <w:hideMark/>
          </w:tcPr>
          <w:p w14:paraId="3E565602" w14:textId="77777777" w:rsidR="00572995" w:rsidRPr="00483EBE" w:rsidRDefault="00572995" w:rsidP="00E8324D">
            <w:pPr>
              <w:pStyle w:val="Tablas"/>
              <w:rPr>
                <w:sz w:val="12"/>
                <w:szCs w:val="12"/>
              </w:rPr>
            </w:pPr>
            <w:r w:rsidRPr="00483EBE">
              <w:rPr>
                <w:sz w:val="12"/>
                <w:szCs w:val="12"/>
              </w:rPr>
              <w:t>$166</w:t>
            </w:r>
          </w:p>
        </w:tc>
        <w:tc>
          <w:tcPr>
            <w:tcW w:w="0" w:type="auto"/>
            <w:tcBorders>
              <w:top w:val="nil"/>
              <w:left w:val="nil"/>
              <w:bottom w:val="single" w:sz="4" w:space="0" w:color="auto"/>
              <w:right w:val="single" w:sz="4" w:space="0" w:color="auto"/>
            </w:tcBorders>
            <w:shd w:val="clear" w:color="auto" w:fill="auto"/>
            <w:vAlign w:val="center"/>
            <w:hideMark/>
          </w:tcPr>
          <w:p w14:paraId="112E53E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956BD0F"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9FBBFE"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DFBED6B"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04CFFC2A" w14:textId="77777777" w:rsidR="00572995" w:rsidRPr="00483EBE" w:rsidRDefault="00572995" w:rsidP="00E8324D">
            <w:pPr>
              <w:pStyle w:val="Tablas"/>
              <w:rPr>
                <w:sz w:val="12"/>
                <w:szCs w:val="12"/>
              </w:rPr>
            </w:pPr>
            <w:r w:rsidRPr="00483EBE">
              <w:rPr>
                <w:sz w:val="12"/>
                <w:szCs w:val="12"/>
              </w:rPr>
              <w:t>$3,438</w:t>
            </w:r>
          </w:p>
        </w:tc>
        <w:tc>
          <w:tcPr>
            <w:tcW w:w="0" w:type="auto"/>
            <w:tcBorders>
              <w:top w:val="nil"/>
              <w:left w:val="nil"/>
              <w:bottom w:val="single" w:sz="4" w:space="0" w:color="auto"/>
              <w:right w:val="single" w:sz="4" w:space="0" w:color="auto"/>
            </w:tcBorders>
            <w:shd w:val="clear" w:color="auto" w:fill="auto"/>
            <w:vAlign w:val="center"/>
            <w:hideMark/>
          </w:tcPr>
          <w:p w14:paraId="3A098604" w14:textId="77777777" w:rsidR="00572995" w:rsidRPr="00483EBE" w:rsidRDefault="00572995" w:rsidP="00E8324D">
            <w:pPr>
              <w:pStyle w:val="Tablas"/>
              <w:rPr>
                <w:sz w:val="12"/>
                <w:szCs w:val="12"/>
              </w:rPr>
            </w:pPr>
            <w:r w:rsidRPr="00483EBE">
              <w:rPr>
                <w:sz w:val="12"/>
                <w:szCs w:val="12"/>
              </w:rPr>
              <w:t>$860</w:t>
            </w:r>
          </w:p>
        </w:tc>
        <w:tc>
          <w:tcPr>
            <w:tcW w:w="0" w:type="auto"/>
            <w:tcBorders>
              <w:top w:val="nil"/>
              <w:left w:val="nil"/>
              <w:bottom w:val="single" w:sz="4" w:space="0" w:color="auto"/>
              <w:right w:val="single" w:sz="4" w:space="0" w:color="auto"/>
            </w:tcBorders>
            <w:shd w:val="clear" w:color="auto" w:fill="auto"/>
            <w:vAlign w:val="center"/>
            <w:hideMark/>
          </w:tcPr>
          <w:p w14:paraId="1A67081E"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7DAF375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5EC147F" w14:textId="77777777" w:rsidR="00572995" w:rsidRPr="00483EBE" w:rsidRDefault="00572995" w:rsidP="00E8324D">
            <w:pPr>
              <w:pStyle w:val="Tablas"/>
              <w:rPr>
                <w:sz w:val="12"/>
                <w:szCs w:val="12"/>
              </w:rPr>
            </w:pPr>
            <w:r w:rsidRPr="00483EBE">
              <w:rPr>
                <w:sz w:val="12"/>
                <w:szCs w:val="12"/>
              </w:rPr>
              <w:t>SM</w:t>
            </w:r>
          </w:p>
        </w:tc>
      </w:tr>
      <w:tr w:rsidR="00572995" w:rsidRPr="00483EBE" w14:paraId="38ED99A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0B3DDD1"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1F5174C4"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12F954E1" w14:textId="77777777" w:rsidR="00572995" w:rsidRPr="00483EBE" w:rsidRDefault="00572995" w:rsidP="00E8324D">
            <w:pPr>
              <w:pStyle w:val="Tablas"/>
              <w:rPr>
                <w:sz w:val="12"/>
                <w:szCs w:val="12"/>
              </w:rPr>
            </w:pPr>
            <w:r w:rsidRPr="00483EBE">
              <w:rPr>
                <w:sz w:val="12"/>
                <w:szCs w:val="12"/>
              </w:rPr>
              <w:t>$44,919</w:t>
            </w:r>
          </w:p>
        </w:tc>
        <w:tc>
          <w:tcPr>
            <w:tcW w:w="0" w:type="auto"/>
            <w:tcBorders>
              <w:top w:val="nil"/>
              <w:left w:val="nil"/>
              <w:bottom w:val="single" w:sz="4" w:space="0" w:color="auto"/>
              <w:right w:val="single" w:sz="4" w:space="0" w:color="auto"/>
            </w:tcBorders>
            <w:shd w:val="clear" w:color="auto" w:fill="auto"/>
            <w:vAlign w:val="center"/>
            <w:hideMark/>
          </w:tcPr>
          <w:p w14:paraId="0239EEC5" w14:textId="77777777" w:rsidR="00572995" w:rsidRPr="00483EBE" w:rsidRDefault="00572995" w:rsidP="00E8324D">
            <w:pPr>
              <w:pStyle w:val="Tablas"/>
              <w:rPr>
                <w:sz w:val="12"/>
                <w:szCs w:val="12"/>
              </w:rPr>
            </w:pPr>
            <w:r w:rsidRPr="00483EBE">
              <w:rPr>
                <w:sz w:val="12"/>
                <w:szCs w:val="12"/>
              </w:rPr>
              <w:t>$1,604</w:t>
            </w:r>
          </w:p>
        </w:tc>
        <w:tc>
          <w:tcPr>
            <w:tcW w:w="0" w:type="auto"/>
            <w:tcBorders>
              <w:top w:val="nil"/>
              <w:left w:val="nil"/>
              <w:bottom w:val="single" w:sz="4" w:space="0" w:color="auto"/>
              <w:right w:val="single" w:sz="4" w:space="0" w:color="auto"/>
            </w:tcBorders>
            <w:shd w:val="clear" w:color="auto" w:fill="auto"/>
            <w:vAlign w:val="center"/>
            <w:hideMark/>
          </w:tcPr>
          <w:p w14:paraId="0389A36F" w14:textId="77777777" w:rsidR="00572995" w:rsidRPr="00483EBE" w:rsidRDefault="00572995" w:rsidP="00E8324D">
            <w:pPr>
              <w:pStyle w:val="Tablas"/>
              <w:rPr>
                <w:sz w:val="12"/>
                <w:szCs w:val="12"/>
              </w:rPr>
            </w:pPr>
            <w:r w:rsidRPr="00483EBE">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524F7EB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EBD157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6ECCBAC"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054E58B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9AED035" w14:textId="77777777" w:rsidR="00572995" w:rsidRPr="00483EBE" w:rsidRDefault="00572995" w:rsidP="00E8324D">
            <w:pPr>
              <w:pStyle w:val="Tablas"/>
              <w:rPr>
                <w:sz w:val="12"/>
                <w:szCs w:val="12"/>
              </w:rPr>
            </w:pPr>
            <w:r w:rsidRPr="00483EBE">
              <w:rPr>
                <w:sz w:val="12"/>
                <w:szCs w:val="12"/>
              </w:rPr>
              <w:t>$1,672</w:t>
            </w:r>
          </w:p>
        </w:tc>
        <w:tc>
          <w:tcPr>
            <w:tcW w:w="0" w:type="auto"/>
            <w:tcBorders>
              <w:top w:val="nil"/>
              <w:left w:val="nil"/>
              <w:bottom w:val="single" w:sz="4" w:space="0" w:color="auto"/>
              <w:right w:val="single" w:sz="4" w:space="0" w:color="auto"/>
            </w:tcBorders>
            <w:shd w:val="clear" w:color="auto" w:fill="auto"/>
            <w:vAlign w:val="center"/>
            <w:hideMark/>
          </w:tcPr>
          <w:p w14:paraId="327645AA" w14:textId="77777777" w:rsidR="00572995" w:rsidRPr="00483EBE" w:rsidRDefault="00572995" w:rsidP="00E8324D">
            <w:pPr>
              <w:pStyle w:val="Tablas"/>
              <w:rPr>
                <w:sz w:val="12"/>
                <w:szCs w:val="12"/>
              </w:rPr>
            </w:pPr>
            <w:r w:rsidRPr="00483EBE">
              <w:rPr>
                <w:sz w:val="12"/>
                <w:szCs w:val="12"/>
              </w:rPr>
              <w:t>$836</w:t>
            </w:r>
          </w:p>
        </w:tc>
        <w:tc>
          <w:tcPr>
            <w:tcW w:w="0" w:type="auto"/>
            <w:tcBorders>
              <w:top w:val="nil"/>
              <w:left w:val="nil"/>
              <w:bottom w:val="single" w:sz="4" w:space="0" w:color="auto"/>
              <w:right w:val="single" w:sz="4" w:space="0" w:color="auto"/>
            </w:tcBorders>
            <w:shd w:val="clear" w:color="auto" w:fill="auto"/>
            <w:vAlign w:val="center"/>
            <w:hideMark/>
          </w:tcPr>
          <w:p w14:paraId="7E5B5E60"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12407DF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F2E2927" w14:textId="77777777" w:rsidR="00572995" w:rsidRPr="00483EBE" w:rsidRDefault="00572995" w:rsidP="00E8324D">
            <w:pPr>
              <w:pStyle w:val="Tablas"/>
              <w:rPr>
                <w:sz w:val="12"/>
                <w:szCs w:val="12"/>
              </w:rPr>
            </w:pPr>
            <w:r w:rsidRPr="00483EBE">
              <w:rPr>
                <w:sz w:val="12"/>
                <w:szCs w:val="12"/>
              </w:rPr>
              <w:t>SM</w:t>
            </w:r>
          </w:p>
        </w:tc>
      </w:tr>
      <w:tr w:rsidR="00572995" w:rsidRPr="00483EBE" w14:paraId="01588FE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E2B94E0"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38FB119E"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12DFB5BD" w14:textId="77777777" w:rsidR="00572995" w:rsidRPr="00483EBE" w:rsidRDefault="00572995" w:rsidP="00E8324D">
            <w:pPr>
              <w:pStyle w:val="Tablas"/>
              <w:rPr>
                <w:sz w:val="12"/>
                <w:szCs w:val="12"/>
              </w:rPr>
            </w:pPr>
            <w:r w:rsidRPr="00483EBE">
              <w:rPr>
                <w:sz w:val="12"/>
                <w:szCs w:val="12"/>
              </w:rPr>
              <w:t>$35,616</w:t>
            </w:r>
          </w:p>
        </w:tc>
        <w:tc>
          <w:tcPr>
            <w:tcW w:w="0" w:type="auto"/>
            <w:tcBorders>
              <w:top w:val="nil"/>
              <w:left w:val="nil"/>
              <w:bottom w:val="single" w:sz="4" w:space="0" w:color="auto"/>
              <w:right w:val="single" w:sz="4" w:space="0" w:color="auto"/>
            </w:tcBorders>
            <w:shd w:val="clear" w:color="auto" w:fill="auto"/>
            <w:vAlign w:val="center"/>
            <w:hideMark/>
          </w:tcPr>
          <w:p w14:paraId="2B4BD73F" w14:textId="77777777" w:rsidR="00572995" w:rsidRPr="00483EBE" w:rsidRDefault="00572995" w:rsidP="00E8324D">
            <w:pPr>
              <w:pStyle w:val="Tablas"/>
              <w:rPr>
                <w:sz w:val="12"/>
                <w:szCs w:val="12"/>
              </w:rPr>
            </w:pPr>
            <w:r w:rsidRPr="00483EBE">
              <w:rPr>
                <w:sz w:val="12"/>
                <w:szCs w:val="12"/>
              </w:rPr>
              <w:t>$1,319</w:t>
            </w:r>
          </w:p>
        </w:tc>
        <w:tc>
          <w:tcPr>
            <w:tcW w:w="0" w:type="auto"/>
            <w:tcBorders>
              <w:top w:val="nil"/>
              <w:left w:val="nil"/>
              <w:bottom w:val="single" w:sz="4" w:space="0" w:color="auto"/>
              <w:right w:val="single" w:sz="4" w:space="0" w:color="auto"/>
            </w:tcBorders>
            <w:shd w:val="clear" w:color="auto" w:fill="auto"/>
            <w:vAlign w:val="center"/>
            <w:hideMark/>
          </w:tcPr>
          <w:p w14:paraId="178D5F96"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2598ACD9"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D2BD2E0"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45D79B"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236D3572"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FA80B9D" w14:textId="77777777" w:rsidR="00572995" w:rsidRPr="00483EBE" w:rsidRDefault="00572995" w:rsidP="00E8324D">
            <w:pPr>
              <w:pStyle w:val="Tablas"/>
              <w:rPr>
                <w:sz w:val="12"/>
                <w:szCs w:val="12"/>
              </w:rPr>
            </w:pPr>
            <w:r w:rsidRPr="00483EBE">
              <w:rPr>
                <w:sz w:val="12"/>
                <w:szCs w:val="12"/>
              </w:rPr>
              <w:t>$3,085</w:t>
            </w:r>
          </w:p>
        </w:tc>
        <w:tc>
          <w:tcPr>
            <w:tcW w:w="0" w:type="auto"/>
            <w:tcBorders>
              <w:top w:val="nil"/>
              <w:left w:val="nil"/>
              <w:bottom w:val="single" w:sz="4" w:space="0" w:color="auto"/>
              <w:right w:val="single" w:sz="4" w:space="0" w:color="auto"/>
            </w:tcBorders>
            <w:shd w:val="clear" w:color="auto" w:fill="auto"/>
            <w:vAlign w:val="center"/>
            <w:hideMark/>
          </w:tcPr>
          <w:p w14:paraId="5CD25E86" w14:textId="77777777" w:rsidR="00572995" w:rsidRPr="00483EBE" w:rsidRDefault="00572995" w:rsidP="00E8324D">
            <w:pPr>
              <w:pStyle w:val="Tablas"/>
              <w:rPr>
                <w:sz w:val="12"/>
                <w:szCs w:val="12"/>
              </w:rPr>
            </w:pPr>
            <w:r w:rsidRPr="00483EBE">
              <w:rPr>
                <w:sz w:val="12"/>
                <w:szCs w:val="12"/>
              </w:rPr>
              <w:t>$771</w:t>
            </w:r>
          </w:p>
        </w:tc>
        <w:tc>
          <w:tcPr>
            <w:tcW w:w="0" w:type="auto"/>
            <w:tcBorders>
              <w:top w:val="nil"/>
              <w:left w:val="nil"/>
              <w:bottom w:val="single" w:sz="4" w:space="0" w:color="auto"/>
              <w:right w:val="single" w:sz="4" w:space="0" w:color="auto"/>
            </w:tcBorders>
            <w:shd w:val="clear" w:color="auto" w:fill="auto"/>
            <w:vAlign w:val="center"/>
            <w:hideMark/>
          </w:tcPr>
          <w:p w14:paraId="0D812861"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2EF6C1B8"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4B727753" w14:textId="77777777" w:rsidR="00572995" w:rsidRPr="00483EBE" w:rsidRDefault="00572995" w:rsidP="00E8324D">
            <w:pPr>
              <w:pStyle w:val="Tablas"/>
              <w:rPr>
                <w:sz w:val="12"/>
                <w:szCs w:val="12"/>
              </w:rPr>
            </w:pPr>
            <w:r w:rsidRPr="00483EBE">
              <w:rPr>
                <w:sz w:val="12"/>
                <w:szCs w:val="12"/>
              </w:rPr>
              <w:t>SM</w:t>
            </w:r>
          </w:p>
        </w:tc>
      </w:tr>
      <w:tr w:rsidR="00572995" w:rsidRPr="00483EBE" w14:paraId="206559B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D968310"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22EE257" w14:textId="77777777" w:rsidR="00572995" w:rsidRPr="00483EBE" w:rsidRDefault="00572995" w:rsidP="00E8324D">
            <w:pPr>
              <w:pStyle w:val="Tablas"/>
              <w:rPr>
                <w:sz w:val="12"/>
                <w:szCs w:val="12"/>
              </w:rPr>
            </w:pPr>
            <w:r w:rsidRPr="00483EBE">
              <w:rPr>
                <w:sz w:val="12"/>
                <w:szCs w:val="12"/>
              </w:rPr>
              <w:t xml:space="preserve">27 </w:t>
            </w:r>
          </w:p>
        </w:tc>
        <w:tc>
          <w:tcPr>
            <w:tcW w:w="0" w:type="auto"/>
            <w:tcBorders>
              <w:top w:val="nil"/>
              <w:left w:val="nil"/>
              <w:bottom w:val="single" w:sz="4" w:space="0" w:color="auto"/>
              <w:right w:val="single" w:sz="4" w:space="0" w:color="auto"/>
            </w:tcBorders>
            <w:shd w:val="clear" w:color="auto" w:fill="auto"/>
            <w:vAlign w:val="center"/>
            <w:hideMark/>
          </w:tcPr>
          <w:p w14:paraId="6BAE0DA0" w14:textId="77777777" w:rsidR="00572995" w:rsidRPr="00483EBE" w:rsidRDefault="00572995" w:rsidP="00E8324D">
            <w:pPr>
              <w:pStyle w:val="Tablas"/>
              <w:rPr>
                <w:sz w:val="12"/>
                <w:szCs w:val="12"/>
              </w:rPr>
            </w:pPr>
            <w:r w:rsidRPr="00483EBE">
              <w:rPr>
                <w:sz w:val="12"/>
                <w:szCs w:val="12"/>
              </w:rPr>
              <w:t>$46,805</w:t>
            </w:r>
          </w:p>
        </w:tc>
        <w:tc>
          <w:tcPr>
            <w:tcW w:w="0" w:type="auto"/>
            <w:tcBorders>
              <w:top w:val="nil"/>
              <w:left w:val="nil"/>
              <w:bottom w:val="single" w:sz="4" w:space="0" w:color="auto"/>
              <w:right w:val="single" w:sz="4" w:space="0" w:color="auto"/>
            </w:tcBorders>
            <w:shd w:val="clear" w:color="auto" w:fill="auto"/>
            <w:vAlign w:val="center"/>
            <w:hideMark/>
          </w:tcPr>
          <w:p w14:paraId="0F4DB428" w14:textId="77777777" w:rsidR="00572995" w:rsidRPr="00483EBE" w:rsidRDefault="00572995" w:rsidP="00E8324D">
            <w:pPr>
              <w:pStyle w:val="Tablas"/>
              <w:rPr>
                <w:sz w:val="12"/>
                <w:szCs w:val="12"/>
              </w:rPr>
            </w:pPr>
            <w:r w:rsidRPr="00483EBE">
              <w:rPr>
                <w:sz w:val="12"/>
                <w:szCs w:val="12"/>
              </w:rPr>
              <w:t>$1,734</w:t>
            </w:r>
          </w:p>
        </w:tc>
        <w:tc>
          <w:tcPr>
            <w:tcW w:w="0" w:type="auto"/>
            <w:tcBorders>
              <w:top w:val="nil"/>
              <w:left w:val="nil"/>
              <w:bottom w:val="single" w:sz="4" w:space="0" w:color="auto"/>
              <w:right w:val="single" w:sz="4" w:space="0" w:color="auto"/>
            </w:tcBorders>
            <w:shd w:val="clear" w:color="auto" w:fill="auto"/>
            <w:vAlign w:val="center"/>
            <w:hideMark/>
          </w:tcPr>
          <w:p w14:paraId="33050DEA" w14:textId="77777777" w:rsidR="00572995" w:rsidRPr="00483EBE" w:rsidRDefault="00572995" w:rsidP="00E8324D">
            <w:pPr>
              <w:pStyle w:val="Tablas"/>
              <w:rPr>
                <w:sz w:val="12"/>
                <w:szCs w:val="12"/>
              </w:rPr>
            </w:pPr>
            <w:r w:rsidRPr="00483EBE">
              <w:rPr>
                <w:sz w:val="12"/>
                <w:szCs w:val="12"/>
              </w:rPr>
              <w:t>$144</w:t>
            </w:r>
          </w:p>
        </w:tc>
        <w:tc>
          <w:tcPr>
            <w:tcW w:w="0" w:type="auto"/>
            <w:tcBorders>
              <w:top w:val="nil"/>
              <w:left w:val="nil"/>
              <w:bottom w:val="single" w:sz="4" w:space="0" w:color="auto"/>
              <w:right w:val="single" w:sz="4" w:space="0" w:color="auto"/>
            </w:tcBorders>
            <w:shd w:val="clear" w:color="auto" w:fill="auto"/>
            <w:vAlign w:val="center"/>
            <w:hideMark/>
          </w:tcPr>
          <w:p w14:paraId="63F3AA5D"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5DBA24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EC63BE"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78BB387A"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17292F6" w14:textId="77777777" w:rsidR="00572995" w:rsidRPr="00483EBE" w:rsidRDefault="00572995" w:rsidP="00E8324D">
            <w:pPr>
              <w:pStyle w:val="Tablas"/>
              <w:rPr>
                <w:sz w:val="12"/>
                <w:szCs w:val="12"/>
              </w:rPr>
            </w:pPr>
            <w:r w:rsidRPr="00483EBE">
              <w:rPr>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14:paraId="637CBDE8" w14:textId="77777777" w:rsidR="00572995" w:rsidRPr="00483EBE" w:rsidRDefault="00572995" w:rsidP="00E8324D">
            <w:pPr>
              <w:pStyle w:val="Tablas"/>
              <w:rPr>
                <w:sz w:val="12"/>
                <w:szCs w:val="12"/>
              </w:rPr>
            </w:pPr>
            <w:r w:rsidRPr="00483EBE">
              <w:rPr>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14:paraId="438E659E"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48DD2D4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681FA0B6" w14:textId="77777777" w:rsidR="00572995" w:rsidRPr="00483EBE" w:rsidRDefault="00572995" w:rsidP="00E8324D">
            <w:pPr>
              <w:pStyle w:val="Tablas"/>
              <w:rPr>
                <w:sz w:val="12"/>
                <w:szCs w:val="12"/>
              </w:rPr>
            </w:pPr>
            <w:r w:rsidRPr="00483EBE">
              <w:rPr>
                <w:sz w:val="12"/>
                <w:szCs w:val="12"/>
              </w:rPr>
              <w:t>SM</w:t>
            </w:r>
          </w:p>
        </w:tc>
      </w:tr>
      <w:tr w:rsidR="00572995" w:rsidRPr="00483EBE" w14:paraId="4F3F0DA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B303F2F"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34F4EFA0"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3399A937" w14:textId="77777777" w:rsidR="00572995" w:rsidRPr="00483EBE" w:rsidRDefault="00572995" w:rsidP="00E8324D">
            <w:pPr>
              <w:pStyle w:val="Tablas"/>
              <w:rPr>
                <w:sz w:val="12"/>
                <w:szCs w:val="12"/>
              </w:rPr>
            </w:pPr>
            <w:r w:rsidRPr="00483EBE">
              <w:rPr>
                <w:sz w:val="12"/>
                <w:szCs w:val="12"/>
              </w:rPr>
              <w:t>$39,241</w:t>
            </w:r>
          </w:p>
        </w:tc>
        <w:tc>
          <w:tcPr>
            <w:tcW w:w="0" w:type="auto"/>
            <w:tcBorders>
              <w:top w:val="nil"/>
              <w:left w:val="nil"/>
              <w:bottom w:val="single" w:sz="4" w:space="0" w:color="auto"/>
              <w:right w:val="single" w:sz="4" w:space="0" w:color="auto"/>
            </w:tcBorders>
            <w:shd w:val="clear" w:color="auto" w:fill="auto"/>
            <w:vAlign w:val="center"/>
            <w:hideMark/>
          </w:tcPr>
          <w:p w14:paraId="28FD5F86" w14:textId="77777777" w:rsidR="00572995" w:rsidRPr="00483EBE" w:rsidRDefault="00572995" w:rsidP="00E8324D">
            <w:pPr>
              <w:pStyle w:val="Tablas"/>
              <w:rPr>
                <w:sz w:val="12"/>
                <w:szCs w:val="12"/>
              </w:rPr>
            </w:pPr>
            <w:r w:rsidRPr="00483EBE">
              <w:rPr>
                <w:sz w:val="12"/>
                <w:szCs w:val="12"/>
              </w:rPr>
              <w:t>$2,180</w:t>
            </w:r>
          </w:p>
        </w:tc>
        <w:tc>
          <w:tcPr>
            <w:tcW w:w="0" w:type="auto"/>
            <w:tcBorders>
              <w:top w:val="nil"/>
              <w:left w:val="nil"/>
              <w:bottom w:val="single" w:sz="4" w:space="0" w:color="auto"/>
              <w:right w:val="single" w:sz="4" w:space="0" w:color="auto"/>
            </w:tcBorders>
            <w:shd w:val="clear" w:color="auto" w:fill="auto"/>
            <w:vAlign w:val="center"/>
            <w:hideMark/>
          </w:tcPr>
          <w:p w14:paraId="1B466888" w14:textId="77777777" w:rsidR="00572995" w:rsidRPr="00483EBE" w:rsidRDefault="00572995" w:rsidP="00E8324D">
            <w:pPr>
              <w:pStyle w:val="Tablas"/>
              <w:rPr>
                <w:sz w:val="12"/>
                <w:szCs w:val="12"/>
              </w:rPr>
            </w:pPr>
            <w:r w:rsidRPr="00483EBE">
              <w:rPr>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14:paraId="7724DC81"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C2C3C6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16C2F1"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0C416AE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4ADC640" w14:textId="77777777" w:rsidR="00572995" w:rsidRPr="00483EBE" w:rsidRDefault="00572995" w:rsidP="00E8324D">
            <w:pPr>
              <w:pStyle w:val="Tablas"/>
              <w:rPr>
                <w:sz w:val="12"/>
                <w:szCs w:val="12"/>
              </w:rPr>
            </w:pPr>
            <w:r w:rsidRPr="00483EBE">
              <w:rPr>
                <w:sz w:val="12"/>
                <w:szCs w:val="12"/>
              </w:rPr>
              <w:t>$1,547</w:t>
            </w:r>
          </w:p>
        </w:tc>
        <w:tc>
          <w:tcPr>
            <w:tcW w:w="0" w:type="auto"/>
            <w:tcBorders>
              <w:top w:val="nil"/>
              <w:left w:val="nil"/>
              <w:bottom w:val="single" w:sz="4" w:space="0" w:color="auto"/>
              <w:right w:val="single" w:sz="4" w:space="0" w:color="auto"/>
            </w:tcBorders>
            <w:shd w:val="clear" w:color="auto" w:fill="auto"/>
            <w:vAlign w:val="center"/>
            <w:hideMark/>
          </w:tcPr>
          <w:p w14:paraId="599B6BE7" w14:textId="77777777" w:rsidR="00572995" w:rsidRPr="00483EBE" w:rsidRDefault="00572995" w:rsidP="00E8324D">
            <w:pPr>
              <w:pStyle w:val="Tablas"/>
              <w:rPr>
                <w:sz w:val="12"/>
                <w:szCs w:val="12"/>
              </w:rPr>
            </w:pPr>
            <w:r w:rsidRPr="00483EBE">
              <w:rPr>
                <w:sz w:val="12"/>
                <w:szCs w:val="12"/>
              </w:rPr>
              <w:t>$773</w:t>
            </w:r>
          </w:p>
        </w:tc>
        <w:tc>
          <w:tcPr>
            <w:tcW w:w="0" w:type="auto"/>
            <w:tcBorders>
              <w:top w:val="nil"/>
              <w:left w:val="nil"/>
              <w:bottom w:val="single" w:sz="4" w:space="0" w:color="auto"/>
              <w:right w:val="single" w:sz="4" w:space="0" w:color="auto"/>
            </w:tcBorders>
            <w:shd w:val="clear" w:color="auto" w:fill="auto"/>
            <w:vAlign w:val="center"/>
            <w:hideMark/>
          </w:tcPr>
          <w:p w14:paraId="3A8750EA"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7437EC3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206EA1BA" w14:textId="77777777" w:rsidR="00572995" w:rsidRPr="00483EBE" w:rsidRDefault="00572995" w:rsidP="00E8324D">
            <w:pPr>
              <w:pStyle w:val="Tablas"/>
              <w:rPr>
                <w:sz w:val="12"/>
                <w:szCs w:val="12"/>
              </w:rPr>
            </w:pPr>
            <w:r w:rsidRPr="00483EBE">
              <w:rPr>
                <w:sz w:val="12"/>
                <w:szCs w:val="12"/>
              </w:rPr>
              <w:t>SM</w:t>
            </w:r>
          </w:p>
        </w:tc>
      </w:tr>
      <w:tr w:rsidR="00572995" w:rsidRPr="00483EBE" w14:paraId="01C94A0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0FB722B"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0957C5CC" w14:textId="77777777" w:rsidR="00572995" w:rsidRPr="00483EBE" w:rsidRDefault="00572995" w:rsidP="00E8324D">
            <w:pPr>
              <w:pStyle w:val="Tablas"/>
              <w:rPr>
                <w:sz w:val="12"/>
                <w:szCs w:val="12"/>
              </w:rPr>
            </w:pPr>
            <w:r w:rsidRPr="00483EBE">
              <w:rPr>
                <w:sz w:val="12"/>
                <w:szCs w:val="12"/>
              </w:rPr>
              <w:t xml:space="preserve">31 </w:t>
            </w:r>
          </w:p>
        </w:tc>
        <w:tc>
          <w:tcPr>
            <w:tcW w:w="0" w:type="auto"/>
            <w:tcBorders>
              <w:top w:val="nil"/>
              <w:left w:val="nil"/>
              <w:bottom w:val="single" w:sz="4" w:space="0" w:color="auto"/>
              <w:right w:val="single" w:sz="4" w:space="0" w:color="auto"/>
            </w:tcBorders>
            <w:shd w:val="clear" w:color="auto" w:fill="auto"/>
            <w:vAlign w:val="center"/>
            <w:hideMark/>
          </w:tcPr>
          <w:p w14:paraId="074BE55A" w14:textId="77777777" w:rsidR="00572995" w:rsidRPr="00483EBE" w:rsidRDefault="00572995" w:rsidP="00E8324D">
            <w:pPr>
              <w:pStyle w:val="Tablas"/>
              <w:rPr>
                <w:sz w:val="12"/>
                <w:szCs w:val="12"/>
              </w:rPr>
            </w:pPr>
            <w:r w:rsidRPr="00483EBE">
              <w:rPr>
                <w:sz w:val="12"/>
                <w:szCs w:val="12"/>
              </w:rPr>
              <w:t>$50,416</w:t>
            </w:r>
          </w:p>
        </w:tc>
        <w:tc>
          <w:tcPr>
            <w:tcW w:w="0" w:type="auto"/>
            <w:tcBorders>
              <w:top w:val="nil"/>
              <w:left w:val="nil"/>
              <w:bottom w:val="single" w:sz="4" w:space="0" w:color="auto"/>
              <w:right w:val="single" w:sz="4" w:space="0" w:color="auto"/>
            </w:tcBorders>
            <w:shd w:val="clear" w:color="auto" w:fill="auto"/>
            <w:vAlign w:val="center"/>
            <w:hideMark/>
          </w:tcPr>
          <w:p w14:paraId="05AA50B1" w14:textId="77777777" w:rsidR="00572995" w:rsidRPr="00483EBE" w:rsidRDefault="00572995" w:rsidP="00E8324D">
            <w:pPr>
              <w:pStyle w:val="Tablas"/>
              <w:rPr>
                <w:sz w:val="12"/>
                <w:szCs w:val="12"/>
              </w:rPr>
            </w:pPr>
            <w:r w:rsidRPr="00483EBE">
              <w:rPr>
                <w:sz w:val="12"/>
                <w:szCs w:val="12"/>
              </w:rPr>
              <w:t>$1,626</w:t>
            </w:r>
          </w:p>
        </w:tc>
        <w:tc>
          <w:tcPr>
            <w:tcW w:w="0" w:type="auto"/>
            <w:tcBorders>
              <w:top w:val="nil"/>
              <w:left w:val="nil"/>
              <w:bottom w:val="single" w:sz="4" w:space="0" w:color="auto"/>
              <w:right w:val="single" w:sz="4" w:space="0" w:color="auto"/>
            </w:tcBorders>
            <w:shd w:val="clear" w:color="auto" w:fill="auto"/>
            <w:vAlign w:val="center"/>
            <w:hideMark/>
          </w:tcPr>
          <w:p w14:paraId="71E6431B" w14:textId="77777777" w:rsidR="00572995" w:rsidRPr="00483EBE" w:rsidRDefault="00572995" w:rsidP="00E8324D">
            <w:pPr>
              <w:pStyle w:val="Tablas"/>
              <w:rPr>
                <w:sz w:val="12"/>
                <w:szCs w:val="12"/>
              </w:rPr>
            </w:pPr>
            <w:r w:rsidRPr="00483EBE">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29A9547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01A94E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6D0224F"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29C1253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1BD73D6" w14:textId="77777777" w:rsidR="00572995" w:rsidRPr="00483EBE" w:rsidRDefault="00572995" w:rsidP="00E8324D">
            <w:pPr>
              <w:pStyle w:val="Tablas"/>
              <w:rPr>
                <w:sz w:val="12"/>
                <w:szCs w:val="12"/>
              </w:rPr>
            </w:pPr>
            <w:r w:rsidRPr="00483EBE">
              <w:rPr>
                <w:sz w:val="12"/>
                <w:szCs w:val="12"/>
              </w:rPr>
              <w:t>$555</w:t>
            </w:r>
          </w:p>
        </w:tc>
        <w:tc>
          <w:tcPr>
            <w:tcW w:w="0" w:type="auto"/>
            <w:tcBorders>
              <w:top w:val="nil"/>
              <w:left w:val="nil"/>
              <w:bottom w:val="single" w:sz="4" w:space="0" w:color="auto"/>
              <w:right w:val="single" w:sz="4" w:space="0" w:color="auto"/>
            </w:tcBorders>
            <w:shd w:val="clear" w:color="auto" w:fill="auto"/>
            <w:vAlign w:val="center"/>
            <w:hideMark/>
          </w:tcPr>
          <w:p w14:paraId="0C11D62D" w14:textId="77777777" w:rsidR="00572995" w:rsidRPr="00483EBE" w:rsidRDefault="00572995" w:rsidP="00E8324D">
            <w:pPr>
              <w:pStyle w:val="Tablas"/>
              <w:rPr>
                <w:sz w:val="12"/>
                <w:szCs w:val="12"/>
              </w:rPr>
            </w:pPr>
            <w:r w:rsidRPr="00483EBE">
              <w:rPr>
                <w:sz w:val="12"/>
                <w:szCs w:val="12"/>
              </w:rPr>
              <w:t>$555</w:t>
            </w:r>
          </w:p>
        </w:tc>
        <w:tc>
          <w:tcPr>
            <w:tcW w:w="0" w:type="auto"/>
            <w:tcBorders>
              <w:top w:val="nil"/>
              <w:left w:val="nil"/>
              <w:bottom w:val="single" w:sz="4" w:space="0" w:color="auto"/>
              <w:right w:val="single" w:sz="4" w:space="0" w:color="auto"/>
            </w:tcBorders>
            <w:shd w:val="clear" w:color="auto" w:fill="auto"/>
            <w:vAlign w:val="center"/>
            <w:hideMark/>
          </w:tcPr>
          <w:p w14:paraId="23523286"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2368FEAC"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DFEC49C" w14:textId="77777777" w:rsidR="00572995" w:rsidRPr="00483EBE" w:rsidRDefault="00572995" w:rsidP="00E8324D">
            <w:pPr>
              <w:pStyle w:val="Tablas"/>
              <w:rPr>
                <w:sz w:val="12"/>
                <w:szCs w:val="12"/>
              </w:rPr>
            </w:pPr>
            <w:r w:rsidRPr="00483EBE">
              <w:rPr>
                <w:sz w:val="12"/>
                <w:szCs w:val="12"/>
              </w:rPr>
              <w:t>SM</w:t>
            </w:r>
          </w:p>
        </w:tc>
      </w:tr>
      <w:tr w:rsidR="00572995" w:rsidRPr="00483EBE" w14:paraId="333523D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229883F"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2E5C97FB"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313F406A" w14:textId="77777777" w:rsidR="00572995" w:rsidRPr="00483EBE" w:rsidRDefault="00572995" w:rsidP="00E8324D">
            <w:pPr>
              <w:pStyle w:val="Tablas"/>
              <w:rPr>
                <w:sz w:val="12"/>
                <w:szCs w:val="12"/>
              </w:rPr>
            </w:pPr>
            <w:r w:rsidRPr="00483EBE">
              <w:rPr>
                <w:sz w:val="12"/>
                <w:szCs w:val="12"/>
              </w:rPr>
              <w:t>$23,330</w:t>
            </w:r>
          </w:p>
        </w:tc>
        <w:tc>
          <w:tcPr>
            <w:tcW w:w="0" w:type="auto"/>
            <w:tcBorders>
              <w:top w:val="nil"/>
              <w:left w:val="nil"/>
              <w:bottom w:val="single" w:sz="4" w:space="0" w:color="auto"/>
              <w:right w:val="single" w:sz="4" w:space="0" w:color="auto"/>
            </w:tcBorders>
            <w:shd w:val="clear" w:color="auto" w:fill="auto"/>
            <w:vAlign w:val="center"/>
            <w:hideMark/>
          </w:tcPr>
          <w:p w14:paraId="6297003E" w14:textId="77777777" w:rsidR="00572995" w:rsidRPr="00483EBE" w:rsidRDefault="00572995" w:rsidP="00E8324D">
            <w:pPr>
              <w:pStyle w:val="Tablas"/>
              <w:rPr>
                <w:sz w:val="12"/>
                <w:szCs w:val="12"/>
              </w:rPr>
            </w:pPr>
            <w:r w:rsidRPr="00483EBE">
              <w:rPr>
                <w:sz w:val="12"/>
                <w:szCs w:val="12"/>
              </w:rPr>
              <w:t>$1,666</w:t>
            </w:r>
          </w:p>
        </w:tc>
        <w:tc>
          <w:tcPr>
            <w:tcW w:w="0" w:type="auto"/>
            <w:tcBorders>
              <w:top w:val="nil"/>
              <w:left w:val="nil"/>
              <w:bottom w:val="single" w:sz="4" w:space="0" w:color="auto"/>
              <w:right w:val="single" w:sz="4" w:space="0" w:color="auto"/>
            </w:tcBorders>
            <w:shd w:val="clear" w:color="auto" w:fill="auto"/>
            <w:vAlign w:val="center"/>
            <w:hideMark/>
          </w:tcPr>
          <w:p w14:paraId="55F12D47" w14:textId="77777777" w:rsidR="00572995" w:rsidRPr="00483EBE" w:rsidRDefault="00572995" w:rsidP="00E8324D">
            <w:pPr>
              <w:pStyle w:val="Tablas"/>
              <w:rPr>
                <w:sz w:val="12"/>
                <w:szCs w:val="12"/>
              </w:rPr>
            </w:pPr>
            <w:r w:rsidRPr="00483EBE">
              <w:rPr>
                <w:sz w:val="12"/>
                <w:szCs w:val="12"/>
              </w:rPr>
              <w:t>$139</w:t>
            </w:r>
          </w:p>
        </w:tc>
        <w:tc>
          <w:tcPr>
            <w:tcW w:w="0" w:type="auto"/>
            <w:tcBorders>
              <w:top w:val="nil"/>
              <w:left w:val="nil"/>
              <w:bottom w:val="single" w:sz="4" w:space="0" w:color="auto"/>
              <w:right w:val="single" w:sz="4" w:space="0" w:color="auto"/>
            </w:tcBorders>
            <w:shd w:val="clear" w:color="auto" w:fill="auto"/>
            <w:vAlign w:val="center"/>
            <w:hideMark/>
          </w:tcPr>
          <w:p w14:paraId="2062E612"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D20FBE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6BE18C"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56B8868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00E04F9"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34E177B6"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48BA3DE3"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2BE4FA7E" w14:textId="77777777" w:rsidR="00572995" w:rsidRPr="00483EBE" w:rsidRDefault="00572995" w:rsidP="00E8324D">
            <w:pPr>
              <w:pStyle w:val="Tablas"/>
              <w:rPr>
                <w:sz w:val="12"/>
                <w:szCs w:val="12"/>
              </w:rPr>
            </w:pPr>
            <w:r w:rsidRPr="00483EBE">
              <w:rPr>
                <w:sz w:val="12"/>
                <w:szCs w:val="12"/>
              </w:rPr>
              <w:t>VIUDEZ</w:t>
            </w:r>
          </w:p>
        </w:tc>
        <w:tc>
          <w:tcPr>
            <w:tcW w:w="582" w:type="dxa"/>
            <w:tcBorders>
              <w:top w:val="nil"/>
              <w:left w:val="nil"/>
              <w:bottom w:val="single" w:sz="4" w:space="0" w:color="auto"/>
              <w:right w:val="single" w:sz="8" w:space="0" w:color="auto"/>
            </w:tcBorders>
            <w:shd w:val="clear" w:color="auto" w:fill="auto"/>
            <w:vAlign w:val="center"/>
            <w:hideMark/>
          </w:tcPr>
          <w:p w14:paraId="0A6A8320" w14:textId="77777777" w:rsidR="00572995" w:rsidRPr="00483EBE" w:rsidRDefault="00572995" w:rsidP="00E8324D">
            <w:pPr>
              <w:pStyle w:val="Tablas"/>
              <w:rPr>
                <w:sz w:val="12"/>
                <w:szCs w:val="12"/>
              </w:rPr>
            </w:pPr>
            <w:r w:rsidRPr="00483EBE">
              <w:rPr>
                <w:sz w:val="12"/>
                <w:szCs w:val="12"/>
              </w:rPr>
              <w:t>SM</w:t>
            </w:r>
          </w:p>
        </w:tc>
      </w:tr>
      <w:tr w:rsidR="00572995" w:rsidRPr="00483EBE" w14:paraId="648806A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8ABBD74"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0F8FCB48" w14:textId="77777777" w:rsidR="00572995" w:rsidRPr="00483EBE" w:rsidRDefault="00572995" w:rsidP="00E8324D">
            <w:pPr>
              <w:pStyle w:val="Tablas"/>
              <w:rPr>
                <w:sz w:val="12"/>
                <w:szCs w:val="12"/>
              </w:rPr>
            </w:pPr>
            <w:r w:rsidRPr="00483EBE">
              <w:rPr>
                <w:sz w:val="12"/>
                <w:szCs w:val="12"/>
              </w:rPr>
              <w:t xml:space="preserve">28 </w:t>
            </w:r>
          </w:p>
        </w:tc>
        <w:tc>
          <w:tcPr>
            <w:tcW w:w="0" w:type="auto"/>
            <w:tcBorders>
              <w:top w:val="nil"/>
              <w:left w:val="nil"/>
              <w:bottom w:val="single" w:sz="4" w:space="0" w:color="auto"/>
              <w:right w:val="single" w:sz="4" w:space="0" w:color="auto"/>
            </w:tcBorders>
            <w:shd w:val="clear" w:color="auto" w:fill="auto"/>
            <w:vAlign w:val="center"/>
            <w:hideMark/>
          </w:tcPr>
          <w:p w14:paraId="1A764F38" w14:textId="77777777" w:rsidR="00572995" w:rsidRPr="00483EBE" w:rsidRDefault="00572995" w:rsidP="00E8324D">
            <w:pPr>
              <w:pStyle w:val="Tablas"/>
              <w:rPr>
                <w:sz w:val="12"/>
                <w:szCs w:val="12"/>
              </w:rPr>
            </w:pPr>
            <w:r w:rsidRPr="00483EBE">
              <w:rPr>
                <w:sz w:val="12"/>
                <w:szCs w:val="12"/>
              </w:rPr>
              <w:t>$46,080</w:t>
            </w:r>
          </w:p>
        </w:tc>
        <w:tc>
          <w:tcPr>
            <w:tcW w:w="0" w:type="auto"/>
            <w:tcBorders>
              <w:top w:val="nil"/>
              <w:left w:val="nil"/>
              <w:bottom w:val="single" w:sz="4" w:space="0" w:color="auto"/>
              <w:right w:val="single" w:sz="4" w:space="0" w:color="auto"/>
            </w:tcBorders>
            <w:shd w:val="clear" w:color="auto" w:fill="auto"/>
            <w:vAlign w:val="center"/>
            <w:hideMark/>
          </w:tcPr>
          <w:p w14:paraId="47C9C473" w14:textId="77777777" w:rsidR="00572995" w:rsidRPr="00483EBE" w:rsidRDefault="00572995" w:rsidP="00E8324D">
            <w:pPr>
              <w:pStyle w:val="Tablas"/>
              <w:rPr>
                <w:sz w:val="12"/>
                <w:szCs w:val="12"/>
              </w:rPr>
            </w:pPr>
            <w:r w:rsidRPr="00483EBE">
              <w:rPr>
                <w:sz w:val="12"/>
                <w:szCs w:val="12"/>
              </w:rPr>
              <w:t>$1,646</w:t>
            </w:r>
          </w:p>
        </w:tc>
        <w:tc>
          <w:tcPr>
            <w:tcW w:w="0" w:type="auto"/>
            <w:tcBorders>
              <w:top w:val="nil"/>
              <w:left w:val="nil"/>
              <w:bottom w:val="single" w:sz="4" w:space="0" w:color="auto"/>
              <w:right w:val="single" w:sz="4" w:space="0" w:color="auto"/>
            </w:tcBorders>
            <w:shd w:val="clear" w:color="auto" w:fill="auto"/>
            <w:vAlign w:val="center"/>
            <w:hideMark/>
          </w:tcPr>
          <w:p w14:paraId="228256F5" w14:textId="77777777" w:rsidR="00572995" w:rsidRPr="00483EBE" w:rsidRDefault="00572995" w:rsidP="00E8324D">
            <w:pPr>
              <w:pStyle w:val="Tablas"/>
              <w:rPr>
                <w:sz w:val="12"/>
                <w:szCs w:val="12"/>
              </w:rPr>
            </w:pPr>
            <w:r w:rsidRPr="00483EBE">
              <w:rPr>
                <w:sz w:val="12"/>
                <w:szCs w:val="12"/>
              </w:rPr>
              <w:t>$137</w:t>
            </w:r>
          </w:p>
        </w:tc>
        <w:tc>
          <w:tcPr>
            <w:tcW w:w="0" w:type="auto"/>
            <w:tcBorders>
              <w:top w:val="nil"/>
              <w:left w:val="nil"/>
              <w:bottom w:val="single" w:sz="4" w:space="0" w:color="auto"/>
              <w:right w:val="single" w:sz="4" w:space="0" w:color="auto"/>
            </w:tcBorders>
            <w:shd w:val="clear" w:color="auto" w:fill="auto"/>
            <w:vAlign w:val="center"/>
            <w:hideMark/>
          </w:tcPr>
          <w:p w14:paraId="7D4EAD0C"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E51A07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85DFDB" w14:textId="77777777" w:rsidR="00572995" w:rsidRPr="00483EBE" w:rsidRDefault="00572995" w:rsidP="00E8324D">
            <w:pPr>
              <w:pStyle w:val="Tablas"/>
              <w:rPr>
                <w:sz w:val="12"/>
                <w:szCs w:val="12"/>
              </w:rPr>
            </w:pPr>
            <w:r w:rsidRPr="00483EBE">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6E99A3E"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ACF1383" w14:textId="77777777" w:rsidR="00572995" w:rsidRPr="00483EBE" w:rsidRDefault="00572995" w:rsidP="00E8324D">
            <w:pPr>
              <w:pStyle w:val="Tablas"/>
              <w:rPr>
                <w:sz w:val="12"/>
                <w:szCs w:val="12"/>
              </w:rPr>
            </w:pPr>
            <w:r w:rsidRPr="00483EBE">
              <w:rPr>
                <w:sz w:val="12"/>
                <w:szCs w:val="12"/>
              </w:rPr>
              <w:t>$3,778</w:t>
            </w:r>
          </w:p>
        </w:tc>
        <w:tc>
          <w:tcPr>
            <w:tcW w:w="0" w:type="auto"/>
            <w:tcBorders>
              <w:top w:val="nil"/>
              <w:left w:val="nil"/>
              <w:bottom w:val="single" w:sz="4" w:space="0" w:color="auto"/>
              <w:right w:val="single" w:sz="4" w:space="0" w:color="auto"/>
            </w:tcBorders>
            <w:shd w:val="clear" w:color="auto" w:fill="auto"/>
            <w:vAlign w:val="center"/>
            <w:hideMark/>
          </w:tcPr>
          <w:p w14:paraId="252C8460" w14:textId="77777777" w:rsidR="00572995" w:rsidRPr="00483EBE" w:rsidRDefault="00572995" w:rsidP="00E8324D">
            <w:pPr>
              <w:pStyle w:val="Tablas"/>
              <w:rPr>
                <w:sz w:val="12"/>
                <w:szCs w:val="12"/>
              </w:rPr>
            </w:pPr>
            <w:r w:rsidRPr="00483EBE">
              <w:rPr>
                <w:sz w:val="12"/>
                <w:szCs w:val="12"/>
              </w:rPr>
              <w:t>$945</w:t>
            </w:r>
          </w:p>
        </w:tc>
        <w:tc>
          <w:tcPr>
            <w:tcW w:w="0" w:type="auto"/>
            <w:tcBorders>
              <w:top w:val="nil"/>
              <w:left w:val="nil"/>
              <w:bottom w:val="single" w:sz="4" w:space="0" w:color="auto"/>
              <w:right w:val="single" w:sz="4" w:space="0" w:color="auto"/>
            </w:tcBorders>
            <w:shd w:val="clear" w:color="auto" w:fill="auto"/>
            <w:vAlign w:val="center"/>
            <w:hideMark/>
          </w:tcPr>
          <w:p w14:paraId="37DF0D0D"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03046BB7"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BA5039A" w14:textId="77777777" w:rsidR="00572995" w:rsidRPr="00483EBE" w:rsidRDefault="00572995" w:rsidP="00E8324D">
            <w:pPr>
              <w:pStyle w:val="Tablas"/>
              <w:rPr>
                <w:sz w:val="12"/>
                <w:szCs w:val="12"/>
              </w:rPr>
            </w:pPr>
            <w:r w:rsidRPr="00483EBE">
              <w:rPr>
                <w:sz w:val="12"/>
                <w:szCs w:val="12"/>
              </w:rPr>
              <w:t>SM</w:t>
            </w:r>
          </w:p>
        </w:tc>
      </w:tr>
      <w:tr w:rsidR="00572995" w:rsidRPr="00483EBE" w14:paraId="5ED4FEB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745876"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77728340"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7F222D06" w14:textId="77777777" w:rsidR="00572995" w:rsidRPr="00483EBE" w:rsidRDefault="00572995" w:rsidP="00E8324D">
            <w:pPr>
              <w:pStyle w:val="Tablas"/>
              <w:rPr>
                <w:sz w:val="12"/>
                <w:szCs w:val="12"/>
              </w:rPr>
            </w:pPr>
            <w:r w:rsidRPr="00483EBE">
              <w:rPr>
                <w:sz w:val="12"/>
                <w:szCs w:val="12"/>
              </w:rPr>
              <w:t>$22,202</w:t>
            </w:r>
          </w:p>
        </w:tc>
        <w:tc>
          <w:tcPr>
            <w:tcW w:w="0" w:type="auto"/>
            <w:tcBorders>
              <w:top w:val="nil"/>
              <w:left w:val="nil"/>
              <w:bottom w:val="single" w:sz="4" w:space="0" w:color="auto"/>
              <w:right w:val="single" w:sz="4" w:space="0" w:color="auto"/>
            </w:tcBorders>
            <w:shd w:val="clear" w:color="auto" w:fill="auto"/>
            <w:vAlign w:val="center"/>
            <w:hideMark/>
          </w:tcPr>
          <w:p w14:paraId="5D264C45" w14:textId="77777777" w:rsidR="00572995" w:rsidRPr="00483EBE" w:rsidRDefault="00572995" w:rsidP="00E8324D">
            <w:pPr>
              <w:pStyle w:val="Tablas"/>
              <w:rPr>
                <w:sz w:val="12"/>
                <w:szCs w:val="12"/>
              </w:rPr>
            </w:pPr>
            <w:r w:rsidRPr="00483EBE">
              <w:rPr>
                <w:sz w:val="12"/>
                <w:szCs w:val="12"/>
              </w:rPr>
              <w:t>$2,220</w:t>
            </w:r>
          </w:p>
        </w:tc>
        <w:tc>
          <w:tcPr>
            <w:tcW w:w="0" w:type="auto"/>
            <w:tcBorders>
              <w:top w:val="nil"/>
              <w:left w:val="nil"/>
              <w:bottom w:val="single" w:sz="4" w:space="0" w:color="auto"/>
              <w:right w:val="single" w:sz="4" w:space="0" w:color="auto"/>
            </w:tcBorders>
            <w:shd w:val="clear" w:color="auto" w:fill="auto"/>
            <w:vAlign w:val="center"/>
            <w:hideMark/>
          </w:tcPr>
          <w:p w14:paraId="2148CE1B" w14:textId="77777777" w:rsidR="00572995" w:rsidRPr="00483EBE" w:rsidRDefault="00572995" w:rsidP="00E8324D">
            <w:pPr>
              <w:pStyle w:val="Tablas"/>
              <w:rPr>
                <w:sz w:val="12"/>
                <w:szCs w:val="12"/>
              </w:rPr>
            </w:pPr>
            <w:r w:rsidRPr="00483EBE">
              <w:rPr>
                <w:sz w:val="12"/>
                <w:szCs w:val="12"/>
              </w:rPr>
              <w:t>$185</w:t>
            </w:r>
          </w:p>
        </w:tc>
        <w:tc>
          <w:tcPr>
            <w:tcW w:w="0" w:type="auto"/>
            <w:tcBorders>
              <w:top w:val="nil"/>
              <w:left w:val="nil"/>
              <w:bottom w:val="single" w:sz="4" w:space="0" w:color="auto"/>
              <w:right w:val="single" w:sz="4" w:space="0" w:color="auto"/>
            </w:tcBorders>
            <w:shd w:val="clear" w:color="auto" w:fill="auto"/>
            <w:vAlign w:val="center"/>
            <w:hideMark/>
          </w:tcPr>
          <w:p w14:paraId="0117AFE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4C3554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4AB7F60" w14:textId="77777777" w:rsidR="00572995" w:rsidRPr="00483EBE" w:rsidRDefault="00572995" w:rsidP="00E8324D">
            <w:pPr>
              <w:pStyle w:val="Tablas"/>
              <w:rPr>
                <w:sz w:val="12"/>
                <w:szCs w:val="12"/>
              </w:rPr>
            </w:pPr>
            <w:r w:rsidRPr="00483EBE">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52427181"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5A094478" w14:textId="77777777" w:rsidR="00572995" w:rsidRPr="00483EBE" w:rsidRDefault="00572995" w:rsidP="00E8324D">
            <w:pPr>
              <w:pStyle w:val="Tablas"/>
              <w:rPr>
                <w:sz w:val="12"/>
                <w:szCs w:val="12"/>
              </w:rPr>
            </w:pPr>
            <w:r w:rsidRPr="00483EBE">
              <w:rPr>
                <w:sz w:val="12"/>
                <w:szCs w:val="12"/>
              </w:rPr>
              <w:t>$4,338</w:t>
            </w:r>
          </w:p>
        </w:tc>
        <w:tc>
          <w:tcPr>
            <w:tcW w:w="0" w:type="auto"/>
            <w:tcBorders>
              <w:top w:val="nil"/>
              <w:left w:val="nil"/>
              <w:bottom w:val="single" w:sz="4" w:space="0" w:color="auto"/>
              <w:right w:val="single" w:sz="4" w:space="0" w:color="auto"/>
            </w:tcBorders>
            <w:shd w:val="clear" w:color="auto" w:fill="auto"/>
            <w:vAlign w:val="center"/>
            <w:hideMark/>
          </w:tcPr>
          <w:p w14:paraId="30948AEF" w14:textId="77777777" w:rsidR="00572995" w:rsidRPr="00483EBE" w:rsidRDefault="00572995" w:rsidP="00E8324D">
            <w:pPr>
              <w:pStyle w:val="Tablas"/>
              <w:rPr>
                <w:sz w:val="12"/>
                <w:szCs w:val="12"/>
              </w:rPr>
            </w:pPr>
            <w:r w:rsidRPr="00483EBE">
              <w:rPr>
                <w:sz w:val="12"/>
                <w:szCs w:val="12"/>
              </w:rPr>
              <w:t>$868</w:t>
            </w:r>
          </w:p>
        </w:tc>
        <w:tc>
          <w:tcPr>
            <w:tcW w:w="0" w:type="auto"/>
            <w:tcBorders>
              <w:top w:val="nil"/>
              <w:left w:val="nil"/>
              <w:bottom w:val="single" w:sz="4" w:space="0" w:color="auto"/>
              <w:right w:val="single" w:sz="4" w:space="0" w:color="auto"/>
            </w:tcBorders>
            <w:shd w:val="clear" w:color="auto" w:fill="auto"/>
            <w:vAlign w:val="center"/>
            <w:hideMark/>
          </w:tcPr>
          <w:p w14:paraId="4DA2B669"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763CADD6"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10E5E6D4" w14:textId="77777777" w:rsidR="00572995" w:rsidRPr="00483EBE" w:rsidRDefault="00572995" w:rsidP="00E8324D">
            <w:pPr>
              <w:pStyle w:val="Tablas"/>
              <w:rPr>
                <w:sz w:val="12"/>
                <w:szCs w:val="12"/>
              </w:rPr>
            </w:pPr>
            <w:r w:rsidRPr="00483EBE">
              <w:rPr>
                <w:sz w:val="12"/>
                <w:szCs w:val="12"/>
              </w:rPr>
              <w:t>SM</w:t>
            </w:r>
          </w:p>
        </w:tc>
      </w:tr>
      <w:tr w:rsidR="00572995" w:rsidRPr="00483EBE" w14:paraId="13CF7C8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3BEEE6"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1248A72D"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084236FA" w14:textId="77777777" w:rsidR="00572995" w:rsidRPr="00483EBE" w:rsidRDefault="00572995" w:rsidP="00E8324D">
            <w:pPr>
              <w:pStyle w:val="Tablas"/>
              <w:rPr>
                <w:sz w:val="12"/>
                <w:szCs w:val="12"/>
              </w:rPr>
            </w:pPr>
            <w:r w:rsidRPr="00483EBE">
              <w:rPr>
                <w:sz w:val="12"/>
                <w:szCs w:val="12"/>
              </w:rPr>
              <w:t>$11,546</w:t>
            </w:r>
          </w:p>
        </w:tc>
        <w:tc>
          <w:tcPr>
            <w:tcW w:w="0" w:type="auto"/>
            <w:tcBorders>
              <w:top w:val="nil"/>
              <w:left w:val="nil"/>
              <w:bottom w:val="single" w:sz="4" w:space="0" w:color="auto"/>
              <w:right w:val="single" w:sz="4" w:space="0" w:color="auto"/>
            </w:tcBorders>
            <w:shd w:val="clear" w:color="auto" w:fill="auto"/>
            <w:vAlign w:val="center"/>
            <w:hideMark/>
          </w:tcPr>
          <w:p w14:paraId="6F43CF30" w14:textId="77777777" w:rsidR="00572995" w:rsidRPr="00483EBE" w:rsidRDefault="00572995" w:rsidP="00E8324D">
            <w:pPr>
              <w:pStyle w:val="Tablas"/>
              <w:rPr>
                <w:sz w:val="12"/>
                <w:szCs w:val="12"/>
              </w:rPr>
            </w:pPr>
            <w:r w:rsidRPr="00483EBE">
              <w:rPr>
                <w:sz w:val="12"/>
                <w:szCs w:val="12"/>
              </w:rPr>
              <w:t>$1,443</w:t>
            </w:r>
          </w:p>
        </w:tc>
        <w:tc>
          <w:tcPr>
            <w:tcW w:w="0" w:type="auto"/>
            <w:tcBorders>
              <w:top w:val="nil"/>
              <w:left w:val="nil"/>
              <w:bottom w:val="single" w:sz="4" w:space="0" w:color="auto"/>
              <w:right w:val="single" w:sz="4" w:space="0" w:color="auto"/>
            </w:tcBorders>
            <w:shd w:val="clear" w:color="auto" w:fill="auto"/>
            <w:vAlign w:val="center"/>
            <w:hideMark/>
          </w:tcPr>
          <w:p w14:paraId="17705163" w14:textId="77777777" w:rsidR="00572995" w:rsidRPr="00483EBE" w:rsidRDefault="00572995" w:rsidP="00E8324D">
            <w:pPr>
              <w:pStyle w:val="Tablas"/>
              <w:rPr>
                <w:sz w:val="12"/>
                <w:szCs w:val="12"/>
              </w:rPr>
            </w:pPr>
            <w:r w:rsidRPr="00483EBE">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4AEEFAA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D12177B"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A1BA279" w14:textId="77777777" w:rsidR="00572995" w:rsidRPr="00483EBE" w:rsidRDefault="00572995" w:rsidP="00E8324D">
            <w:pPr>
              <w:pStyle w:val="Tablas"/>
              <w:rPr>
                <w:sz w:val="12"/>
                <w:szCs w:val="12"/>
              </w:rPr>
            </w:pPr>
            <w:r w:rsidRPr="00483EBE">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2134DF2A"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0462149F" w14:textId="77777777" w:rsidR="00572995" w:rsidRPr="00483EBE" w:rsidRDefault="00572995" w:rsidP="00E8324D">
            <w:pPr>
              <w:pStyle w:val="Tablas"/>
              <w:rPr>
                <w:sz w:val="12"/>
                <w:szCs w:val="12"/>
              </w:rPr>
            </w:pPr>
            <w:r w:rsidRPr="00483EBE">
              <w:rPr>
                <w:sz w:val="12"/>
                <w:szCs w:val="12"/>
              </w:rPr>
              <w:t>$16,665</w:t>
            </w:r>
          </w:p>
        </w:tc>
        <w:tc>
          <w:tcPr>
            <w:tcW w:w="0" w:type="auto"/>
            <w:tcBorders>
              <w:top w:val="nil"/>
              <w:left w:val="nil"/>
              <w:bottom w:val="single" w:sz="4" w:space="0" w:color="auto"/>
              <w:right w:val="single" w:sz="4" w:space="0" w:color="auto"/>
            </w:tcBorders>
            <w:shd w:val="clear" w:color="auto" w:fill="auto"/>
            <w:vAlign w:val="center"/>
            <w:hideMark/>
          </w:tcPr>
          <w:p w14:paraId="41BDBA61" w14:textId="77777777" w:rsidR="00572995" w:rsidRPr="00483EBE" w:rsidRDefault="00572995" w:rsidP="00E8324D">
            <w:pPr>
              <w:pStyle w:val="Tablas"/>
              <w:rPr>
                <w:sz w:val="12"/>
                <w:szCs w:val="12"/>
              </w:rPr>
            </w:pPr>
            <w:r w:rsidRPr="00483EBE">
              <w:rPr>
                <w:sz w:val="12"/>
                <w:szCs w:val="12"/>
              </w:rPr>
              <w:t>$1,190</w:t>
            </w:r>
          </w:p>
        </w:tc>
        <w:tc>
          <w:tcPr>
            <w:tcW w:w="0" w:type="auto"/>
            <w:tcBorders>
              <w:top w:val="nil"/>
              <w:left w:val="nil"/>
              <w:bottom w:val="single" w:sz="4" w:space="0" w:color="auto"/>
              <w:right w:val="single" w:sz="4" w:space="0" w:color="auto"/>
            </w:tcBorders>
            <w:shd w:val="clear" w:color="auto" w:fill="auto"/>
            <w:vAlign w:val="center"/>
            <w:hideMark/>
          </w:tcPr>
          <w:p w14:paraId="26A3F1EF"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7A85175E"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EDE5E2B" w14:textId="77777777" w:rsidR="00572995" w:rsidRPr="00483EBE" w:rsidRDefault="00572995" w:rsidP="00E8324D">
            <w:pPr>
              <w:pStyle w:val="Tablas"/>
              <w:rPr>
                <w:sz w:val="12"/>
                <w:szCs w:val="12"/>
              </w:rPr>
            </w:pPr>
            <w:r w:rsidRPr="00483EBE">
              <w:rPr>
                <w:sz w:val="12"/>
                <w:szCs w:val="12"/>
              </w:rPr>
              <w:t>SM</w:t>
            </w:r>
          </w:p>
        </w:tc>
      </w:tr>
      <w:tr w:rsidR="00572995" w:rsidRPr="00483EBE" w14:paraId="703D83D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E9FA67" w14:textId="77777777" w:rsidR="00572995" w:rsidRPr="00483EBE" w:rsidRDefault="00572995" w:rsidP="00E8324D">
            <w:pPr>
              <w:pStyle w:val="Tablas"/>
              <w:rPr>
                <w:sz w:val="12"/>
                <w:szCs w:val="12"/>
              </w:rPr>
            </w:pPr>
            <w:r w:rsidRPr="00483EBE">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4037F857"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3E3F00EA" w14:textId="77777777" w:rsidR="00572995" w:rsidRPr="00483EBE" w:rsidRDefault="00572995" w:rsidP="00E8324D">
            <w:pPr>
              <w:pStyle w:val="Tablas"/>
              <w:rPr>
                <w:sz w:val="12"/>
                <w:szCs w:val="12"/>
              </w:rPr>
            </w:pPr>
            <w:r w:rsidRPr="00483EBE">
              <w:rPr>
                <w:sz w:val="12"/>
                <w:szCs w:val="12"/>
              </w:rPr>
              <w:t>$22,337</w:t>
            </w:r>
          </w:p>
        </w:tc>
        <w:tc>
          <w:tcPr>
            <w:tcW w:w="0" w:type="auto"/>
            <w:tcBorders>
              <w:top w:val="nil"/>
              <w:left w:val="nil"/>
              <w:bottom w:val="single" w:sz="4" w:space="0" w:color="auto"/>
              <w:right w:val="single" w:sz="4" w:space="0" w:color="auto"/>
            </w:tcBorders>
            <w:shd w:val="clear" w:color="auto" w:fill="auto"/>
            <w:vAlign w:val="center"/>
            <w:hideMark/>
          </w:tcPr>
          <w:p w14:paraId="1212ECA6" w14:textId="77777777" w:rsidR="00572995" w:rsidRPr="00483EBE" w:rsidRDefault="00572995" w:rsidP="00E8324D">
            <w:pPr>
              <w:pStyle w:val="Tablas"/>
              <w:rPr>
                <w:sz w:val="12"/>
                <w:szCs w:val="12"/>
              </w:rPr>
            </w:pPr>
            <w:r w:rsidRPr="00483EBE">
              <w:rPr>
                <w:sz w:val="12"/>
                <w:szCs w:val="12"/>
              </w:rPr>
              <w:t>$2,031</w:t>
            </w:r>
          </w:p>
        </w:tc>
        <w:tc>
          <w:tcPr>
            <w:tcW w:w="0" w:type="auto"/>
            <w:tcBorders>
              <w:top w:val="nil"/>
              <w:left w:val="nil"/>
              <w:bottom w:val="single" w:sz="4" w:space="0" w:color="auto"/>
              <w:right w:val="single" w:sz="4" w:space="0" w:color="auto"/>
            </w:tcBorders>
            <w:shd w:val="clear" w:color="auto" w:fill="auto"/>
            <w:vAlign w:val="center"/>
            <w:hideMark/>
          </w:tcPr>
          <w:p w14:paraId="7B0D5566" w14:textId="77777777" w:rsidR="00572995" w:rsidRPr="00483EBE" w:rsidRDefault="00572995" w:rsidP="00E8324D">
            <w:pPr>
              <w:pStyle w:val="Tablas"/>
              <w:rPr>
                <w:sz w:val="12"/>
                <w:szCs w:val="12"/>
              </w:rPr>
            </w:pPr>
            <w:r w:rsidRPr="00483EBE">
              <w:rPr>
                <w:sz w:val="12"/>
                <w:szCs w:val="12"/>
              </w:rPr>
              <w:t>$169</w:t>
            </w:r>
          </w:p>
        </w:tc>
        <w:tc>
          <w:tcPr>
            <w:tcW w:w="0" w:type="auto"/>
            <w:tcBorders>
              <w:top w:val="nil"/>
              <w:left w:val="nil"/>
              <w:bottom w:val="single" w:sz="4" w:space="0" w:color="auto"/>
              <w:right w:val="single" w:sz="4" w:space="0" w:color="auto"/>
            </w:tcBorders>
            <w:shd w:val="clear" w:color="auto" w:fill="auto"/>
            <w:vAlign w:val="center"/>
            <w:hideMark/>
          </w:tcPr>
          <w:p w14:paraId="499213A1"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407DEC9"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FA6996" w14:textId="77777777" w:rsidR="00572995" w:rsidRPr="00483EBE" w:rsidRDefault="00572995" w:rsidP="00E8324D">
            <w:pPr>
              <w:pStyle w:val="Tablas"/>
              <w:rPr>
                <w:sz w:val="12"/>
                <w:szCs w:val="12"/>
              </w:rPr>
            </w:pPr>
            <w:r w:rsidRPr="00483EBE">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6DB16B8B" w14:textId="77777777" w:rsidR="00572995" w:rsidRPr="00483EBE" w:rsidRDefault="00572995" w:rsidP="00E8324D">
            <w:pPr>
              <w:pStyle w:val="Tablas"/>
              <w:rPr>
                <w:sz w:val="12"/>
                <w:szCs w:val="12"/>
              </w:rPr>
            </w:pPr>
            <w:r w:rsidRPr="00483EBE">
              <w:rPr>
                <w:sz w:val="12"/>
                <w:szCs w:val="12"/>
              </w:rPr>
              <w:t xml:space="preserve">14 </w:t>
            </w:r>
          </w:p>
        </w:tc>
        <w:tc>
          <w:tcPr>
            <w:tcW w:w="0" w:type="auto"/>
            <w:tcBorders>
              <w:top w:val="nil"/>
              <w:left w:val="nil"/>
              <w:bottom w:val="single" w:sz="4" w:space="0" w:color="auto"/>
              <w:right w:val="single" w:sz="4" w:space="0" w:color="auto"/>
            </w:tcBorders>
            <w:shd w:val="clear" w:color="auto" w:fill="auto"/>
            <w:vAlign w:val="center"/>
            <w:hideMark/>
          </w:tcPr>
          <w:p w14:paraId="4A779B59" w14:textId="77777777" w:rsidR="00572995" w:rsidRPr="00483EBE" w:rsidRDefault="00572995" w:rsidP="00E8324D">
            <w:pPr>
              <w:pStyle w:val="Tablas"/>
              <w:rPr>
                <w:sz w:val="12"/>
                <w:szCs w:val="12"/>
              </w:rPr>
            </w:pPr>
            <w:r w:rsidRPr="00483EBE">
              <w:rPr>
                <w:sz w:val="12"/>
                <w:szCs w:val="12"/>
              </w:rPr>
              <w:t>$15,648</w:t>
            </w:r>
          </w:p>
        </w:tc>
        <w:tc>
          <w:tcPr>
            <w:tcW w:w="0" w:type="auto"/>
            <w:tcBorders>
              <w:top w:val="nil"/>
              <w:left w:val="nil"/>
              <w:bottom w:val="single" w:sz="4" w:space="0" w:color="auto"/>
              <w:right w:val="single" w:sz="4" w:space="0" w:color="auto"/>
            </w:tcBorders>
            <w:shd w:val="clear" w:color="auto" w:fill="auto"/>
            <w:vAlign w:val="center"/>
            <w:hideMark/>
          </w:tcPr>
          <w:p w14:paraId="698F75E1" w14:textId="77777777" w:rsidR="00572995" w:rsidRPr="00483EBE" w:rsidRDefault="00572995" w:rsidP="00E8324D">
            <w:pPr>
              <w:pStyle w:val="Tablas"/>
              <w:rPr>
                <w:sz w:val="12"/>
                <w:szCs w:val="12"/>
              </w:rPr>
            </w:pPr>
            <w:r w:rsidRPr="00483EBE">
              <w:rPr>
                <w:sz w:val="12"/>
                <w:szCs w:val="12"/>
              </w:rPr>
              <w:t>$1,118</w:t>
            </w:r>
          </w:p>
        </w:tc>
        <w:tc>
          <w:tcPr>
            <w:tcW w:w="0" w:type="auto"/>
            <w:tcBorders>
              <w:top w:val="nil"/>
              <w:left w:val="nil"/>
              <w:bottom w:val="single" w:sz="4" w:space="0" w:color="auto"/>
              <w:right w:val="single" w:sz="4" w:space="0" w:color="auto"/>
            </w:tcBorders>
            <w:shd w:val="clear" w:color="auto" w:fill="auto"/>
            <w:vAlign w:val="center"/>
            <w:hideMark/>
          </w:tcPr>
          <w:p w14:paraId="3FAA1CB1"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C1B97FA"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9A23E51" w14:textId="77777777" w:rsidR="00572995" w:rsidRPr="00483EBE" w:rsidRDefault="00572995" w:rsidP="00E8324D">
            <w:pPr>
              <w:pStyle w:val="Tablas"/>
              <w:rPr>
                <w:sz w:val="12"/>
                <w:szCs w:val="12"/>
              </w:rPr>
            </w:pPr>
            <w:r w:rsidRPr="00483EBE">
              <w:rPr>
                <w:sz w:val="12"/>
                <w:szCs w:val="12"/>
              </w:rPr>
              <w:t>SM</w:t>
            </w:r>
          </w:p>
        </w:tc>
      </w:tr>
      <w:tr w:rsidR="00572995" w:rsidRPr="00483EBE" w14:paraId="02C724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F89858"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15F9208B"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11622D4C" w14:textId="77777777" w:rsidR="00572995" w:rsidRPr="00483EBE" w:rsidRDefault="00572995" w:rsidP="00E8324D">
            <w:pPr>
              <w:pStyle w:val="Tablas"/>
              <w:rPr>
                <w:sz w:val="12"/>
                <w:szCs w:val="12"/>
              </w:rPr>
            </w:pPr>
            <w:r w:rsidRPr="00483EBE">
              <w:rPr>
                <w:sz w:val="12"/>
                <w:szCs w:val="12"/>
              </w:rPr>
              <w:t>$9,755</w:t>
            </w:r>
          </w:p>
        </w:tc>
        <w:tc>
          <w:tcPr>
            <w:tcW w:w="0" w:type="auto"/>
            <w:tcBorders>
              <w:top w:val="nil"/>
              <w:left w:val="nil"/>
              <w:bottom w:val="single" w:sz="4" w:space="0" w:color="auto"/>
              <w:right w:val="single" w:sz="4" w:space="0" w:color="auto"/>
            </w:tcBorders>
            <w:shd w:val="clear" w:color="auto" w:fill="auto"/>
            <w:vAlign w:val="center"/>
            <w:hideMark/>
          </w:tcPr>
          <w:p w14:paraId="7E707AF2" w14:textId="77777777" w:rsidR="00572995" w:rsidRPr="00483EBE" w:rsidRDefault="00572995" w:rsidP="00E8324D">
            <w:pPr>
              <w:pStyle w:val="Tablas"/>
              <w:rPr>
                <w:sz w:val="12"/>
                <w:szCs w:val="12"/>
              </w:rPr>
            </w:pPr>
            <w:r w:rsidRPr="00483EBE">
              <w:rPr>
                <w:sz w:val="12"/>
                <w:szCs w:val="12"/>
              </w:rPr>
              <w:t>$1,394</w:t>
            </w:r>
          </w:p>
        </w:tc>
        <w:tc>
          <w:tcPr>
            <w:tcW w:w="0" w:type="auto"/>
            <w:tcBorders>
              <w:top w:val="nil"/>
              <w:left w:val="nil"/>
              <w:bottom w:val="single" w:sz="4" w:space="0" w:color="auto"/>
              <w:right w:val="single" w:sz="4" w:space="0" w:color="auto"/>
            </w:tcBorders>
            <w:shd w:val="clear" w:color="auto" w:fill="auto"/>
            <w:vAlign w:val="center"/>
            <w:hideMark/>
          </w:tcPr>
          <w:p w14:paraId="3C299AEA" w14:textId="77777777" w:rsidR="00572995" w:rsidRPr="00483EBE" w:rsidRDefault="00572995" w:rsidP="00E8324D">
            <w:pPr>
              <w:pStyle w:val="Tablas"/>
              <w:rPr>
                <w:sz w:val="12"/>
                <w:szCs w:val="12"/>
              </w:rPr>
            </w:pPr>
            <w:r w:rsidRPr="00483EBE">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2328C65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E4EE94D"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59110D" w14:textId="77777777" w:rsidR="00572995" w:rsidRPr="00483EBE" w:rsidRDefault="00572995" w:rsidP="00E8324D">
            <w:pPr>
              <w:pStyle w:val="Tablas"/>
              <w:rPr>
                <w:sz w:val="12"/>
                <w:szCs w:val="12"/>
              </w:rPr>
            </w:pPr>
            <w:r w:rsidRPr="00483EBE">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47F01715" w14:textId="77777777" w:rsidR="00572995" w:rsidRPr="00483EBE" w:rsidRDefault="00572995" w:rsidP="00E8324D">
            <w:pPr>
              <w:pStyle w:val="Tablas"/>
              <w:rPr>
                <w:sz w:val="12"/>
                <w:szCs w:val="12"/>
              </w:rPr>
            </w:pPr>
            <w:r w:rsidRPr="00483EBE">
              <w:rPr>
                <w:sz w:val="12"/>
                <w:szCs w:val="12"/>
              </w:rPr>
              <w:t xml:space="preserve">19 </w:t>
            </w:r>
          </w:p>
        </w:tc>
        <w:tc>
          <w:tcPr>
            <w:tcW w:w="0" w:type="auto"/>
            <w:tcBorders>
              <w:top w:val="nil"/>
              <w:left w:val="nil"/>
              <w:bottom w:val="single" w:sz="4" w:space="0" w:color="auto"/>
              <w:right w:val="single" w:sz="4" w:space="0" w:color="auto"/>
            </w:tcBorders>
            <w:shd w:val="clear" w:color="auto" w:fill="auto"/>
            <w:vAlign w:val="center"/>
            <w:hideMark/>
          </w:tcPr>
          <w:p w14:paraId="60B26807" w14:textId="77777777" w:rsidR="00572995" w:rsidRPr="00483EBE" w:rsidRDefault="00572995" w:rsidP="00E8324D">
            <w:pPr>
              <w:pStyle w:val="Tablas"/>
              <w:rPr>
                <w:sz w:val="12"/>
                <w:szCs w:val="12"/>
              </w:rPr>
            </w:pPr>
            <w:r w:rsidRPr="00483EBE">
              <w:rPr>
                <w:sz w:val="12"/>
                <w:szCs w:val="12"/>
              </w:rPr>
              <w:t>$21,840</w:t>
            </w:r>
          </w:p>
        </w:tc>
        <w:tc>
          <w:tcPr>
            <w:tcW w:w="0" w:type="auto"/>
            <w:tcBorders>
              <w:top w:val="nil"/>
              <w:left w:val="nil"/>
              <w:bottom w:val="single" w:sz="4" w:space="0" w:color="auto"/>
              <w:right w:val="single" w:sz="4" w:space="0" w:color="auto"/>
            </w:tcBorders>
            <w:shd w:val="clear" w:color="auto" w:fill="auto"/>
            <w:vAlign w:val="center"/>
            <w:hideMark/>
          </w:tcPr>
          <w:p w14:paraId="374DC7DC" w14:textId="77777777" w:rsidR="00572995" w:rsidRPr="00483EBE" w:rsidRDefault="00572995" w:rsidP="00E8324D">
            <w:pPr>
              <w:pStyle w:val="Tablas"/>
              <w:rPr>
                <w:sz w:val="12"/>
                <w:szCs w:val="12"/>
              </w:rPr>
            </w:pPr>
            <w:r w:rsidRPr="00483EBE">
              <w:rPr>
                <w:sz w:val="12"/>
                <w:szCs w:val="12"/>
              </w:rPr>
              <w:t>$1,149</w:t>
            </w:r>
          </w:p>
        </w:tc>
        <w:tc>
          <w:tcPr>
            <w:tcW w:w="0" w:type="auto"/>
            <w:tcBorders>
              <w:top w:val="nil"/>
              <w:left w:val="nil"/>
              <w:bottom w:val="single" w:sz="4" w:space="0" w:color="auto"/>
              <w:right w:val="single" w:sz="4" w:space="0" w:color="auto"/>
            </w:tcBorders>
            <w:shd w:val="clear" w:color="auto" w:fill="auto"/>
            <w:vAlign w:val="center"/>
            <w:hideMark/>
          </w:tcPr>
          <w:p w14:paraId="3DF90B4E"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163374A6"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F0EB874" w14:textId="77777777" w:rsidR="00572995" w:rsidRPr="00483EBE" w:rsidRDefault="00572995" w:rsidP="00E8324D">
            <w:pPr>
              <w:pStyle w:val="Tablas"/>
              <w:rPr>
                <w:sz w:val="12"/>
                <w:szCs w:val="12"/>
              </w:rPr>
            </w:pPr>
            <w:r w:rsidRPr="00483EBE">
              <w:rPr>
                <w:sz w:val="12"/>
                <w:szCs w:val="12"/>
              </w:rPr>
              <w:t>SM</w:t>
            </w:r>
          </w:p>
        </w:tc>
      </w:tr>
      <w:tr w:rsidR="00572995" w:rsidRPr="00483EBE" w14:paraId="44DD4B9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C339EC" w14:textId="77777777" w:rsidR="00572995" w:rsidRPr="00483EBE" w:rsidRDefault="00572995" w:rsidP="00E8324D">
            <w:pPr>
              <w:pStyle w:val="Tablas"/>
              <w:rPr>
                <w:sz w:val="12"/>
                <w:szCs w:val="12"/>
              </w:rPr>
            </w:pPr>
            <w:r w:rsidRPr="00483EBE">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5891E45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FF17A4D" w14:textId="77777777" w:rsidR="00572995" w:rsidRPr="00483EBE" w:rsidRDefault="00572995" w:rsidP="00E8324D">
            <w:pPr>
              <w:pStyle w:val="Tablas"/>
              <w:rPr>
                <w:sz w:val="12"/>
                <w:szCs w:val="12"/>
              </w:rPr>
            </w:pPr>
            <w:r w:rsidRPr="00483EBE">
              <w:rPr>
                <w:sz w:val="12"/>
                <w:szCs w:val="12"/>
              </w:rPr>
              <w:t>$8,126</w:t>
            </w:r>
          </w:p>
        </w:tc>
        <w:tc>
          <w:tcPr>
            <w:tcW w:w="0" w:type="auto"/>
            <w:tcBorders>
              <w:top w:val="nil"/>
              <w:left w:val="nil"/>
              <w:bottom w:val="single" w:sz="4" w:space="0" w:color="auto"/>
              <w:right w:val="single" w:sz="4" w:space="0" w:color="auto"/>
            </w:tcBorders>
            <w:shd w:val="clear" w:color="auto" w:fill="auto"/>
            <w:vAlign w:val="center"/>
            <w:hideMark/>
          </w:tcPr>
          <w:p w14:paraId="1DEDCB9E" w14:textId="77777777" w:rsidR="00572995" w:rsidRPr="00483EBE" w:rsidRDefault="00572995" w:rsidP="00E8324D">
            <w:pPr>
              <w:pStyle w:val="Tablas"/>
              <w:rPr>
                <w:sz w:val="12"/>
                <w:szCs w:val="12"/>
              </w:rPr>
            </w:pPr>
            <w:r w:rsidRPr="00483EBE">
              <w:rPr>
                <w:sz w:val="12"/>
                <w:szCs w:val="12"/>
              </w:rPr>
              <w:t>$2,032</w:t>
            </w:r>
          </w:p>
        </w:tc>
        <w:tc>
          <w:tcPr>
            <w:tcW w:w="0" w:type="auto"/>
            <w:tcBorders>
              <w:top w:val="nil"/>
              <w:left w:val="nil"/>
              <w:bottom w:val="single" w:sz="4" w:space="0" w:color="auto"/>
              <w:right w:val="single" w:sz="4" w:space="0" w:color="auto"/>
            </w:tcBorders>
            <w:shd w:val="clear" w:color="auto" w:fill="auto"/>
            <w:vAlign w:val="center"/>
            <w:hideMark/>
          </w:tcPr>
          <w:p w14:paraId="46A938C0" w14:textId="77777777" w:rsidR="00572995" w:rsidRPr="00483EBE" w:rsidRDefault="00572995" w:rsidP="00E8324D">
            <w:pPr>
              <w:pStyle w:val="Tablas"/>
              <w:rPr>
                <w:sz w:val="12"/>
                <w:szCs w:val="12"/>
              </w:rPr>
            </w:pPr>
            <w:r w:rsidRPr="00483EBE">
              <w:rPr>
                <w:sz w:val="12"/>
                <w:szCs w:val="12"/>
              </w:rPr>
              <w:t>$169</w:t>
            </w:r>
          </w:p>
        </w:tc>
        <w:tc>
          <w:tcPr>
            <w:tcW w:w="0" w:type="auto"/>
            <w:tcBorders>
              <w:top w:val="nil"/>
              <w:left w:val="nil"/>
              <w:bottom w:val="single" w:sz="4" w:space="0" w:color="auto"/>
              <w:right w:val="single" w:sz="4" w:space="0" w:color="auto"/>
            </w:tcBorders>
            <w:shd w:val="clear" w:color="auto" w:fill="auto"/>
            <w:vAlign w:val="center"/>
            <w:hideMark/>
          </w:tcPr>
          <w:p w14:paraId="64F2FB1C"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8984773"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F9DE4B" w14:textId="77777777" w:rsidR="00572995" w:rsidRPr="00483EBE" w:rsidRDefault="00572995" w:rsidP="00E8324D">
            <w:pPr>
              <w:pStyle w:val="Tablas"/>
              <w:rPr>
                <w:sz w:val="12"/>
                <w:szCs w:val="12"/>
              </w:rPr>
            </w:pPr>
            <w:r w:rsidRPr="00483EBE">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60D1C314" w14:textId="77777777" w:rsidR="00572995" w:rsidRPr="00483EBE" w:rsidRDefault="00572995" w:rsidP="00E8324D">
            <w:pPr>
              <w:pStyle w:val="Tablas"/>
              <w:rPr>
                <w:sz w:val="12"/>
                <w:szCs w:val="12"/>
              </w:rPr>
            </w:pPr>
            <w:r w:rsidRPr="00483EBE">
              <w:rPr>
                <w:sz w:val="12"/>
                <w:szCs w:val="12"/>
              </w:rPr>
              <w:t xml:space="preserve">23 </w:t>
            </w:r>
          </w:p>
        </w:tc>
        <w:tc>
          <w:tcPr>
            <w:tcW w:w="0" w:type="auto"/>
            <w:tcBorders>
              <w:top w:val="nil"/>
              <w:left w:val="nil"/>
              <w:bottom w:val="single" w:sz="4" w:space="0" w:color="auto"/>
              <w:right w:val="single" w:sz="4" w:space="0" w:color="auto"/>
            </w:tcBorders>
            <w:shd w:val="clear" w:color="auto" w:fill="auto"/>
            <w:vAlign w:val="center"/>
            <w:hideMark/>
          </w:tcPr>
          <w:p w14:paraId="6A35BC51" w14:textId="77777777" w:rsidR="00572995" w:rsidRPr="00483EBE" w:rsidRDefault="00572995" w:rsidP="00E8324D">
            <w:pPr>
              <w:pStyle w:val="Tablas"/>
              <w:rPr>
                <w:sz w:val="12"/>
                <w:szCs w:val="12"/>
              </w:rPr>
            </w:pPr>
            <w:r w:rsidRPr="00483EBE">
              <w:rPr>
                <w:sz w:val="12"/>
                <w:szCs w:val="12"/>
              </w:rPr>
              <w:t>$25,440</w:t>
            </w:r>
          </w:p>
        </w:tc>
        <w:tc>
          <w:tcPr>
            <w:tcW w:w="0" w:type="auto"/>
            <w:tcBorders>
              <w:top w:val="nil"/>
              <w:left w:val="nil"/>
              <w:bottom w:val="single" w:sz="4" w:space="0" w:color="auto"/>
              <w:right w:val="single" w:sz="4" w:space="0" w:color="auto"/>
            </w:tcBorders>
            <w:shd w:val="clear" w:color="auto" w:fill="auto"/>
            <w:vAlign w:val="center"/>
            <w:hideMark/>
          </w:tcPr>
          <w:p w14:paraId="2A865867" w14:textId="77777777" w:rsidR="00572995" w:rsidRPr="00483EBE" w:rsidRDefault="00572995" w:rsidP="00E8324D">
            <w:pPr>
              <w:pStyle w:val="Tablas"/>
              <w:rPr>
                <w:sz w:val="12"/>
                <w:szCs w:val="12"/>
              </w:rPr>
            </w:pPr>
            <w:r w:rsidRPr="00483EBE">
              <w:rPr>
                <w:sz w:val="12"/>
                <w:szCs w:val="12"/>
              </w:rPr>
              <w:t>$1,106</w:t>
            </w:r>
          </w:p>
        </w:tc>
        <w:tc>
          <w:tcPr>
            <w:tcW w:w="0" w:type="auto"/>
            <w:tcBorders>
              <w:top w:val="nil"/>
              <w:left w:val="nil"/>
              <w:bottom w:val="single" w:sz="4" w:space="0" w:color="auto"/>
              <w:right w:val="single" w:sz="4" w:space="0" w:color="auto"/>
            </w:tcBorders>
            <w:shd w:val="clear" w:color="auto" w:fill="auto"/>
            <w:vAlign w:val="center"/>
            <w:hideMark/>
          </w:tcPr>
          <w:p w14:paraId="7EFA2D3F" w14:textId="77777777" w:rsidR="00572995" w:rsidRPr="00483EBE" w:rsidRDefault="00572995" w:rsidP="00E8324D">
            <w:pPr>
              <w:pStyle w:val="Tablas"/>
              <w:rPr>
                <w:sz w:val="12"/>
                <w:szCs w:val="12"/>
              </w:rPr>
            </w:pPr>
            <w:r w:rsidRPr="00483EBE">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5EA6D52D"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14D12F6" w14:textId="77777777" w:rsidR="00572995" w:rsidRPr="00483EBE" w:rsidRDefault="00572995" w:rsidP="00E8324D">
            <w:pPr>
              <w:pStyle w:val="Tablas"/>
              <w:rPr>
                <w:sz w:val="12"/>
                <w:szCs w:val="12"/>
              </w:rPr>
            </w:pPr>
            <w:r w:rsidRPr="00483EBE">
              <w:rPr>
                <w:sz w:val="12"/>
                <w:szCs w:val="12"/>
              </w:rPr>
              <w:t>SM</w:t>
            </w:r>
          </w:p>
        </w:tc>
      </w:tr>
      <w:tr w:rsidR="00572995" w:rsidRPr="00483EBE" w14:paraId="3A72A84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8AAEDF2"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50775F4A"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0E8F75D3" w14:textId="77777777" w:rsidR="00572995" w:rsidRPr="00483EBE" w:rsidRDefault="00572995" w:rsidP="00E8324D">
            <w:pPr>
              <w:pStyle w:val="Tablas"/>
              <w:rPr>
                <w:sz w:val="12"/>
                <w:szCs w:val="12"/>
              </w:rPr>
            </w:pPr>
            <w:r w:rsidRPr="00483EBE">
              <w:rPr>
                <w:sz w:val="12"/>
                <w:szCs w:val="12"/>
              </w:rPr>
              <w:t>$5,580</w:t>
            </w:r>
          </w:p>
        </w:tc>
        <w:tc>
          <w:tcPr>
            <w:tcW w:w="0" w:type="auto"/>
            <w:tcBorders>
              <w:top w:val="nil"/>
              <w:left w:val="nil"/>
              <w:bottom w:val="single" w:sz="4" w:space="0" w:color="auto"/>
              <w:right w:val="single" w:sz="4" w:space="0" w:color="auto"/>
            </w:tcBorders>
            <w:shd w:val="clear" w:color="auto" w:fill="auto"/>
            <w:vAlign w:val="center"/>
            <w:hideMark/>
          </w:tcPr>
          <w:p w14:paraId="30A7CE42" w14:textId="77777777" w:rsidR="00572995" w:rsidRPr="00483EBE" w:rsidRDefault="00572995" w:rsidP="00E8324D">
            <w:pPr>
              <w:pStyle w:val="Tablas"/>
              <w:rPr>
                <w:sz w:val="12"/>
                <w:szCs w:val="12"/>
              </w:rPr>
            </w:pPr>
            <w:r w:rsidRPr="00483EBE">
              <w:rPr>
                <w:sz w:val="12"/>
                <w:szCs w:val="12"/>
              </w:rPr>
              <w:t>$1,395</w:t>
            </w:r>
          </w:p>
        </w:tc>
        <w:tc>
          <w:tcPr>
            <w:tcW w:w="0" w:type="auto"/>
            <w:tcBorders>
              <w:top w:val="nil"/>
              <w:left w:val="nil"/>
              <w:bottom w:val="single" w:sz="4" w:space="0" w:color="auto"/>
              <w:right w:val="single" w:sz="4" w:space="0" w:color="auto"/>
            </w:tcBorders>
            <w:shd w:val="clear" w:color="auto" w:fill="auto"/>
            <w:vAlign w:val="center"/>
            <w:hideMark/>
          </w:tcPr>
          <w:p w14:paraId="30A09311" w14:textId="77777777" w:rsidR="00572995" w:rsidRPr="00483EBE" w:rsidRDefault="00572995" w:rsidP="00E8324D">
            <w:pPr>
              <w:pStyle w:val="Tablas"/>
              <w:rPr>
                <w:sz w:val="12"/>
                <w:szCs w:val="12"/>
              </w:rPr>
            </w:pPr>
            <w:r w:rsidRPr="00483EBE">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1B36CBE5"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038C61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D1344A8" w14:textId="77777777" w:rsidR="00572995" w:rsidRPr="00483EBE" w:rsidRDefault="00572995" w:rsidP="00E8324D">
            <w:pPr>
              <w:pStyle w:val="Tablas"/>
              <w:rPr>
                <w:sz w:val="12"/>
                <w:szCs w:val="12"/>
              </w:rPr>
            </w:pPr>
            <w:r w:rsidRPr="00483EBE">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273DA9A3" w14:textId="77777777" w:rsidR="00572995" w:rsidRPr="00483EBE" w:rsidRDefault="00572995" w:rsidP="00E8324D">
            <w:pPr>
              <w:pStyle w:val="Tablas"/>
              <w:rPr>
                <w:sz w:val="12"/>
                <w:szCs w:val="12"/>
              </w:rPr>
            </w:pPr>
            <w:r w:rsidRPr="00483EBE">
              <w:rPr>
                <w:sz w:val="12"/>
                <w:szCs w:val="12"/>
              </w:rPr>
              <w:t xml:space="preserve">33 </w:t>
            </w:r>
          </w:p>
        </w:tc>
        <w:tc>
          <w:tcPr>
            <w:tcW w:w="0" w:type="auto"/>
            <w:tcBorders>
              <w:top w:val="nil"/>
              <w:left w:val="nil"/>
              <w:bottom w:val="single" w:sz="4" w:space="0" w:color="auto"/>
              <w:right w:val="single" w:sz="4" w:space="0" w:color="auto"/>
            </w:tcBorders>
            <w:shd w:val="clear" w:color="auto" w:fill="auto"/>
            <w:vAlign w:val="center"/>
            <w:hideMark/>
          </w:tcPr>
          <w:p w14:paraId="03A1AC6F" w14:textId="77777777" w:rsidR="00572995" w:rsidRPr="00483EBE" w:rsidRDefault="00572995" w:rsidP="00E8324D">
            <w:pPr>
              <w:pStyle w:val="Tablas"/>
              <w:rPr>
                <w:sz w:val="12"/>
                <w:szCs w:val="12"/>
              </w:rPr>
            </w:pPr>
            <w:r w:rsidRPr="00483EBE">
              <w:rPr>
                <w:sz w:val="12"/>
                <w:szCs w:val="12"/>
              </w:rPr>
              <w:t>$32,768</w:t>
            </w:r>
          </w:p>
        </w:tc>
        <w:tc>
          <w:tcPr>
            <w:tcW w:w="0" w:type="auto"/>
            <w:tcBorders>
              <w:top w:val="nil"/>
              <w:left w:val="nil"/>
              <w:bottom w:val="single" w:sz="4" w:space="0" w:color="auto"/>
              <w:right w:val="single" w:sz="4" w:space="0" w:color="auto"/>
            </w:tcBorders>
            <w:shd w:val="clear" w:color="auto" w:fill="auto"/>
            <w:vAlign w:val="center"/>
            <w:hideMark/>
          </w:tcPr>
          <w:p w14:paraId="6C60C61C" w14:textId="77777777" w:rsidR="00572995" w:rsidRPr="00483EBE" w:rsidRDefault="00572995" w:rsidP="00E8324D">
            <w:pPr>
              <w:pStyle w:val="Tablas"/>
              <w:rPr>
                <w:sz w:val="12"/>
                <w:szCs w:val="12"/>
              </w:rPr>
            </w:pPr>
            <w:r w:rsidRPr="00483EBE">
              <w:rPr>
                <w:sz w:val="12"/>
                <w:szCs w:val="12"/>
              </w:rPr>
              <w:t>$993</w:t>
            </w:r>
          </w:p>
        </w:tc>
        <w:tc>
          <w:tcPr>
            <w:tcW w:w="0" w:type="auto"/>
            <w:tcBorders>
              <w:top w:val="nil"/>
              <w:left w:val="nil"/>
              <w:bottom w:val="single" w:sz="4" w:space="0" w:color="auto"/>
              <w:right w:val="single" w:sz="4" w:space="0" w:color="auto"/>
            </w:tcBorders>
            <w:shd w:val="clear" w:color="auto" w:fill="auto"/>
            <w:vAlign w:val="center"/>
            <w:hideMark/>
          </w:tcPr>
          <w:p w14:paraId="579D0B51"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3EC8190A"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1D755CB7" w14:textId="77777777" w:rsidR="00572995" w:rsidRPr="00483EBE" w:rsidRDefault="00572995" w:rsidP="00E8324D">
            <w:pPr>
              <w:pStyle w:val="Tablas"/>
              <w:rPr>
                <w:sz w:val="12"/>
                <w:szCs w:val="12"/>
              </w:rPr>
            </w:pPr>
            <w:r w:rsidRPr="00483EBE">
              <w:rPr>
                <w:sz w:val="12"/>
                <w:szCs w:val="12"/>
              </w:rPr>
              <w:t>SM</w:t>
            </w:r>
          </w:p>
        </w:tc>
      </w:tr>
      <w:tr w:rsidR="00572995" w:rsidRPr="00483EBE" w14:paraId="4FF9A7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BAE96CA"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53DBABE8"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D5ECC08" w14:textId="77777777" w:rsidR="00572995" w:rsidRPr="00483EBE" w:rsidRDefault="00572995" w:rsidP="00E8324D">
            <w:pPr>
              <w:pStyle w:val="Tablas"/>
              <w:rPr>
                <w:sz w:val="12"/>
                <w:szCs w:val="12"/>
              </w:rPr>
            </w:pPr>
            <w:r w:rsidRPr="00483EBE">
              <w:rPr>
                <w:sz w:val="12"/>
                <w:szCs w:val="12"/>
              </w:rPr>
              <w:t>$4,888</w:t>
            </w:r>
          </w:p>
        </w:tc>
        <w:tc>
          <w:tcPr>
            <w:tcW w:w="0" w:type="auto"/>
            <w:tcBorders>
              <w:top w:val="nil"/>
              <w:left w:val="nil"/>
              <w:bottom w:val="single" w:sz="4" w:space="0" w:color="auto"/>
              <w:right w:val="single" w:sz="4" w:space="0" w:color="auto"/>
            </w:tcBorders>
            <w:shd w:val="clear" w:color="auto" w:fill="auto"/>
            <w:vAlign w:val="center"/>
            <w:hideMark/>
          </w:tcPr>
          <w:p w14:paraId="28C62633" w14:textId="77777777" w:rsidR="00572995" w:rsidRPr="00483EBE" w:rsidRDefault="00572995" w:rsidP="00E8324D">
            <w:pPr>
              <w:pStyle w:val="Tablas"/>
              <w:rPr>
                <w:sz w:val="12"/>
                <w:szCs w:val="12"/>
              </w:rPr>
            </w:pPr>
            <w:r w:rsidRPr="00483EBE">
              <w:rPr>
                <w:sz w:val="12"/>
                <w:szCs w:val="12"/>
              </w:rPr>
              <w:t>$2,444</w:t>
            </w:r>
          </w:p>
        </w:tc>
        <w:tc>
          <w:tcPr>
            <w:tcW w:w="0" w:type="auto"/>
            <w:tcBorders>
              <w:top w:val="nil"/>
              <w:left w:val="nil"/>
              <w:bottom w:val="single" w:sz="4" w:space="0" w:color="auto"/>
              <w:right w:val="single" w:sz="4" w:space="0" w:color="auto"/>
            </w:tcBorders>
            <w:shd w:val="clear" w:color="auto" w:fill="auto"/>
            <w:vAlign w:val="center"/>
            <w:hideMark/>
          </w:tcPr>
          <w:p w14:paraId="54B43D74" w14:textId="77777777" w:rsidR="00572995" w:rsidRPr="00483EBE" w:rsidRDefault="00572995" w:rsidP="00E8324D">
            <w:pPr>
              <w:pStyle w:val="Tablas"/>
              <w:rPr>
                <w:sz w:val="12"/>
                <w:szCs w:val="12"/>
              </w:rPr>
            </w:pPr>
            <w:r w:rsidRPr="00483EBE">
              <w:rPr>
                <w:sz w:val="12"/>
                <w:szCs w:val="12"/>
              </w:rPr>
              <w:t>$204</w:t>
            </w:r>
          </w:p>
        </w:tc>
        <w:tc>
          <w:tcPr>
            <w:tcW w:w="0" w:type="auto"/>
            <w:tcBorders>
              <w:top w:val="nil"/>
              <w:left w:val="nil"/>
              <w:bottom w:val="single" w:sz="4" w:space="0" w:color="auto"/>
              <w:right w:val="single" w:sz="4" w:space="0" w:color="auto"/>
            </w:tcBorders>
            <w:shd w:val="clear" w:color="auto" w:fill="auto"/>
            <w:vAlign w:val="center"/>
            <w:hideMark/>
          </w:tcPr>
          <w:p w14:paraId="21A67D8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B2B98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83D116" w14:textId="77777777" w:rsidR="00572995" w:rsidRPr="00483EBE" w:rsidRDefault="00572995" w:rsidP="00E8324D">
            <w:pPr>
              <w:pStyle w:val="Tablas"/>
              <w:rPr>
                <w:sz w:val="12"/>
                <w:szCs w:val="12"/>
              </w:rPr>
            </w:pPr>
            <w:r w:rsidRPr="00483EBE">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35F90F03" w14:textId="77777777" w:rsidR="00572995" w:rsidRPr="00483EBE" w:rsidRDefault="00572995" w:rsidP="00E8324D">
            <w:pPr>
              <w:pStyle w:val="Tablas"/>
              <w:rPr>
                <w:sz w:val="12"/>
                <w:szCs w:val="12"/>
              </w:rPr>
            </w:pPr>
            <w:r w:rsidRPr="00483EBE">
              <w:rPr>
                <w:sz w:val="12"/>
                <w:szCs w:val="12"/>
              </w:rPr>
              <w:t xml:space="preserve">41 </w:t>
            </w:r>
          </w:p>
        </w:tc>
        <w:tc>
          <w:tcPr>
            <w:tcW w:w="0" w:type="auto"/>
            <w:tcBorders>
              <w:top w:val="nil"/>
              <w:left w:val="nil"/>
              <w:bottom w:val="single" w:sz="4" w:space="0" w:color="auto"/>
              <w:right w:val="single" w:sz="4" w:space="0" w:color="auto"/>
            </w:tcBorders>
            <w:shd w:val="clear" w:color="auto" w:fill="auto"/>
            <w:vAlign w:val="center"/>
            <w:hideMark/>
          </w:tcPr>
          <w:p w14:paraId="2EC1ADA6" w14:textId="77777777" w:rsidR="00572995" w:rsidRPr="00483EBE" w:rsidRDefault="00572995" w:rsidP="00E8324D">
            <w:pPr>
              <w:pStyle w:val="Tablas"/>
              <w:rPr>
                <w:sz w:val="12"/>
                <w:szCs w:val="12"/>
              </w:rPr>
            </w:pPr>
            <w:r w:rsidRPr="00483EBE">
              <w:rPr>
                <w:sz w:val="12"/>
                <w:szCs w:val="12"/>
              </w:rPr>
              <w:t>$48,429</w:t>
            </w:r>
          </w:p>
        </w:tc>
        <w:tc>
          <w:tcPr>
            <w:tcW w:w="0" w:type="auto"/>
            <w:tcBorders>
              <w:top w:val="nil"/>
              <w:left w:val="nil"/>
              <w:bottom w:val="single" w:sz="4" w:space="0" w:color="auto"/>
              <w:right w:val="single" w:sz="4" w:space="0" w:color="auto"/>
            </w:tcBorders>
            <w:shd w:val="clear" w:color="auto" w:fill="auto"/>
            <w:vAlign w:val="center"/>
            <w:hideMark/>
          </w:tcPr>
          <w:p w14:paraId="572F7EB0" w14:textId="77777777" w:rsidR="00572995" w:rsidRPr="00483EBE" w:rsidRDefault="00572995" w:rsidP="00E8324D">
            <w:pPr>
              <w:pStyle w:val="Tablas"/>
              <w:rPr>
                <w:sz w:val="12"/>
                <w:szCs w:val="12"/>
              </w:rPr>
            </w:pPr>
            <w:r w:rsidRPr="00483EBE">
              <w:rPr>
                <w:sz w:val="12"/>
                <w:szCs w:val="12"/>
              </w:rPr>
              <w:t>$1,181</w:t>
            </w:r>
          </w:p>
        </w:tc>
        <w:tc>
          <w:tcPr>
            <w:tcW w:w="0" w:type="auto"/>
            <w:tcBorders>
              <w:top w:val="nil"/>
              <w:left w:val="nil"/>
              <w:bottom w:val="single" w:sz="4" w:space="0" w:color="auto"/>
              <w:right w:val="single" w:sz="4" w:space="0" w:color="auto"/>
            </w:tcBorders>
            <w:shd w:val="clear" w:color="auto" w:fill="auto"/>
            <w:vAlign w:val="center"/>
            <w:hideMark/>
          </w:tcPr>
          <w:p w14:paraId="541C076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525579C6"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342D7BF8" w14:textId="77777777" w:rsidR="00572995" w:rsidRPr="00483EBE" w:rsidRDefault="00572995" w:rsidP="00E8324D">
            <w:pPr>
              <w:pStyle w:val="Tablas"/>
              <w:rPr>
                <w:sz w:val="12"/>
                <w:szCs w:val="12"/>
              </w:rPr>
            </w:pPr>
            <w:r w:rsidRPr="00483EBE">
              <w:rPr>
                <w:sz w:val="12"/>
                <w:szCs w:val="12"/>
              </w:rPr>
              <w:t>SM</w:t>
            </w:r>
          </w:p>
        </w:tc>
      </w:tr>
      <w:tr w:rsidR="00572995" w:rsidRPr="00483EBE" w14:paraId="20B773B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78F00CD"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041E8CB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3084270" w14:textId="77777777" w:rsidR="00572995" w:rsidRPr="00483EBE" w:rsidRDefault="00572995" w:rsidP="00E8324D">
            <w:pPr>
              <w:pStyle w:val="Tablas"/>
              <w:rPr>
                <w:sz w:val="12"/>
                <w:szCs w:val="12"/>
              </w:rPr>
            </w:pPr>
            <w:r w:rsidRPr="00483EBE">
              <w:rPr>
                <w:sz w:val="12"/>
                <w:szCs w:val="12"/>
              </w:rPr>
              <w:t>$1,172</w:t>
            </w:r>
          </w:p>
        </w:tc>
        <w:tc>
          <w:tcPr>
            <w:tcW w:w="0" w:type="auto"/>
            <w:tcBorders>
              <w:top w:val="nil"/>
              <w:left w:val="nil"/>
              <w:bottom w:val="single" w:sz="4" w:space="0" w:color="auto"/>
              <w:right w:val="single" w:sz="4" w:space="0" w:color="auto"/>
            </w:tcBorders>
            <w:shd w:val="clear" w:color="auto" w:fill="auto"/>
            <w:vAlign w:val="center"/>
            <w:hideMark/>
          </w:tcPr>
          <w:p w14:paraId="0EE977E4" w14:textId="77777777" w:rsidR="00572995" w:rsidRPr="00483EBE" w:rsidRDefault="00572995" w:rsidP="00E8324D">
            <w:pPr>
              <w:pStyle w:val="Tablas"/>
              <w:rPr>
                <w:sz w:val="12"/>
                <w:szCs w:val="12"/>
              </w:rPr>
            </w:pPr>
            <w:r w:rsidRPr="00483EBE">
              <w:rPr>
                <w:sz w:val="12"/>
                <w:szCs w:val="12"/>
              </w:rPr>
              <w:t>$1,172</w:t>
            </w:r>
          </w:p>
        </w:tc>
        <w:tc>
          <w:tcPr>
            <w:tcW w:w="0" w:type="auto"/>
            <w:tcBorders>
              <w:top w:val="nil"/>
              <w:left w:val="nil"/>
              <w:bottom w:val="single" w:sz="4" w:space="0" w:color="auto"/>
              <w:right w:val="single" w:sz="4" w:space="0" w:color="auto"/>
            </w:tcBorders>
            <w:shd w:val="clear" w:color="auto" w:fill="auto"/>
            <w:vAlign w:val="center"/>
            <w:hideMark/>
          </w:tcPr>
          <w:p w14:paraId="2DA917F5"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4B08D95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D868F16"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2C067A" w14:textId="77777777" w:rsidR="00572995" w:rsidRPr="00483EBE" w:rsidRDefault="00572995" w:rsidP="00E8324D">
            <w:pPr>
              <w:pStyle w:val="Tablas"/>
              <w:rPr>
                <w:sz w:val="12"/>
                <w:szCs w:val="12"/>
              </w:rPr>
            </w:pPr>
            <w:r w:rsidRPr="00483EBE">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1A0134BD" w14:textId="77777777" w:rsidR="00572995" w:rsidRPr="00483EBE" w:rsidRDefault="00572995" w:rsidP="00E8324D">
            <w:pPr>
              <w:pStyle w:val="Tablas"/>
              <w:rPr>
                <w:sz w:val="12"/>
                <w:szCs w:val="12"/>
              </w:rPr>
            </w:pPr>
            <w:r w:rsidRPr="00483EBE">
              <w:rPr>
                <w:sz w:val="12"/>
                <w:szCs w:val="12"/>
              </w:rPr>
              <w:t xml:space="preserve">32 </w:t>
            </w:r>
          </w:p>
        </w:tc>
        <w:tc>
          <w:tcPr>
            <w:tcW w:w="0" w:type="auto"/>
            <w:tcBorders>
              <w:top w:val="nil"/>
              <w:left w:val="nil"/>
              <w:bottom w:val="single" w:sz="4" w:space="0" w:color="auto"/>
              <w:right w:val="single" w:sz="4" w:space="0" w:color="auto"/>
            </w:tcBorders>
            <w:shd w:val="clear" w:color="auto" w:fill="auto"/>
            <w:vAlign w:val="center"/>
            <w:hideMark/>
          </w:tcPr>
          <w:p w14:paraId="3B50F5E6" w14:textId="77777777" w:rsidR="00572995" w:rsidRPr="00483EBE" w:rsidRDefault="00572995" w:rsidP="00E8324D">
            <w:pPr>
              <w:pStyle w:val="Tablas"/>
              <w:rPr>
                <w:sz w:val="12"/>
                <w:szCs w:val="12"/>
              </w:rPr>
            </w:pPr>
            <w:r w:rsidRPr="00483EBE">
              <w:rPr>
                <w:sz w:val="12"/>
                <w:szCs w:val="12"/>
              </w:rPr>
              <w:t>$36,068</w:t>
            </w:r>
          </w:p>
        </w:tc>
        <w:tc>
          <w:tcPr>
            <w:tcW w:w="0" w:type="auto"/>
            <w:tcBorders>
              <w:top w:val="nil"/>
              <w:left w:val="nil"/>
              <w:bottom w:val="single" w:sz="4" w:space="0" w:color="auto"/>
              <w:right w:val="single" w:sz="4" w:space="0" w:color="auto"/>
            </w:tcBorders>
            <w:shd w:val="clear" w:color="auto" w:fill="auto"/>
            <w:vAlign w:val="center"/>
            <w:hideMark/>
          </w:tcPr>
          <w:p w14:paraId="2BF65E16" w14:textId="77777777" w:rsidR="00572995" w:rsidRPr="00483EBE" w:rsidRDefault="00572995" w:rsidP="00E8324D">
            <w:pPr>
              <w:pStyle w:val="Tablas"/>
              <w:rPr>
                <w:sz w:val="12"/>
                <w:szCs w:val="12"/>
              </w:rPr>
            </w:pPr>
            <w:r w:rsidRPr="00483EBE">
              <w:rPr>
                <w:sz w:val="12"/>
                <w:szCs w:val="12"/>
              </w:rPr>
              <w:t>$1,127</w:t>
            </w:r>
          </w:p>
        </w:tc>
        <w:tc>
          <w:tcPr>
            <w:tcW w:w="0" w:type="auto"/>
            <w:tcBorders>
              <w:top w:val="nil"/>
              <w:left w:val="nil"/>
              <w:bottom w:val="single" w:sz="4" w:space="0" w:color="auto"/>
              <w:right w:val="single" w:sz="4" w:space="0" w:color="auto"/>
            </w:tcBorders>
            <w:shd w:val="clear" w:color="auto" w:fill="auto"/>
            <w:vAlign w:val="center"/>
            <w:hideMark/>
          </w:tcPr>
          <w:p w14:paraId="25842A31" w14:textId="77777777" w:rsidR="00572995" w:rsidRPr="00483EBE" w:rsidRDefault="00572995" w:rsidP="00E8324D">
            <w:pPr>
              <w:pStyle w:val="Tablas"/>
              <w:rPr>
                <w:sz w:val="12"/>
                <w:szCs w:val="12"/>
              </w:rPr>
            </w:pPr>
            <w:r w:rsidRPr="00483EBE">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5A53561E"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4A1B9F34" w14:textId="77777777" w:rsidR="00572995" w:rsidRPr="00483EBE" w:rsidRDefault="00572995" w:rsidP="00E8324D">
            <w:pPr>
              <w:pStyle w:val="Tablas"/>
              <w:rPr>
                <w:sz w:val="12"/>
                <w:szCs w:val="12"/>
              </w:rPr>
            </w:pPr>
            <w:r w:rsidRPr="00483EBE">
              <w:rPr>
                <w:sz w:val="12"/>
                <w:szCs w:val="12"/>
              </w:rPr>
              <w:t>SM</w:t>
            </w:r>
          </w:p>
        </w:tc>
      </w:tr>
      <w:tr w:rsidR="00572995" w:rsidRPr="00483EBE" w14:paraId="50D3BC1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8DF2DEA" w14:textId="77777777" w:rsidR="00572995" w:rsidRPr="00483EBE" w:rsidRDefault="00572995" w:rsidP="00E8324D">
            <w:pPr>
              <w:pStyle w:val="Tablas"/>
              <w:rPr>
                <w:sz w:val="12"/>
                <w:szCs w:val="12"/>
              </w:rPr>
            </w:pPr>
            <w:r w:rsidRPr="00483EBE">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64F13C34"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59F7AB3" w14:textId="77777777" w:rsidR="00572995" w:rsidRPr="00483EBE" w:rsidRDefault="00572995" w:rsidP="00E8324D">
            <w:pPr>
              <w:pStyle w:val="Tablas"/>
              <w:rPr>
                <w:sz w:val="12"/>
                <w:szCs w:val="12"/>
              </w:rPr>
            </w:pPr>
            <w:r w:rsidRPr="00483EBE">
              <w:rPr>
                <w:sz w:val="12"/>
                <w:szCs w:val="12"/>
              </w:rPr>
              <w:t>$1,974</w:t>
            </w:r>
          </w:p>
        </w:tc>
        <w:tc>
          <w:tcPr>
            <w:tcW w:w="0" w:type="auto"/>
            <w:tcBorders>
              <w:top w:val="nil"/>
              <w:left w:val="nil"/>
              <w:bottom w:val="single" w:sz="4" w:space="0" w:color="auto"/>
              <w:right w:val="single" w:sz="4" w:space="0" w:color="auto"/>
            </w:tcBorders>
            <w:shd w:val="clear" w:color="auto" w:fill="auto"/>
            <w:vAlign w:val="center"/>
            <w:hideMark/>
          </w:tcPr>
          <w:p w14:paraId="2232D668" w14:textId="77777777" w:rsidR="00572995" w:rsidRPr="00483EBE" w:rsidRDefault="00572995" w:rsidP="00E8324D">
            <w:pPr>
              <w:pStyle w:val="Tablas"/>
              <w:rPr>
                <w:sz w:val="12"/>
                <w:szCs w:val="12"/>
              </w:rPr>
            </w:pPr>
            <w:r w:rsidRPr="00483EBE">
              <w:rPr>
                <w:sz w:val="12"/>
                <w:szCs w:val="12"/>
              </w:rPr>
              <w:t>$987</w:t>
            </w:r>
          </w:p>
        </w:tc>
        <w:tc>
          <w:tcPr>
            <w:tcW w:w="0" w:type="auto"/>
            <w:tcBorders>
              <w:top w:val="nil"/>
              <w:left w:val="nil"/>
              <w:bottom w:val="single" w:sz="4" w:space="0" w:color="auto"/>
              <w:right w:val="single" w:sz="4" w:space="0" w:color="auto"/>
            </w:tcBorders>
            <w:shd w:val="clear" w:color="auto" w:fill="auto"/>
            <w:vAlign w:val="center"/>
            <w:hideMark/>
          </w:tcPr>
          <w:p w14:paraId="13582229"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37233239"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C4A7871"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FB68AF" w14:textId="77777777" w:rsidR="00572995" w:rsidRPr="00483EBE" w:rsidRDefault="00572995" w:rsidP="00E8324D">
            <w:pPr>
              <w:pStyle w:val="Tablas"/>
              <w:rPr>
                <w:sz w:val="12"/>
                <w:szCs w:val="12"/>
              </w:rPr>
            </w:pPr>
            <w:r w:rsidRPr="00483EBE">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5AEBCF0C" w14:textId="77777777" w:rsidR="00572995" w:rsidRPr="00483EBE" w:rsidRDefault="00572995" w:rsidP="00E8324D">
            <w:pPr>
              <w:pStyle w:val="Tablas"/>
              <w:rPr>
                <w:sz w:val="12"/>
                <w:szCs w:val="12"/>
              </w:rPr>
            </w:pPr>
            <w:r w:rsidRPr="00483EBE">
              <w:rPr>
                <w:sz w:val="12"/>
                <w:szCs w:val="12"/>
              </w:rPr>
              <w:t xml:space="preserve">48 </w:t>
            </w:r>
          </w:p>
        </w:tc>
        <w:tc>
          <w:tcPr>
            <w:tcW w:w="0" w:type="auto"/>
            <w:tcBorders>
              <w:top w:val="nil"/>
              <w:left w:val="nil"/>
              <w:bottom w:val="single" w:sz="4" w:space="0" w:color="auto"/>
              <w:right w:val="single" w:sz="4" w:space="0" w:color="auto"/>
            </w:tcBorders>
            <w:shd w:val="clear" w:color="auto" w:fill="auto"/>
            <w:vAlign w:val="center"/>
            <w:hideMark/>
          </w:tcPr>
          <w:p w14:paraId="2372F885" w14:textId="77777777" w:rsidR="00572995" w:rsidRPr="00483EBE" w:rsidRDefault="00572995" w:rsidP="00E8324D">
            <w:pPr>
              <w:pStyle w:val="Tablas"/>
              <w:rPr>
                <w:sz w:val="12"/>
                <w:szCs w:val="12"/>
              </w:rPr>
            </w:pPr>
            <w:r w:rsidRPr="00483EBE">
              <w:rPr>
                <w:sz w:val="12"/>
                <w:szCs w:val="12"/>
              </w:rPr>
              <w:t>$48,965</w:t>
            </w:r>
          </w:p>
        </w:tc>
        <w:tc>
          <w:tcPr>
            <w:tcW w:w="0" w:type="auto"/>
            <w:tcBorders>
              <w:top w:val="nil"/>
              <w:left w:val="nil"/>
              <w:bottom w:val="single" w:sz="4" w:space="0" w:color="auto"/>
              <w:right w:val="single" w:sz="4" w:space="0" w:color="auto"/>
            </w:tcBorders>
            <w:shd w:val="clear" w:color="auto" w:fill="auto"/>
            <w:vAlign w:val="center"/>
            <w:hideMark/>
          </w:tcPr>
          <w:p w14:paraId="0CB4D525" w14:textId="77777777" w:rsidR="00572995" w:rsidRPr="00483EBE" w:rsidRDefault="00572995" w:rsidP="00E8324D">
            <w:pPr>
              <w:pStyle w:val="Tablas"/>
              <w:rPr>
                <w:sz w:val="12"/>
                <w:szCs w:val="12"/>
              </w:rPr>
            </w:pPr>
            <w:r w:rsidRPr="00483EBE">
              <w:rPr>
                <w:sz w:val="12"/>
                <w:szCs w:val="12"/>
              </w:rPr>
              <w:t>$1,020</w:t>
            </w:r>
          </w:p>
        </w:tc>
        <w:tc>
          <w:tcPr>
            <w:tcW w:w="0" w:type="auto"/>
            <w:tcBorders>
              <w:top w:val="nil"/>
              <w:left w:val="nil"/>
              <w:bottom w:val="single" w:sz="4" w:space="0" w:color="auto"/>
              <w:right w:val="single" w:sz="4" w:space="0" w:color="auto"/>
            </w:tcBorders>
            <w:shd w:val="clear" w:color="auto" w:fill="auto"/>
            <w:vAlign w:val="center"/>
            <w:hideMark/>
          </w:tcPr>
          <w:p w14:paraId="1061A338"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0CBF465B"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20FACE94" w14:textId="77777777" w:rsidR="00572995" w:rsidRPr="00483EBE" w:rsidRDefault="00572995" w:rsidP="00E8324D">
            <w:pPr>
              <w:pStyle w:val="Tablas"/>
              <w:rPr>
                <w:sz w:val="12"/>
                <w:szCs w:val="12"/>
              </w:rPr>
            </w:pPr>
            <w:r w:rsidRPr="00483EBE">
              <w:rPr>
                <w:sz w:val="12"/>
                <w:szCs w:val="12"/>
              </w:rPr>
              <w:t>SM</w:t>
            </w:r>
          </w:p>
        </w:tc>
      </w:tr>
      <w:tr w:rsidR="00572995" w:rsidRPr="00483EBE" w14:paraId="6EFE889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5E46EC9"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077B157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7F29CFE" w14:textId="77777777" w:rsidR="00572995" w:rsidRPr="00483EBE" w:rsidRDefault="00572995" w:rsidP="00E8324D">
            <w:pPr>
              <w:pStyle w:val="Tablas"/>
              <w:rPr>
                <w:sz w:val="12"/>
                <w:szCs w:val="12"/>
              </w:rPr>
            </w:pPr>
            <w:r w:rsidRPr="00483EBE">
              <w:rPr>
                <w:sz w:val="12"/>
                <w:szCs w:val="12"/>
              </w:rPr>
              <w:t>$1,715</w:t>
            </w:r>
          </w:p>
        </w:tc>
        <w:tc>
          <w:tcPr>
            <w:tcW w:w="0" w:type="auto"/>
            <w:tcBorders>
              <w:top w:val="nil"/>
              <w:left w:val="nil"/>
              <w:bottom w:val="single" w:sz="4" w:space="0" w:color="auto"/>
              <w:right w:val="single" w:sz="4" w:space="0" w:color="auto"/>
            </w:tcBorders>
            <w:shd w:val="clear" w:color="auto" w:fill="auto"/>
            <w:vAlign w:val="center"/>
            <w:hideMark/>
          </w:tcPr>
          <w:p w14:paraId="517D894D" w14:textId="77777777" w:rsidR="00572995" w:rsidRPr="00483EBE" w:rsidRDefault="00572995" w:rsidP="00E8324D">
            <w:pPr>
              <w:pStyle w:val="Tablas"/>
              <w:rPr>
                <w:sz w:val="12"/>
                <w:szCs w:val="12"/>
              </w:rPr>
            </w:pPr>
            <w:r w:rsidRPr="00483EBE">
              <w:rPr>
                <w:sz w:val="12"/>
                <w:szCs w:val="12"/>
              </w:rPr>
              <w:t>$1,715</w:t>
            </w:r>
          </w:p>
        </w:tc>
        <w:tc>
          <w:tcPr>
            <w:tcW w:w="0" w:type="auto"/>
            <w:tcBorders>
              <w:top w:val="nil"/>
              <w:left w:val="nil"/>
              <w:bottom w:val="single" w:sz="4" w:space="0" w:color="auto"/>
              <w:right w:val="single" w:sz="4" w:space="0" w:color="auto"/>
            </w:tcBorders>
            <w:shd w:val="clear" w:color="auto" w:fill="auto"/>
            <w:vAlign w:val="center"/>
            <w:hideMark/>
          </w:tcPr>
          <w:p w14:paraId="58091E52" w14:textId="77777777" w:rsidR="00572995" w:rsidRPr="00483EBE" w:rsidRDefault="00572995" w:rsidP="00E8324D">
            <w:pPr>
              <w:pStyle w:val="Tablas"/>
              <w:rPr>
                <w:sz w:val="12"/>
                <w:szCs w:val="12"/>
              </w:rPr>
            </w:pPr>
            <w:r w:rsidRPr="00483EBE">
              <w:rPr>
                <w:sz w:val="12"/>
                <w:szCs w:val="12"/>
              </w:rPr>
              <w:t>$143</w:t>
            </w:r>
          </w:p>
        </w:tc>
        <w:tc>
          <w:tcPr>
            <w:tcW w:w="0" w:type="auto"/>
            <w:tcBorders>
              <w:top w:val="nil"/>
              <w:left w:val="nil"/>
              <w:bottom w:val="single" w:sz="4" w:space="0" w:color="auto"/>
              <w:right w:val="single" w:sz="4" w:space="0" w:color="auto"/>
            </w:tcBorders>
            <w:shd w:val="clear" w:color="auto" w:fill="auto"/>
            <w:vAlign w:val="center"/>
            <w:hideMark/>
          </w:tcPr>
          <w:p w14:paraId="70DD175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CD53F7E"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F1AB5A" w14:textId="77777777" w:rsidR="00572995" w:rsidRPr="00483EBE" w:rsidRDefault="00572995" w:rsidP="00E8324D">
            <w:pPr>
              <w:pStyle w:val="Tablas"/>
              <w:rPr>
                <w:sz w:val="12"/>
                <w:szCs w:val="12"/>
              </w:rPr>
            </w:pPr>
            <w:r w:rsidRPr="00483EBE">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114768CD" w14:textId="77777777" w:rsidR="00572995" w:rsidRPr="00483EBE" w:rsidRDefault="00572995" w:rsidP="00E8324D">
            <w:pPr>
              <w:pStyle w:val="Tablas"/>
              <w:rPr>
                <w:sz w:val="12"/>
                <w:szCs w:val="12"/>
              </w:rPr>
            </w:pPr>
            <w:r w:rsidRPr="00483EBE">
              <w:rPr>
                <w:sz w:val="12"/>
                <w:szCs w:val="12"/>
              </w:rPr>
              <w:t xml:space="preserve">38 </w:t>
            </w:r>
          </w:p>
        </w:tc>
        <w:tc>
          <w:tcPr>
            <w:tcW w:w="0" w:type="auto"/>
            <w:tcBorders>
              <w:top w:val="nil"/>
              <w:left w:val="nil"/>
              <w:bottom w:val="single" w:sz="4" w:space="0" w:color="auto"/>
              <w:right w:val="single" w:sz="4" w:space="0" w:color="auto"/>
            </w:tcBorders>
            <w:shd w:val="clear" w:color="auto" w:fill="auto"/>
            <w:vAlign w:val="center"/>
            <w:hideMark/>
          </w:tcPr>
          <w:p w14:paraId="7B8C306C" w14:textId="77777777" w:rsidR="00572995" w:rsidRPr="00483EBE" w:rsidRDefault="00572995" w:rsidP="00E8324D">
            <w:pPr>
              <w:pStyle w:val="Tablas"/>
              <w:rPr>
                <w:sz w:val="12"/>
                <w:szCs w:val="12"/>
              </w:rPr>
            </w:pPr>
            <w:r w:rsidRPr="00483EBE">
              <w:rPr>
                <w:sz w:val="12"/>
                <w:szCs w:val="12"/>
              </w:rPr>
              <w:t>$41,530</w:t>
            </w:r>
          </w:p>
        </w:tc>
        <w:tc>
          <w:tcPr>
            <w:tcW w:w="0" w:type="auto"/>
            <w:tcBorders>
              <w:top w:val="nil"/>
              <w:left w:val="nil"/>
              <w:bottom w:val="single" w:sz="4" w:space="0" w:color="auto"/>
              <w:right w:val="single" w:sz="4" w:space="0" w:color="auto"/>
            </w:tcBorders>
            <w:shd w:val="clear" w:color="auto" w:fill="auto"/>
            <w:vAlign w:val="center"/>
            <w:hideMark/>
          </w:tcPr>
          <w:p w14:paraId="4C2AA907" w14:textId="77777777" w:rsidR="00572995" w:rsidRPr="00483EBE" w:rsidRDefault="00572995" w:rsidP="00E8324D">
            <w:pPr>
              <w:pStyle w:val="Tablas"/>
              <w:rPr>
                <w:sz w:val="12"/>
                <w:szCs w:val="12"/>
              </w:rPr>
            </w:pPr>
            <w:r w:rsidRPr="00483EBE">
              <w:rPr>
                <w:sz w:val="12"/>
                <w:szCs w:val="12"/>
              </w:rPr>
              <w:t>$1,093</w:t>
            </w:r>
          </w:p>
        </w:tc>
        <w:tc>
          <w:tcPr>
            <w:tcW w:w="0" w:type="auto"/>
            <w:tcBorders>
              <w:top w:val="nil"/>
              <w:left w:val="nil"/>
              <w:bottom w:val="single" w:sz="4" w:space="0" w:color="auto"/>
              <w:right w:val="single" w:sz="4" w:space="0" w:color="auto"/>
            </w:tcBorders>
            <w:shd w:val="clear" w:color="auto" w:fill="auto"/>
            <w:vAlign w:val="center"/>
            <w:hideMark/>
          </w:tcPr>
          <w:p w14:paraId="1BA34CE2" w14:textId="77777777" w:rsidR="00572995" w:rsidRPr="00483EBE" w:rsidRDefault="00572995" w:rsidP="00E8324D">
            <w:pPr>
              <w:pStyle w:val="Tablas"/>
              <w:rPr>
                <w:sz w:val="12"/>
                <w:szCs w:val="12"/>
              </w:rPr>
            </w:pPr>
            <w:r w:rsidRPr="00483EBE">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62C93DAF"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5D505CA2" w14:textId="77777777" w:rsidR="00572995" w:rsidRPr="00483EBE" w:rsidRDefault="00572995" w:rsidP="00E8324D">
            <w:pPr>
              <w:pStyle w:val="Tablas"/>
              <w:rPr>
                <w:sz w:val="12"/>
                <w:szCs w:val="12"/>
              </w:rPr>
            </w:pPr>
            <w:r w:rsidRPr="00483EBE">
              <w:rPr>
                <w:sz w:val="12"/>
                <w:szCs w:val="12"/>
              </w:rPr>
              <w:t>SM</w:t>
            </w:r>
          </w:p>
        </w:tc>
      </w:tr>
      <w:tr w:rsidR="00572995" w:rsidRPr="00483EBE" w14:paraId="15F7AB1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5CA1B16"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257DF0F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B90E7C6" w14:textId="77777777" w:rsidR="00572995" w:rsidRPr="00483EBE" w:rsidRDefault="00572995" w:rsidP="00E8324D">
            <w:pPr>
              <w:pStyle w:val="Tablas"/>
              <w:rPr>
                <w:sz w:val="12"/>
                <w:szCs w:val="12"/>
              </w:rPr>
            </w:pPr>
            <w:r w:rsidRPr="00483EBE">
              <w:rPr>
                <w:sz w:val="12"/>
                <w:szCs w:val="12"/>
              </w:rPr>
              <w:t>$990</w:t>
            </w:r>
          </w:p>
        </w:tc>
        <w:tc>
          <w:tcPr>
            <w:tcW w:w="0" w:type="auto"/>
            <w:tcBorders>
              <w:top w:val="nil"/>
              <w:left w:val="nil"/>
              <w:bottom w:val="single" w:sz="4" w:space="0" w:color="auto"/>
              <w:right w:val="single" w:sz="4" w:space="0" w:color="auto"/>
            </w:tcBorders>
            <w:shd w:val="clear" w:color="auto" w:fill="auto"/>
            <w:vAlign w:val="center"/>
            <w:hideMark/>
          </w:tcPr>
          <w:p w14:paraId="311886CD" w14:textId="77777777" w:rsidR="00572995" w:rsidRPr="00483EBE" w:rsidRDefault="00572995" w:rsidP="00E8324D">
            <w:pPr>
              <w:pStyle w:val="Tablas"/>
              <w:rPr>
                <w:sz w:val="12"/>
                <w:szCs w:val="12"/>
              </w:rPr>
            </w:pPr>
            <w:r w:rsidRPr="00483EBE">
              <w:rPr>
                <w:sz w:val="12"/>
                <w:szCs w:val="12"/>
              </w:rPr>
              <w:t>$990</w:t>
            </w:r>
          </w:p>
        </w:tc>
        <w:tc>
          <w:tcPr>
            <w:tcW w:w="0" w:type="auto"/>
            <w:tcBorders>
              <w:top w:val="nil"/>
              <w:left w:val="nil"/>
              <w:bottom w:val="single" w:sz="4" w:space="0" w:color="auto"/>
              <w:right w:val="single" w:sz="4" w:space="0" w:color="auto"/>
            </w:tcBorders>
            <w:shd w:val="clear" w:color="auto" w:fill="auto"/>
            <w:vAlign w:val="center"/>
            <w:hideMark/>
          </w:tcPr>
          <w:p w14:paraId="14F8214B"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0E22044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A0ADCF4"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DCB4938" w14:textId="77777777" w:rsidR="00572995" w:rsidRPr="00483EBE" w:rsidRDefault="00572995" w:rsidP="00E8324D">
            <w:pPr>
              <w:pStyle w:val="Tablas"/>
              <w:rPr>
                <w:sz w:val="12"/>
                <w:szCs w:val="12"/>
              </w:rPr>
            </w:pPr>
            <w:r w:rsidRPr="00483EBE">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1AC4B540"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076A0BCE" w14:textId="77777777" w:rsidR="00572995" w:rsidRPr="00483EBE" w:rsidRDefault="00572995" w:rsidP="00E8324D">
            <w:pPr>
              <w:pStyle w:val="Tablas"/>
              <w:rPr>
                <w:sz w:val="12"/>
                <w:szCs w:val="12"/>
              </w:rPr>
            </w:pPr>
            <w:r w:rsidRPr="00483EBE">
              <w:rPr>
                <w:sz w:val="12"/>
                <w:szCs w:val="12"/>
              </w:rPr>
              <w:t>$32,309</w:t>
            </w:r>
          </w:p>
        </w:tc>
        <w:tc>
          <w:tcPr>
            <w:tcW w:w="0" w:type="auto"/>
            <w:tcBorders>
              <w:top w:val="nil"/>
              <w:left w:val="nil"/>
              <w:bottom w:val="single" w:sz="4" w:space="0" w:color="auto"/>
              <w:right w:val="single" w:sz="4" w:space="0" w:color="auto"/>
            </w:tcBorders>
            <w:shd w:val="clear" w:color="auto" w:fill="auto"/>
            <w:vAlign w:val="center"/>
            <w:hideMark/>
          </w:tcPr>
          <w:p w14:paraId="0A53901E" w14:textId="77777777" w:rsidR="00572995" w:rsidRPr="00483EBE" w:rsidRDefault="00572995" w:rsidP="00E8324D">
            <w:pPr>
              <w:pStyle w:val="Tablas"/>
              <w:rPr>
                <w:sz w:val="12"/>
                <w:szCs w:val="12"/>
              </w:rPr>
            </w:pPr>
            <w:r w:rsidRPr="00483EBE">
              <w:rPr>
                <w:sz w:val="12"/>
                <w:szCs w:val="12"/>
              </w:rPr>
              <w:t>$1,114</w:t>
            </w:r>
          </w:p>
        </w:tc>
        <w:tc>
          <w:tcPr>
            <w:tcW w:w="0" w:type="auto"/>
            <w:tcBorders>
              <w:top w:val="nil"/>
              <w:left w:val="nil"/>
              <w:bottom w:val="single" w:sz="4" w:space="0" w:color="auto"/>
              <w:right w:val="single" w:sz="4" w:space="0" w:color="auto"/>
            </w:tcBorders>
            <w:shd w:val="clear" w:color="auto" w:fill="auto"/>
            <w:vAlign w:val="center"/>
            <w:hideMark/>
          </w:tcPr>
          <w:p w14:paraId="42CC7DCE"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3A031670"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23808EEC" w14:textId="77777777" w:rsidR="00572995" w:rsidRPr="00483EBE" w:rsidRDefault="00572995" w:rsidP="00E8324D">
            <w:pPr>
              <w:pStyle w:val="Tablas"/>
              <w:rPr>
                <w:sz w:val="12"/>
                <w:szCs w:val="12"/>
              </w:rPr>
            </w:pPr>
            <w:r w:rsidRPr="00483EBE">
              <w:rPr>
                <w:sz w:val="12"/>
                <w:szCs w:val="12"/>
              </w:rPr>
              <w:t>SM</w:t>
            </w:r>
          </w:p>
        </w:tc>
      </w:tr>
      <w:tr w:rsidR="00572995" w:rsidRPr="00483EBE" w14:paraId="3750AC1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6C0D90" w14:textId="77777777" w:rsidR="00572995" w:rsidRPr="00483EBE" w:rsidRDefault="00572995" w:rsidP="00E8324D">
            <w:pPr>
              <w:pStyle w:val="Tablas"/>
              <w:rPr>
                <w:sz w:val="12"/>
                <w:szCs w:val="12"/>
              </w:rPr>
            </w:pPr>
            <w:r w:rsidRPr="00483EBE">
              <w:rPr>
                <w:sz w:val="12"/>
                <w:szCs w:val="12"/>
              </w:rPr>
              <w:t>109</w:t>
            </w:r>
          </w:p>
        </w:tc>
        <w:tc>
          <w:tcPr>
            <w:tcW w:w="0" w:type="auto"/>
            <w:tcBorders>
              <w:top w:val="nil"/>
              <w:left w:val="nil"/>
              <w:bottom w:val="single" w:sz="4" w:space="0" w:color="auto"/>
              <w:right w:val="single" w:sz="4" w:space="0" w:color="auto"/>
            </w:tcBorders>
            <w:shd w:val="clear" w:color="auto" w:fill="auto"/>
            <w:vAlign w:val="center"/>
            <w:hideMark/>
          </w:tcPr>
          <w:p w14:paraId="2151369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3A7FA33" w14:textId="77777777" w:rsidR="00572995" w:rsidRPr="00483EBE" w:rsidRDefault="00572995" w:rsidP="00E8324D">
            <w:pPr>
              <w:pStyle w:val="Tablas"/>
              <w:rPr>
                <w:sz w:val="12"/>
                <w:szCs w:val="12"/>
              </w:rPr>
            </w:pPr>
            <w:r w:rsidRPr="00483EBE">
              <w:rPr>
                <w:sz w:val="12"/>
                <w:szCs w:val="12"/>
              </w:rPr>
              <w:t>$1,686</w:t>
            </w:r>
          </w:p>
        </w:tc>
        <w:tc>
          <w:tcPr>
            <w:tcW w:w="0" w:type="auto"/>
            <w:tcBorders>
              <w:top w:val="nil"/>
              <w:left w:val="nil"/>
              <w:bottom w:val="single" w:sz="4" w:space="0" w:color="auto"/>
              <w:right w:val="single" w:sz="4" w:space="0" w:color="auto"/>
            </w:tcBorders>
            <w:shd w:val="clear" w:color="auto" w:fill="auto"/>
            <w:vAlign w:val="center"/>
            <w:hideMark/>
          </w:tcPr>
          <w:p w14:paraId="1E364AF9" w14:textId="77777777" w:rsidR="00572995" w:rsidRPr="00483EBE" w:rsidRDefault="00572995" w:rsidP="00E8324D">
            <w:pPr>
              <w:pStyle w:val="Tablas"/>
              <w:rPr>
                <w:sz w:val="12"/>
                <w:szCs w:val="12"/>
              </w:rPr>
            </w:pPr>
            <w:r w:rsidRPr="00483EBE">
              <w:rPr>
                <w:sz w:val="12"/>
                <w:szCs w:val="12"/>
              </w:rPr>
              <w:t>$1,686</w:t>
            </w:r>
          </w:p>
        </w:tc>
        <w:tc>
          <w:tcPr>
            <w:tcW w:w="0" w:type="auto"/>
            <w:tcBorders>
              <w:top w:val="nil"/>
              <w:left w:val="nil"/>
              <w:bottom w:val="single" w:sz="4" w:space="0" w:color="auto"/>
              <w:right w:val="single" w:sz="4" w:space="0" w:color="auto"/>
            </w:tcBorders>
            <w:shd w:val="clear" w:color="auto" w:fill="auto"/>
            <w:vAlign w:val="center"/>
            <w:hideMark/>
          </w:tcPr>
          <w:p w14:paraId="23E70122" w14:textId="77777777" w:rsidR="00572995" w:rsidRPr="00483EBE" w:rsidRDefault="00572995" w:rsidP="00E8324D">
            <w:pPr>
              <w:pStyle w:val="Tablas"/>
              <w:rPr>
                <w:sz w:val="12"/>
                <w:szCs w:val="12"/>
              </w:rPr>
            </w:pPr>
            <w:r w:rsidRPr="00483EBE">
              <w:rPr>
                <w:sz w:val="12"/>
                <w:szCs w:val="12"/>
              </w:rPr>
              <w:t>$141</w:t>
            </w:r>
          </w:p>
        </w:tc>
        <w:tc>
          <w:tcPr>
            <w:tcW w:w="0" w:type="auto"/>
            <w:tcBorders>
              <w:top w:val="nil"/>
              <w:left w:val="nil"/>
              <w:bottom w:val="single" w:sz="4" w:space="0" w:color="auto"/>
              <w:right w:val="single" w:sz="4" w:space="0" w:color="auto"/>
            </w:tcBorders>
            <w:shd w:val="clear" w:color="auto" w:fill="auto"/>
            <w:vAlign w:val="center"/>
            <w:hideMark/>
          </w:tcPr>
          <w:p w14:paraId="7023448C"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409AED7" w14:textId="77777777" w:rsidR="00572995" w:rsidRPr="00483EBE" w:rsidRDefault="00572995" w:rsidP="00E8324D">
            <w:pPr>
              <w:pStyle w:val="Tablas"/>
              <w:rPr>
                <w:sz w:val="12"/>
                <w:szCs w:val="12"/>
              </w:rPr>
            </w:pPr>
            <w:r w:rsidRPr="00483EBE">
              <w:rPr>
                <w:sz w:val="12"/>
                <w:szCs w:val="12"/>
              </w:rPr>
              <w:t>SEBD</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52ADF" w14:textId="77777777" w:rsidR="00572995" w:rsidRPr="00483EBE" w:rsidRDefault="00572995" w:rsidP="00E8324D">
            <w:pPr>
              <w:pStyle w:val="Tablas"/>
              <w:rPr>
                <w:sz w:val="12"/>
                <w:szCs w:val="12"/>
              </w:rPr>
            </w:pPr>
            <w:r w:rsidRPr="00483EBE">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59CA92C3"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4B6D364E" w14:textId="77777777" w:rsidR="00572995" w:rsidRPr="00483EBE" w:rsidRDefault="00572995" w:rsidP="00E8324D">
            <w:pPr>
              <w:pStyle w:val="Tablas"/>
              <w:rPr>
                <w:sz w:val="12"/>
                <w:szCs w:val="12"/>
              </w:rPr>
            </w:pPr>
            <w:r w:rsidRPr="00483EBE">
              <w:rPr>
                <w:sz w:val="12"/>
                <w:szCs w:val="12"/>
              </w:rPr>
              <w:t>$19,353</w:t>
            </w:r>
          </w:p>
        </w:tc>
        <w:tc>
          <w:tcPr>
            <w:tcW w:w="0" w:type="auto"/>
            <w:tcBorders>
              <w:top w:val="nil"/>
              <w:left w:val="nil"/>
              <w:bottom w:val="single" w:sz="4" w:space="0" w:color="auto"/>
              <w:right w:val="single" w:sz="4" w:space="0" w:color="auto"/>
            </w:tcBorders>
            <w:shd w:val="clear" w:color="auto" w:fill="auto"/>
            <w:vAlign w:val="center"/>
            <w:hideMark/>
          </w:tcPr>
          <w:p w14:paraId="37C924A7" w14:textId="77777777" w:rsidR="00572995" w:rsidRPr="00483EBE" w:rsidRDefault="00572995" w:rsidP="00E8324D">
            <w:pPr>
              <w:pStyle w:val="Tablas"/>
              <w:rPr>
                <w:sz w:val="12"/>
                <w:szCs w:val="12"/>
              </w:rPr>
            </w:pPr>
            <w:r w:rsidRPr="00483EBE">
              <w:rPr>
                <w:sz w:val="12"/>
                <w:szCs w:val="12"/>
              </w:rPr>
              <w:t>$968</w:t>
            </w:r>
          </w:p>
        </w:tc>
        <w:tc>
          <w:tcPr>
            <w:tcW w:w="0" w:type="auto"/>
            <w:tcBorders>
              <w:top w:val="nil"/>
              <w:left w:val="nil"/>
              <w:bottom w:val="single" w:sz="4" w:space="0" w:color="auto"/>
              <w:right w:val="single" w:sz="4" w:space="0" w:color="auto"/>
            </w:tcBorders>
            <w:shd w:val="clear" w:color="auto" w:fill="auto"/>
            <w:vAlign w:val="center"/>
            <w:hideMark/>
          </w:tcPr>
          <w:p w14:paraId="3A8FFE19"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4113E058"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329272F3" w14:textId="77777777" w:rsidR="00572995" w:rsidRPr="00483EBE" w:rsidRDefault="00572995" w:rsidP="00E8324D">
            <w:pPr>
              <w:pStyle w:val="Tablas"/>
              <w:rPr>
                <w:sz w:val="12"/>
                <w:szCs w:val="12"/>
              </w:rPr>
            </w:pPr>
            <w:r w:rsidRPr="00483EBE">
              <w:rPr>
                <w:sz w:val="12"/>
                <w:szCs w:val="12"/>
              </w:rPr>
              <w:t>SM</w:t>
            </w:r>
          </w:p>
        </w:tc>
      </w:tr>
      <w:tr w:rsidR="00572995" w:rsidRPr="00483EBE" w14:paraId="1EDAF74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CE6EA10"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31AE3D6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4759CB7" w14:textId="77777777" w:rsidR="00572995" w:rsidRPr="00483EBE" w:rsidRDefault="00572995" w:rsidP="00E8324D">
            <w:pPr>
              <w:pStyle w:val="Tablas"/>
              <w:rPr>
                <w:sz w:val="12"/>
                <w:szCs w:val="12"/>
              </w:rPr>
            </w:pPr>
            <w:r w:rsidRPr="00483EBE">
              <w:rPr>
                <w:sz w:val="12"/>
                <w:szCs w:val="12"/>
              </w:rPr>
              <w:t>$3,620</w:t>
            </w:r>
          </w:p>
        </w:tc>
        <w:tc>
          <w:tcPr>
            <w:tcW w:w="0" w:type="auto"/>
            <w:tcBorders>
              <w:top w:val="nil"/>
              <w:left w:val="nil"/>
              <w:bottom w:val="single" w:sz="4" w:space="0" w:color="auto"/>
              <w:right w:val="single" w:sz="4" w:space="0" w:color="auto"/>
            </w:tcBorders>
            <w:shd w:val="clear" w:color="auto" w:fill="auto"/>
            <w:vAlign w:val="center"/>
            <w:hideMark/>
          </w:tcPr>
          <w:p w14:paraId="2F09D03A" w14:textId="77777777" w:rsidR="00572995" w:rsidRPr="00483EBE" w:rsidRDefault="00572995" w:rsidP="00E8324D">
            <w:pPr>
              <w:pStyle w:val="Tablas"/>
              <w:rPr>
                <w:sz w:val="12"/>
                <w:szCs w:val="12"/>
              </w:rPr>
            </w:pPr>
            <w:r w:rsidRPr="00483EBE">
              <w:rPr>
                <w:sz w:val="12"/>
                <w:szCs w:val="12"/>
              </w:rPr>
              <w:t>$3,620</w:t>
            </w:r>
          </w:p>
        </w:tc>
        <w:tc>
          <w:tcPr>
            <w:tcW w:w="0" w:type="auto"/>
            <w:tcBorders>
              <w:top w:val="nil"/>
              <w:left w:val="nil"/>
              <w:bottom w:val="single" w:sz="4" w:space="0" w:color="auto"/>
              <w:right w:val="single" w:sz="4" w:space="0" w:color="auto"/>
            </w:tcBorders>
            <w:shd w:val="clear" w:color="auto" w:fill="auto"/>
            <w:vAlign w:val="center"/>
            <w:hideMark/>
          </w:tcPr>
          <w:p w14:paraId="2686204E" w14:textId="77777777" w:rsidR="00572995" w:rsidRPr="00483EBE" w:rsidRDefault="00572995" w:rsidP="00E8324D">
            <w:pPr>
              <w:pStyle w:val="Tablas"/>
              <w:rPr>
                <w:sz w:val="12"/>
                <w:szCs w:val="12"/>
              </w:rPr>
            </w:pPr>
            <w:r w:rsidRPr="00483EBE">
              <w:rPr>
                <w:sz w:val="12"/>
                <w:szCs w:val="12"/>
              </w:rPr>
              <w:t>$302</w:t>
            </w:r>
          </w:p>
        </w:tc>
        <w:tc>
          <w:tcPr>
            <w:tcW w:w="0" w:type="auto"/>
            <w:tcBorders>
              <w:top w:val="nil"/>
              <w:left w:val="nil"/>
              <w:bottom w:val="single" w:sz="4" w:space="0" w:color="auto"/>
              <w:right w:val="single" w:sz="4" w:space="0" w:color="auto"/>
            </w:tcBorders>
            <w:shd w:val="clear" w:color="auto" w:fill="auto"/>
            <w:vAlign w:val="center"/>
            <w:hideMark/>
          </w:tcPr>
          <w:p w14:paraId="0292250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BA27AF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35358C0" w14:textId="77777777" w:rsidR="00572995" w:rsidRPr="00483EBE" w:rsidRDefault="00572995" w:rsidP="00E8324D">
            <w:pPr>
              <w:pStyle w:val="Tablas"/>
              <w:rPr>
                <w:sz w:val="12"/>
                <w:szCs w:val="12"/>
              </w:rPr>
            </w:pPr>
            <w:r w:rsidRPr="00483EBE">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0F80AF7F"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56D94445" w14:textId="77777777" w:rsidR="00572995" w:rsidRPr="00483EBE" w:rsidRDefault="00572995" w:rsidP="00E8324D">
            <w:pPr>
              <w:pStyle w:val="Tablas"/>
              <w:rPr>
                <w:sz w:val="12"/>
                <w:szCs w:val="12"/>
              </w:rPr>
            </w:pPr>
            <w:r w:rsidRPr="00483EBE">
              <w:rPr>
                <w:sz w:val="12"/>
                <w:szCs w:val="12"/>
              </w:rPr>
              <w:t>$25,494</w:t>
            </w:r>
          </w:p>
        </w:tc>
        <w:tc>
          <w:tcPr>
            <w:tcW w:w="0" w:type="auto"/>
            <w:tcBorders>
              <w:top w:val="nil"/>
              <w:left w:val="nil"/>
              <w:bottom w:val="single" w:sz="4" w:space="0" w:color="auto"/>
              <w:right w:val="single" w:sz="4" w:space="0" w:color="auto"/>
            </w:tcBorders>
            <w:shd w:val="clear" w:color="auto" w:fill="auto"/>
            <w:vAlign w:val="center"/>
            <w:hideMark/>
          </w:tcPr>
          <w:p w14:paraId="681D008D" w14:textId="77777777" w:rsidR="00572995" w:rsidRPr="00483EBE" w:rsidRDefault="00572995" w:rsidP="00E8324D">
            <w:pPr>
              <w:pStyle w:val="Tablas"/>
              <w:rPr>
                <w:sz w:val="12"/>
                <w:szCs w:val="12"/>
              </w:rPr>
            </w:pPr>
            <w:r w:rsidRPr="00483EBE">
              <w:rPr>
                <w:sz w:val="12"/>
                <w:szCs w:val="12"/>
              </w:rPr>
              <w:t>$1,020</w:t>
            </w:r>
          </w:p>
        </w:tc>
        <w:tc>
          <w:tcPr>
            <w:tcW w:w="0" w:type="auto"/>
            <w:tcBorders>
              <w:top w:val="nil"/>
              <w:left w:val="nil"/>
              <w:bottom w:val="single" w:sz="4" w:space="0" w:color="auto"/>
              <w:right w:val="single" w:sz="4" w:space="0" w:color="auto"/>
            </w:tcBorders>
            <w:shd w:val="clear" w:color="auto" w:fill="auto"/>
            <w:vAlign w:val="center"/>
            <w:hideMark/>
          </w:tcPr>
          <w:p w14:paraId="3BAB1A3C" w14:textId="77777777" w:rsidR="00572995" w:rsidRPr="00483EBE" w:rsidRDefault="00572995" w:rsidP="00E8324D">
            <w:pPr>
              <w:pStyle w:val="Tablas"/>
              <w:rPr>
                <w:sz w:val="12"/>
                <w:szCs w:val="12"/>
              </w:rPr>
            </w:pPr>
            <w:r w:rsidRPr="00483EBE">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2E1A30B0"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3DCA8EF4" w14:textId="77777777" w:rsidR="00572995" w:rsidRPr="00483EBE" w:rsidRDefault="00572995" w:rsidP="00E8324D">
            <w:pPr>
              <w:pStyle w:val="Tablas"/>
              <w:rPr>
                <w:sz w:val="12"/>
                <w:szCs w:val="12"/>
              </w:rPr>
            </w:pPr>
            <w:r w:rsidRPr="00483EBE">
              <w:rPr>
                <w:sz w:val="12"/>
                <w:szCs w:val="12"/>
              </w:rPr>
              <w:t>SM</w:t>
            </w:r>
          </w:p>
        </w:tc>
      </w:tr>
      <w:tr w:rsidR="00572995" w:rsidRPr="00483EBE" w14:paraId="2E2F980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4CB043" w14:textId="77777777" w:rsidR="00572995" w:rsidRPr="00483EBE" w:rsidRDefault="00572995" w:rsidP="00E8324D">
            <w:pPr>
              <w:pStyle w:val="Tablas"/>
              <w:rPr>
                <w:sz w:val="12"/>
                <w:szCs w:val="12"/>
              </w:rPr>
            </w:pPr>
            <w:r w:rsidRPr="00483EBE">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0612DBE6"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1C8ACD11" w14:textId="77777777" w:rsidR="00572995" w:rsidRPr="00483EBE" w:rsidRDefault="00572995" w:rsidP="00E8324D">
            <w:pPr>
              <w:pStyle w:val="Tablas"/>
              <w:rPr>
                <w:sz w:val="12"/>
                <w:szCs w:val="12"/>
              </w:rPr>
            </w:pPr>
            <w:r w:rsidRPr="00483EBE">
              <w:rPr>
                <w:sz w:val="12"/>
                <w:szCs w:val="12"/>
              </w:rPr>
              <w:t>$8,763</w:t>
            </w:r>
          </w:p>
        </w:tc>
        <w:tc>
          <w:tcPr>
            <w:tcW w:w="0" w:type="auto"/>
            <w:tcBorders>
              <w:top w:val="nil"/>
              <w:left w:val="nil"/>
              <w:bottom w:val="single" w:sz="4" w:space="0" w:color="auto"/>
              <w:right w:val="single" w:sz="4" w:space="0" w:color="auto"/>
            </w:tcBorders>
            <w:shd w:val="clear" w:color="auto" w:fill="auto"/>
            <w:vAlign w:val="center"/>
            <w:hideMark/>
          </w:tcPr>
          <w:p w14:paraId="13E9B5BB" w14:textId="77777777" w:rsidR="00572995" w:rsidRPr="00483EBE" w:rsidRDefault="00572995" w:rsidP="00E8324D">
            <w:pPr>
              <w:pStyle w:val="Tablas"/>
              <w:rPr>
                <w:sz w:val="12"/>
                <w:szCs w:val="12"/>
              </w:rPr>
            </w:pPr>
            <w:r w:rsidRPr="00483EBE">
              <w:rPr>
                <w:sz w:val="12"/>
                <w:szCs w:val="12"/>
              </w:rPr>
              <w:t>$2,921</w:t>
            </w:r>
          </w:p>
        </w:tc>
        <w:tc>
          <w:tcPr>
            <w:tcW w:w="0" w:type="auto"/>
            <w:tcBorders>
              <w:top w:val="nil"/>
              <w:left w:val="nil"/>
              <w:bottom w:val="single" w:sz="4" w:space="0" w:color="auto"/>
              <w:right w:val="single" w:sz="4" w:space="0" w:color="auto"/>
            </w:tcBorders>
            <w:shd w:val="clear" w:color="auto" w:fill="auto"/>
            <w:vAlign w:val="center"/>
            <w:hideMark/>
          </w:tcPr>
          <w:p w14:paraId="07ED9563" w14:textId="77777777" w:rsidR="00572995" w:rsidRPr="00483EBE" w:rsidRDefault="00572995" w:rsidP="00E8324D">
            <w:pPr>
              <w:pStyle w:val="Tablas"/>
              <w:rPr>
                <w:sz w:val="12"/>
                <w:szCs w:val="12"/>
              </w:rPr>
            </w:pPr>
            <w:r w:rsidRPr="00483EBE">
              <w:rPr>
                <w:sz w:val="12"/>
                <w:szCs w:val="12"/>
              </w:rPr>
              <w:t>$243</w:t>
            </w:r>
          </w:p>
        </w:tc>
        <w:tc>
          <w:tcPr>
            <w:tcW w:w="0" w:type="auto"/>
            <w:tcBorders>
              <w:top w:val="nil"/>
              <w:left w:val="nil"/>
              <w:bottom w:val="single" w:sz="4" w:space="0" w:color="auto"/>
              <w:right w:val="single" w:sz="4" w:space="0" w:color="auto"/>
            </w:tcBorders>
            <w:shd w:val="clear" w:color="auto" w:fill="auto"/>
            <w:vAlign w:val="center"/>
            <w:hideMark/>
          </w:tcPr>
          <w:p w14:paraId="4088B142"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70516F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4E70A5" w14:textId="77777777" w:rsidR="00572995" w:rsidRPr="00483EBE" w:rsidRDefault="00572995" w:rsidP="00E8324D">
            <w:pPr>
              <w:pStyle w:val="Tablas"/>
              <w:rPr>
                <w:sz w:val="12"/>
                <w:szCs w:val="12"/>
              </w:rPr>
            </w:pPr>
            <w:r w:rsidRPr="00483EBE">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51445A42"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46477A9B" w14:textId="77777777" w:rsidR="00572995" w:rsidRPr="00483EBE" w:rsidRDefault="00572995" w:rsidP="00E8324D">
            <w:pPr>
              <w:pStyle w:val="Tablas"/>
              <w:rPr>
                <w:sz w:val="12"/>
                <w:szCs w:val="12"/>
              </w:rPr>
            </w:pPr>
            <w:r w:rsidRPr="00483EBE">
              <w:rPr>
                <w:sz w:val="12"/>
                <w:szCs w:val="12"/>
              </w:rPr>
              <w:t>$16,038</w:t>
            </w:r>
          </w:p>
        </w:tc>
        <w:tc>
          <w:tcPr>
            <w:tcW w:w="0" w:type="auto"/>
            <w:tcBorders>
              <w:top w:val="nil"/>
              <w:left w:val="nil"/>
              <w:bottom w:val="single" w:sz="4" w:space="0" w:color="auto"/>
              <w:right w:val="single" w:sz="4" w:space="0" w:color="auto"/>
            </w:tcBorders>
            <w:shd w:val="clear" w:color="auto" w:fill="auto"/>
            <w:vAlign w:val="center"/>
            <w:hideMark/>
          </w:tcPr>
          <w:p w14:paraId="3F3763FA" w14:textId="77777777" w:rsidR="00572995" w:rsidRPr="00483EBE" w:rsidRDefault="00572995" w:rsidP="00E8324D">
            <w:pPr>
              <w:pStyle w:val="Tablas"/>
              <w:rPr>
                <w:sz w:val="12"/>
                <w:szCs w:val="12"/>
              </w:rPr>
            </w:pPr>
            <w:r w:rsidRPr="00483EBE">
              <w:rPr>
                <w:sz w:val="12"/>
                <w:szCs w:val="12"/>
              </w:rPr>
              <w:t>$1,002</w:t>
            </w:r>
          </w:p>
        </w:tc>
        <w:tc>
          <w:tcPr>
            <w:tcW w:w="0" w:type="auto"/>
            <w:tcBorders>
              <w:top w:val="nil"/>
              <w:left w:val="nil"/>
              <w:bottom w:val="single" w:sz="4" w:space="0" w:color="auto"/>
              <w:right w:val="single" w:sz="4" w:space="0" w:color="auto"/>
            </w:tcBorders>
            <w:shd w:val="clear" w:color="auto" w:fill="auto"/>
            <w:vAlign w:val="center"/>
            <w:hideMark/>
          </w:tcPr>
          <w:p w14:paraId="4B03353A"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551DCFE1"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73BCD476" w14:textId="77777777" w:rsidR="00572995" w:rsidRPr="00483EBE" w:rsidRDefault="00572995" w:rsidP="00E8324D">
            <w:pPr>
              <w:pStyle w:val="Tablas"/>
              <w:rPr>
                <w:sz w:val="12"/>
                <w:szCs w:val="12"/>
              </w:rPr>
            </w:pPr>
            <w:r w:rsidRPr="00483EBE">
              <w:rPr>
                <w:sz w:val="12"/>
                <w:szCs w:val="12"/>
              </w:rPr>
              <w:t>SM</w:t>
            </w:r>
          </w:p>
        </w:tc>
      </w:tr>
      <w:tr w:rsidR="00572995" w:rsidRPr="00483EBE" w14:paraId="0E3A2FF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E7DA0B"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43A4DD38"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26C785B0" w14:textId="77777777" w:rsidR="00572995" w:rsidRPr="00483EBE" w:rsidRDefault="00572995" w:rsidP="00E8324D">
            <w:pPr>
              <w:pStyle w:val="Tablas"/>
              <w:rPr>
                <w:sz w:val="12"/>
                <w:szCs w:val="12"/>
              </w:rPr>
            </w:pPr>
            <w:r w:rsidRPr="00483EBE">
              <w:rPr>
                <w:sz w:val="12"/>
                <w:szCs w:val="12"/>
              </w:rPr>
              <w:t>$11,952</w:t>
            </w:r>
          </w:p>
        </w:tc>
        <w:tc>
          <w:tcPr>
            <w:tcW w:w="0" w:type="auto"/>
            <w:tcBorders>
              <w:top w:val="nil"/>
              <w:left w:val="nil"/>
              <w:bottom w:val="single" w:sz="4" w:space="0" w:color="auto"/>
              <w:right w:val="single" w:sz="4" w:space="0" w:color="auto"/>
            </w:tcBorders>
            <w:shd w:val="clear" w:color="auto" w:fill="auto"/>
            <w:vAlign w:val="center"/>
            <w:hideMark/>
          </w:tcPr>
          <w:p w14:paraId="4F606A55" w14:textId="77777777" w:rsidR="00572995" w:rsidRPr="00483EBE" w:rsidRDefault="00572995" w:rsidP="00E8324D">
            <w:pPr>
              <w:pStyle w:val="Tablas"/>
              <w:rPr>
                <w:sz w:val="12"/>
                <w:szCs w:val="12"/>
              </w:rPr>
            </w:pPr>
            <w:r w:rsidRPr="00483EBE">
              <w:rPr>
                <w:sz w:val="12"/>
                <w:szCs w:val="12"/>
              </w:rPr>
              <w:t>$2,988</w:t>
            </w:r>
          </w:p>
        </w:tc>
        <w:tc>
          <w:tcPr>
            <w:tcW w:w="0" w:type="auto"/>
            <w:tcBorders>
              <w:top w:val="nil"/>
              <w:left w:val="nil"/>
              <w:bottom w:val="single" w:sz="4" w:space="0" w:color="auto"/>
              <w:right w:val="single" w:sz="4" w:space="0" w:color="auto"/>
            </w:tcBorders>
            <w:shd w:val="clear" w:color="auto" w:fill="auto"/>
            <w:vAlign w:val="center"/>
            <w:hideMark/>
          </w:tcPr>
          <w:p w14:paraId="40DC1DF7" w14:textId="77777777" w:rsidR="00572995" w:rsidRPr="00483EBE" w:rsidRDefault="00572995" w:rsidP="00E8324D">
            <w:pPr>
              <w:pStyle w:val="Tablas"/>
              <w:rPr>
                <w:sz w:val="12"/>
                <w:szCs w:val="12"/>
              </w:rPr>
            </w:pPr>
            <w:r w:rsidRPr="00483EBE">
              <w:rPr>
                <w:sz w:val="12"/>
                <w:szCs w:val="12"/>
              </w:rPr>
              <w:t>$249</w:t>
            </w:r>
          </w:p>
        </w:tc>
        <w:tc>
          <w:tcPr>
            <w:tcW w:w="0" w:type="auto"/>
            <w:tcBorders>
              <w:top w:val="nil"/>
              <w:left w:val="nil"/>
              <w:bottom w:val="single" w:sz="4" w:space="0" w:color="auto"/>
              <w:right w:val="single" w:sz="4" w:space="0" w:color="auto"/>
            </w:tcBorders>
            <w:shd w:val="clear" w:color="auto" w:fill="auto"/>
            <w:vAlign w:val="center"/>
            <w:hideMark/>
          </w:tcPr>
          <w:p w14:paraId="57765376"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16CC1B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44F6562" w14:textId="77777777" w:rsidR="00572995" w:rsidRPr="00483EBE" w:rsidRDefault="00572995" w:rsidP="00E8324D">
            <w:pPr>
              <w:pStyle w:val="Tablas"/>
              <w:rPr>
                <w:sz w:val="12"/>
                <w:szCs w:val="12"/>
              </w:rPr>
            </w:pPr>
            <w:r w:rsidRPr="00483EBE">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24F168E6"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5C52029D" w14:textId="77777777" w:rsidR="00572995" w:rsidRPr="00483EBE" w:rsidRDefault="00572995" w:rsidP="00E8324D">
            <w:pPr>
              <w:pStyle w:val="Tablas"/>
              <w:rPr>
                <w:sz w:val="12"/>
                <w:szCs w:val="12"/>
              </w:rPr>
            </w:pPr>
            <w:r w:rsidRPr="00483EBE">
              <w:rPr>
                <w:sz w:val="12"/>
                <w:szCs w:val="12"/>
              </w:rPr>
              <w:t>$22,083</w:t>
            </w:r>
          </w:p>
        </w:tc>
        <w:tc>
          <w:tcPr>
            <w:tcW w:w="0" w:type="auto"/>
            <w:tcBorders>
              <w:top w:val="nil"/>
              <w:left w:val="nil"/>
              <w:bottom w:val="single" w:sz="4" w:space="0" w:color="auto"/>
              <w:right w:val="single" w:sz="4" w:space="0" w:color="auto"/>
            </w:tcBorders>
            <w:shd w:val="clear" w:color="auto" w:fill="auto"/>
            <w:vAlign w:val="center"/>
            <w:hideMark/>
          </w:tcPr>
          <w:p w14:paraId="513B30AD" w14:textId="77777777" w:rsidR="00572995" w:rsidRPr="00483EBE" w:rsidRDefault="00572995" w:rsidP="00E8324D">
            <w:pPr>
              <w:pStyle w:val="Tablas"/>
              <w:rPr>
                <w:sz w:val="12"/>
                <w:szCs w:val="12"/>
              </w:rPr>
            </w:pPr>
            <w:r w:rsidRPr="00483EBE">
              <w:rPr>
                <w:sz w:val="12"/>
                <w:szCs w:val="12"/>
              </w:rPr>
              <w:t>$1,004</w:t>
            </w:r>
          </w:p>
        </w:tc>
        <w:tc>
          <w:tcPr>
            <w:tcW w:w="0" w:type="auto"/>
            <w:tcBorders>
              <w:top w:val="nil"/>
              <w:left w:val="nil"/>
              <w:bottom w:val="single" w:sz="4" w:space="0" w:color="auto"/>
              <w:right w:val="single" w:sz="4" w:space="0" w:color="auto"/>
            </w:tcBorders>
            <w:shd w:val="clear" w:color="auto" w:fill="auto"/>
            <w:vAlign w:val="center"/>
            <w:hideMark/>
          </w:tcPr>
          <w:p w14:paraId="66C74F69"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073E64F0"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7FB2ECFA" w14:textId="77777777" w:rsidR="00572995" w:rsidRPr="00483EBE" w:rsidRDefault="00572995" w:rsidP="00E8324D">
            <w:pPr>
              <w:pStyle w:val="Tablas"/>
              <w:rPr>
                <w:sz w:val="12"/>
                <w:szCs w:val="12"/>
              </w:rPr>
            </w:pPr>
            <w:r w:rsidRPr="00483EBE">
              <w:rPr>
                <w:sz w:val="12"/>
                <w:szCs w:val="12"/>
              </w:rPr>
              <w:t>SM</w:t>
            </w:r>
          </w:p>
        </w:tc>
      </w:tr>
      <w:tr w:rsidR="00572995" w:rsidRPr="00483EBE" w14:paraId="44A539C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94E644D"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7F6AD4CE"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072E62F" w14:textId="77777777" w:rsidR="00572995" w:rsidRPr="00483EBE" w:rsidRDefault="00572995" w:rsidP="00E8324D">
            <w:pPr>
              <w:pStyle w:val="Tablas"/>
              <w:rPr>
                <w:sz w:val="12"/>
                <w:szCs w:val="12"/>
              </w:rPr>
            </w:pPr>
            <w:r w:rsidRPr="00483EBE">
              <w:rPr>
                <w:sz w:val="12"/>
                <w:szCs w:val="12"/>
              </w:rPr>
              <w:t>$6,765</w:t>
            </w:r>
          </w:p>
        </w:tc>
        <w:tc>
          <w:tcPr>
            <w:tcW w:w="0" w:type="auto"/>
            <w:tcBorders>
              <w:top w:val="nil"/>
              <w:left w:val="nil"/>
              <w:bottom w:val="single" w:sz="4" w:space="0" w:color="auto"/>
              <w:right w:val="single" w:sz="4" w:space="0" w:color="auto"/>
            </w:tcBorders>
            <w:shd w:val="clear" w:color="auto" w:fill="auto"/>
            <w:vAlign w:val="center"/>
            <w:hideMark/>
          </w:tcPr>
          <w:p w14:paraId="12F582F3" w14:textId="77777777" w:rsidR="00572995" w:rsidRPr="00483EBE" w:rsidRDefault="00572995" w:rsidP="00E8324D">
            <w:pPr>
              <w:pStyle w:val="Tablas"/>
              <w:rPr>
                <w:sz w:val="12"/>
                <w:szCs w:val="12"/>
              </w:rPr>
            </w:pPr>
            <w:r w:rsidRPr="00483EBE">
              <w:rPr>
                <w:sz w:val="12"/>
                <w:szCs w:val="12"/>
              </w:rPr>
              <w:t>$3,383</w:t>
            </w:r>
          </w:p>
        </w:tc>
        <w:tc>
          <w:tcPr>
            <w:tcW w:w="0" w:type="auto"/>
            <w:tcBorders>
              <w:top w:val="nil"/>
              <w:left w:val="nil"/>
              <w:bottom w:val="single" w:sz="4" w:space="0" w:color="auto"/>
              <w:right w:val="single" w:sz="4" w:space="0" w:color="auto"/>
            </w:tcBorders>
            <w:shd w:val="clear" w:color="auto" w:fill="auto"/>
            <w:vAlign w:val="center"/>
            <w:hideMark/>
          </w:tcPr>
          <w:p w14:paraId="6FAD7100" w14:textId="77777777" w:rsidR="00572995" w:rsidRPr="00483EBE" w:rsidRDefault="00572995" w:rsidP="00E8324D">
            <w:pPr>
              <w:pStyle w:val="Tablas"/>
              <w:rPr>
                <w:sz w:val="12"/>
                <w:szCs w:val="12"/>
              </w:rPr>
            </w:pPr>
            <w:r w:rsidRPr="00483EBE">
              <w:rPr>
                <w:sz w:val="12"/>
                <w:szCs w:val="12"/>
              </w:rPr>
              <w:t>$282</w:t>
            </w:r>
          </w:p>
        </w:tc>
        <w:tc>
          <w:tcPr>
            <w:tcW w:w="0" w:type="auto"/>
            <w:tcBorders>
              <w:top w:val="nil"/>
              <w:left w:val="nil"/>
              <w:bottom w:val="single" w:sz="4" w:space="0" w:color="auto"/>
              <w:right w:val="single" w:sz="4" w:space="0" w:color="auto"/>
            </w:tcBorders>
            <w:shd w:val="clear" w:color="auto" w:fill="auto"/>
            <w:vAlign w:val="center"/>
            <w:hideMark/>
          </w:tcPr>
          <w:p w14:paraId="6BD50D33"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76855A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AA2EA6" w14:textId="77777777" w:rsidR="00572995" w:rsidRPr="00483EBE" w:rsidRDefault="00572995" w:rsidP="00E8324D">
            <w:pPr>
              <w:pStyle w:val="Tablas"/>
              <w:rPr>
                <w:sz w:val="12"/>
                <w:szCs w:val="12"/>
              </w:rPr>
            </w:pPr>
            <w:r w:rsidRPr="00483EBE">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23CC6761" w14:textId="77777777" w:rsidR="00572995" w:rsidRPr="00483EBE" w:rsidRDefault="00572995" w:rsidP="00E8324D">
            <w:pPr>
              <w:pStyle w:val="Tablas"/>
              <w:rPr>
                <w:sz w:val="12"/>
                <w:szCs w:val="12"/>
              </w:rPr>
            </w:pPr>
            <w:r w:rsidRPr="00483EBE">
              <w:rPr>
                <w:sz w:val="12"/>
                <w:szCs w:val="12"/>
              </w:rPr>
              <w:t xml:space="preserve">15 </w:t>
            </w:r>
          </w:p>
        </w:tc>
        <w:tc>
          <w:tcPr>
            <w:tcW w:w="0" w:type="auto"/>
            <w:tcBorders>
              <w:top w:val="nil"/>
              <w:left w:val="nil"/>
              <w:bottom w:val="single" w:sz="4" w:space="0" w:color="auto"/>
              <w:right w:val="single" w:sz="4" w:space="0" w:color="auto"/>
            </w:tcBorders>
            <w:shd w:val="clear" w:color="auto" w:fill="auto"/>
            <w:vAlign w:val="center"/>
            <w:hideMark/>
          </w:tcPr>
          <w:p w14:paraId="73A6BC3E" w14:textId="77777777" w:rsidR="00572995" w:rsidRPr="00483EBE" w:rsidRDefault="00572995" w:rsidP="00E8324D">
            <w:pPr>
              <w:pStyle w:val="Tablas"/>
              <w:rPr>
                <w:sz w:val="12"/>
                <w:szCs w:val="12"/>
              </w:rPr>
            </w:pPr>
            <w:r w:rsidRPr="00483EBE">
              <w:rPr>
                <w:sz w:val="12"/>
                <w:szCs w:val="12"/>
              </w:rPr>
              <w:t>$14,276</w:t>
            </w:r>
          </w:p>
        </w:tc>
        <w:tc>
          <w:tcPr>
            <w:tcW w:w="0" w:type="auto"/>
            <w:tcBorders>
              <w:top w:val="nil"/>
              <w:left w:val="nil"/>
              <w:bottom w:val="single" w:sz="4" w:space="0" w:color="auto"/>
              <w:right w:val="single" w:sz="4" w:space="0" w:color="auto"/>
            </w:tcBorders>
            <w:shd w:val="clear" w:color="auto" w:fill="auto"/>
            <w:vAlign w:val="center"/>
            <w:hideMark/>
          </w:tcPr>
          <w:p w14:paraId="5E9085B7" w14:textId="77777777" w:rsidR="00572995" w:rsidRPr="00483EBE" w:rsidRDefault="00572995" w:rsidP="00E8324D">
            <w:pPr>
              <w:pStyle w:val="Tablas"/>
              <w:rPr>
                <w:sz w:val="12"/>
                <w:szCs w:val="12"/>
              </w:rPr>
            </w:pPr>
            <w:r w:rsidRPr="00483EBE">
              <w:rPr>
                <w:sz w:val="12"/>
                <w:szCs w:val="12"/>
              </w:rPr>
              <w:t>$952</w:t>
            </w:r>
          </w:p>
        </w:tc>
        <w:tc>
          <w:tcPr>
            <w:tcW w:w="0" w:type="auto"/>
            <w:tcBorders>
              <w:top w:val="nil"/>
              <w:left w:val="nil"/>
              <w:bottom w:val="single" w:sz="4" w:space="0" w:color="auto"/>
              <w:right w:val="single" w:sz="4" w:space="0" w:color="auto"/>
            </w:tcBorders>
            <w:shd w:val="clear" w:color="auto" w:fill="auto"/>
            <w:vAlign w:val="center"/>
            <w:hideMark/>
          </w:tcPr>
          <w:p w14:paraId="6966AC99" w14:textId="77777777" w:rsidR="00572995" w:rsidRPr="00483EBE" w:rsidRDefault="00572995" w:rsidP="00E8324D">
            <w:pPr>
              <w:pStyle w:val="Tablas"/>
              <w:rPr>
                <w:sz w:val="12"/>
                <w:szCs w:val="12"/>
              </w:rPr>
            </w:pPr>
            <w:r w:rsidRPr="00483EBE">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22F851BC" w14:textId="77777777" w:rsidR="00572995" w:rsidRPr="00483EBE" w:rsidRDefault="00572995" w:rsidP="00E8324D">
            <w:pPr>
              <w:pStyle w:val="Tablas"/>
              <w:rPr>
                <w:sz w:val="12"/>
                <w:szCs w:val="12"/>
              </w:rPr>
            </w:pPr>
            <w:r w:rsidRPr="00483EBE">
              <w:rPr>
                <w:sz w:val="12"/>
                <w:szCs w:val="12"/>
              </w:rPr>
              <w:t>HUERFANOS</w:t>
            </w:r>
          </w:p>
        </w:tc>
        <w:tc>
          <w:tcPr>
            <w:tcW w:w="582" w:type="dxa"/>
            <w:tcBorders>
              <w:top w:val="nil"/>
              <w:left w:val="nil"/>
              <w:bottom w:val="single" w:sz="4" w:space="0" w:color="auto"/>
              <w:right w:val="single" w:sz="8" w:space="0" w:color="auto"/>
            </w:tcBorders>
            <w:shd w:val="clear" w:color="auto" w:fill="auto"/>
            <w:vAlign w:val="center"/>
            <w:hideMark/>
          </w:tcPr>
          <w:p w14:paraId="2B645F35" w14:textId="77777777" w:rsidR="00572995" w:rsidRPr="00483EBE" w:rsidRDefault="00572995" w:rsidP="00E8324D">
            <w:pPr>
              <w:pStyle w:val="Tablas"/>
              <w:rPr>
                <w:sz w:val="12"/>
                <w:szCs w:val="12"/>
              </w:rPr>
            </w:pPr>
            <w:r w:rsidRPr="00483EBE">
              <w:rPr>
                <w:sz w:val="12"/>
                <w:szCs w:val="12"/>
              </w:rPr>
              <w:t>SM</w:t>
            </w:r>
          </w:p>
        </w:tc>
      </w:tr>
      <w:tr w:rsidR="00572995" w:rsidRPr="00483EBE" w14:paraId="1A55C0A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1A6C371"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45A47D59"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52699B1E" w14:textId="77777777" w:rsidR="00572995" w:rsidRPr="00483EBE" w:rsidRDefault="00572995" w:rsidP="00E8324D">
            <w:pPr>
              <w:pStyle w:val="Tablas"/>
              <w:rPr>
                <w:sz w:val="12"/>
                <w:szCs w:val="12"/>
              </w:rPr>
            </w:pPr>
            <w:r w:rsidRPr="00483EBE">
              <w:rPr>
                <w:sz w:val="12"/>
                <w:szCs w:val="12"/>
              </w:rPr>
              <w:t>$22,896</w:t>
            </w:r>
          </w:p>
        </w:tc>
        <w:tc>
          <w:tcPr>
            <w:tcW w:w="0" w:type="auto"/>
            <w:tcBorders>
              <w:top w:val="nil"/>
              <w:left w:val="nil"/>
              <w:bottom w:val="single" w:sz="4" w:space="0" w:color="auto"/>
              <w:right w:val="single" w:sz="4" w:space="0" w:color="auto"/>
            </w:tcBorders>
            <w:shd w:val="clear" w:color="auto" w:fill="auto"/>
            <w:vAlign w:val="center"/>
            <w:hideMark/>
          </w:tcPr>
          <w:p w14:paraId="3870BB4B" w14:textId="77777777" w:rsidR="00572995" w:rsidRPr="00483EBE" w:rsidRDefault="00572995" w:rsidP="00E8324D">
            <w:pPr>
              <w:pStyle w:val="Tablas"/>
              <w:rPr>
                <w:sz w:val="12"/>
                <w:szCs w:val="12"/>
              </w:rPr>
            </w:pPr>
            <w:r w:rsidRPr="00483EBE">
              <w:rPr>
                <w:sz w:val="12"/>
                <w:szCs w:val="12"/>
              </w:rPr>
              <w:t>$3,271</w:t>
            </w:r>
          </w:p>
        </w:tc>
        <w:tc>
          <w:tcPr>
            <w:tcW w:w="0" w:type="auto"/>
            <w:tcBorders>
              <w:top w:val="nil"/>
              <w:left w:val="nil"/>
              <w:bottom w:val="single" w:sz="4" w:space="0" w:color="auto"/>
              <w:right w:val="single" w:sz="4" w:space="0" w:color="auto"/>
            </w:tcBorders>
            <w:shd w:val="clear" w:color="auto" w:fill="auto"/>
            <w:vAlign w:val="center"/>
            <w:hideMark/>
          </w:tcPr>
          <w:p w14:paraId="57CE0D94" w14:textId="77777777" w:rsidR="00572995" w:rsidRPr="00483EBE" w:rsidRDefault="00572995" w:rsidP="00E8324D">
            <w:pPr>
              <w:pStyle w:val="Tablas"/>
              <w:rPr>
                <w:sz w:val="12"/>
                <w:szCs w:val="12"/>
              </w:rPr>
            </w:pPr>
            <w:r w:rsidRPr="00483EBE">
              <w:rPr>
                <w:sz w:val="12"/>
                <w:szCs w:val="12"/>
              </w:rPr>
              <w:t>$273</w:t>
            </w:r>
          </w:p>
        </w:tc>
        <w:tc>
          <w:tcPr>
            <w:tcW w:w="0" w:type="auto"/>
            <w:tcBorders>
              <w:top w:val="nil"/>
              <w:left w:val="nil"/>
              <w:bottom w:val="single" w:sz="4" w:space="0" w:color="auto"/>
              <w:right w:val="single" w:sz="4" w:space="0" w:color="auto"/>
            </w:tcBorders>
            <w:shd w:val="clear" w:color="auto" w:fill="auto"/>
            <w:vAlign w:val="center"/>
            <w:hideMark/>
          </w:tcPr>
          <w:p w14:paraId="16EBBEB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D00EF3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E5DE4E" w14:textId="77777777" w:rsidR="00572995" w:rsidRPr="00483EBE" w:rsidRDefault="00572995" w:rsidP="00E8324D">
            <w:pPr>
              <w:pStyle w:val="Tablas"/>
              <w:rPr>
                <w:sz w:val="12"/>
                <w:szCs w:val="12"/>
              </w:rPr>
            </w:pPr>
            <w:r w:rsidRPr="00483EBE">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288E418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475E203" w14:textId="77777777" w:rsidR="00572995" w:rsidRPr="00483EBE" w:rsidRDefault="00572995" w:rsidP="00E8324D">
            <w:pPr>
              <w:pStyle w:val="Tablas"/>
              <w:rPr>
                <w:sz w:val="12"/>
                <w:szCs w:val="12"/>
              </w:rPr>
            </w:pPr>
            <w:r w:rsidRPr="00483EBE">
              <w:rPr>
                <w:sz w:val="12"/>
                <w:szCs w:val="12"/>
              </w:rPr>
              <w:t>$872</w:t>
            </w:r>
          </w:p>
        </w:tc>
        <w:tc>
          <w:tcPr>
            <w:tcW w:w="0" w:type="auto"/>
            <w:tcBorders>
              <w:top w:val="nil"/>
              <w:left w:val="nil"/>
              <w:bottom w:val="single" w:sz="4" w:space="0" w:color="auto"/>
              <w:right w:val="single" w:sz="4" w:space="0" w:color="auto"/>
            </w:tcBorders>
            <w:shd w:val="clear" w:color="auto" w:fill="auto"/>
            <w:vAlign w:val="center"/>
            <w:hideMark/>
          </w:tcPr>
          <w:p w14:paraId="696C8FD6" w14:textId="77777777" w:rsidR="00572995" w:rsidRPr="00483EBE" w:rsidRDefault="00572995" w:rsidP="00E8324D">
            <w:pPr>
              <w:pStyle w:val="Tablas"/>
              <w:rPr>
                <w:sz w:val="12"/>
                <w:szCs w:val="12"/>
              </w:rPr>
            </w:pPr>
            <w:r w:rsidRPr="00483EBE">
              <w:rPr>
                <w:sz w:val="12"/>
                <w:szCs w:val="12"/>
              </w:rPr>
              <w:t>$872</w:t>
            </w:r>
          </w:p>
        </w:tc>
        <w:tc>
          <w:tcPr>
            <w:tcW w:w="0" w:type="auto"/>
            <w:tcBorders>
              <w:top w:val="nil"/>
              <w:left w:val="nil"/>
              <w:bottom w:val="single" w:sz="4" w:space="0" w:color="auto"/>
              <w:right w:val="single" w:sz="4" w:space="0" w:color="auto"/>
            </w:tcBorders>
            <w:shd w:val="clear" w:color="auto" w:fill="auto"/>
            <w:vAlign w:val="center"/>
            <w:hideMark/>
          </w:tcPr>
          <w:p w14:paraId="04D7039A"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47B1CBEA"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0AE8A6DA" w14:textId="77777777" w:rsidR="00572995" w:rsidRPr="00483EBE" w:rsidRDefault="00572995" w:rsidP="00E8324D">
            <w:pPr>
              <w:pStyle w:val="Tablas"/>
              <w:rPr>
                <w:sz w:val="12"/>
                <w:szCs w:val="12"/>
              </w:rPr>
            </w:pPr>
            <w:r w:rsidRPr="00483EBE">
              <w:rPr>
                <w:sz w:val="12"/>
                <w:szCs w:val="12"/>
              </w:rPr>
              <w:t>SM</w:t>
            </w:r>
          </w:p>
        </w:tc>
      </w:tr>
      <w:tr w:rsidR="00572995" w:rsidRPr="00483EBE" w14:paraId="033C16D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CD91A0"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77588CBA"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1B1BA11A" w14:textId="77777777" w:rsidR="00572995" w:rsidRPr="00483EBE" w:rsidRDefault="00572995" w:rsidP="00E8324D">
            <w:pPr>
              <w:pStyle w:val="Tablas"/>
              <w:rPr>
                <w:sz w:val="12"/>
                <w:szCs w:val="12"/>
              </w:rPr>
            </w:pPr>
            <w:r w:rsidRPr="00483EBE">
              <w:rPr>
                <w:sz w:val="12"/>
                <w:szCs w:val="12"/>
              </w:rPr>
              <w:t>$26,398</w:t>
            </w:r>
          </w:p>
        </w:tc>
        <w:tc>
          <w:tcPr>
            <w:tcW w:w="0" w:type="auto"/>
            <w:tcBorders>
              <w:top w:val="nil"/>
              <w:left w:val="nil"/>
              <w:bottom w:val="single" w:sz="4" w:space="0" w:color="auto"/>
              <w:right w:val="single" w:sz="4" w:space="0" w:color="auto"/>
            </w:tcBorders>
            <w:shd w:val="clear" w:color="auto" w:fill="auto"/>
            <w:vAlign w:val="center"/>
            <w:hideMark/>
          </w:tcPr>
          <w:p w14:paraId="0E001AB8" w14:textId="77777777" w:rsidR="00572995" w:rsidRPr="00483EBE" w:rsidRDefault="00572995" w:rsidP="00E8324D">
            <w:pPr>
              <w:pStyle w:val="Tablas"/>
              <w:rPr>
                <w:sz w:val="12"/>
                <w:szCs w:val="12"/>
              </w:rPr>
            </w:pPr>
            <w:r w:rsidRPr="00483EBE">
              <w:rPr>
                <w:sz w:val="12"/>
                <w:szCs w:val="12"/>
              </w:rPr>
              <w:t>$3,300</w:t>
            </w:r>
          </w:p>
        </w:tc>
        <w:tc>
          <w:tcPr>
            <w:tcW w:w="0" w:type="auto"/>
            <w:tcBorders>
              <w:top w:val="nil"/>
              <w:left w:val="nil"/>
              <w:bottom w:val="single" w:sz="4" w:space="0" w:color="auto"/>
              <w:right w:val="single" w:sz="4" w:space="0" w:color="auto"/>
            </w:tcBorders>
            <w:shd w:val="clear" w:color="auto" w:fill="auto"/>
            <w:vAlign w:val="center"/>
            <w:hideMark/>
          </w:tcPr>
          <w:p w14:paraId="350DC821" w14:textId="77777777" w:rsidR="00572995" w:rsidRPr="00483EBE" w:rsidRDefault="00572995" w:rsidP="00E8324D">
            <w:pPr>
              <w:pStyle w:val="Tablas"/>
              <w:rPr>
                <w:sz w:val="12"/>
                <w:szCs w:val="12"/>
              </w:rPr>
            </w:pPr>
            <w:r w:rsidRPr="00483EBE">
              <w:rPr>
                <w:sz w:val="12"/>
                <w:szCs w:val="12"/>
              </w:rPr>
              <w:t>$275</w:t>
            </w:r>
          </w:p>
        </w:tc>
        <w:tc>
          <w:tcPr>
            <w:tcW w:w="0" w:type="auto"/>
            <w:tcBorders>
              <w:top w:val="nil"/>
              <w:left w:val="nil"/>
              <w:bottom w:val="single" w:sz="4" w:space="0" w:color="auto"/>
              <w:right w:val="single" w:sz="4" w:space="0" w:color="auto"/>
            </w:tcBorders>
            <w:shd w:val="clear" w:color="auto" w:fill="auto"/>
            <w:vAlign w:val="center"/>
            <w:hideMark/>
          </w:tcPr>
          <w:p w14:paraId="6CC3782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1E6163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2EDFFFD"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4F824A8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470F62D" w14:textId="77777777" w:rsidR="00572995" w:rsidRPr="00483EBE" w:rsidRDefault="00572995" w:rsidP="00E8324D">
            <w:pPr>
              <w:pStyle w:val="Tablas"/>
              <w:rPr>
                <w:sz w:val="12"/>
                <w:szCs w:val="12"/>
              </w:rPr>
            </w:pPr>
            <w:r w:rsidRPr="00483EBE">
              <w:rPr>
                <w:sz w:val="12"/>
                <w:szCs w:val="12"/>
              </w:rPr>
              <w:t>$837</w:t>
            </w:r>
          </w:p>
        </w:tc>
        <w:tc>
          <w:tcPr>
            <w:tcW w:w="0" w:type="auto"/>
            <w:tcBorders>
              <w:top w:val="nil"/>
              <w:left w:val="nil"/>
              <w:bottom w:val="single" w:sz="4" w:space="0" w:color="auto"/>
              <w:right w:val="single" w:sz="4" w:space="0" w:color="auto"/>
            </w:tcBorders>
            <w:shd w:val="clear" w:color="auto" w:fill="auto"/>
            <w:vAlign w:val="center"/>
            <w:hideMark/>
          </w:tcPr>
          <w:p w14:paraId="0CA108D9" w14:textId="77777777" w:rsidR="00572995" w:rsidRPr="00483EBE" w:rsidRDefault="00572995" w:rsidP="00E8324D">
            <w:pPr>
              <w:pStyle w:val="Tablas"/>
              <w:rPr>
                <w:sz w:val="12"/>
                <w:szCs w:val="12"/>
              </w:rPr>
            </w:pPr>
            <w:r w:rsidRPr="00483EBE">
              <w:rPr>
                <w:sz w:val="12"/>
                <w:szCs w:val="12"/>
              </w:rPr>
              <w:t>$837</w:t>
            </w:r>
          </w:p>
        </w:tc>
        <w:tc>
          <w:tcPr>
            <w:tcW w:w="0" w:type="auto"/>
            <w:tcBorders>
              <w:top w:val="nil"/>
              <w:left w:val="nil"/>
              <w:bottom w:val="single" w:sz="4" w:space="0" w:color="auto"/>
              <w:right w:val="single" w:sz="4" w:space="0" w:color="auto"/>
            </w:tcBorders>
            <w:shd w:val="clear" w:color="auto" w:fill="auto"/>
            <w:vAlign w:val="center"/>
            <w:hideMark/>
          </w:tcPr>
          <w:p w14:paraId="18DD20E9"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76444755" w14:textId="77777777" w:rsidR="00572995" w:rsidRPr="00483EBE" w:rsidRDefault="00572995" w:rsidP="00E8324D">
            <w:pPr>
              <w:pStyle w:val="Tablas"/>
              <w:rPr>
                <w:sz w:val="12"/>
                <w:szCs w:val="12"/>
              </w:rPr>
            </w:pPr>
            <w:r w:rsidRPr="00483EBE">
              <w:rPr>
                <w:sz w:val="12"/>
                <w:szCs w:val="12"/>
              </w:rPr>
              <w:t>HUERFANOS INVALIDOS</w:t>
            </w:r>
          </w:p>
        </w:tc>
        <w:tc>
          <w:tcPr>
            <w:tcW w:w="582" w:type="dxa"/>
            <w:tcBorders>
              <w:top w:val="nil"/>
              <w:left w:val="nil"/>
              <w:bottom w:val="single" w:sz="4" w:space="0" w:color="auto"/>
              <w:right w:val="single" w:sz="8" w:space="0" w:color="auto"/>
            </w:tcBorders>
            <w:shd w:val="clear" w:color="auto" w:fill="auto"/>
            <w:vAlign w:val="center"/>
            <w:hideMark/>
          </w:tcPr>
          <w:p w14:paraId="34718D07" w14:textId="77777777" w:rsidR="00572995" w:rsidRPr="00483EBE" w:rsidRDefault="00572995" w:rsidP="00E8324D">
            <w:pPr>
              <w:pStyle w:val="Tablas"/>
              <w:rPr>
                <w:sz w:val="12"/>
                <w:szCs w:val="12"/>
              </w:rPr>
            </w:pPr>
            <w:r w:rsidRPr="00483EBE">
              <w:rPr>
                <w:sz w:val="12"/>
                <w:szCs w:val="12"/>
              </w:rPr>
              <w:t>SM</w:t>
            </w:r>
          </w:p>
        </w:tc>
      </w:tr>
      <w:tr w:rsidR="00572995" w:rsidRPr="00483EBE" w14:paraId="62645C1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3451305"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7BF76348"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5CA8C867" w14:textId="77777777" w:rsidR="00572995" w:rsidRPr="00483EBE" w:rsidRDefault="00572995" w:rsidP="00E8324D">
            <w:pPr>
              <w:pStyle w:val="Tablas"/>
              <w:rPr>
                <w:sz w:val="12"/>
                <w:szCs w:val="12"/>
              </w:rPr>
            </w:pPr>
            <w:r w:rsidRPr="00483EBE">
              <w:rPr>
                <w:sz w:val="12"/>
                <w:szCs w:val="12"/>
              </w:rPr>
              <w:t>$9,960</w:t>
            </w:r>
          </w:p>
        </w:tc>
        <w:tc>
          <w:tcPr>
            <w:tcW w:w="0" w:type="auto"/>
            <w:tcBorders>
              <w:top w:val="nil"/>
              <w:left w:val="nil"/>
              <w:bottom w:val="single" w:sz="4" w:space="0" w:color="auto"/>
              <w:right w:val="single" w:sz="4" w:space="0" w:color="auto"/>
            </w:tcBorders>
            <w:shd w:val="clear" w:color="auto" w:fill="auto"/>
            <w:vAlign w:val="center"/>
            <w:hideMark/>
          </w:tcPr>
          <w:p w14:paraId="521CEC03" w14:textId="77777777" w:rsidR="00572995" w:rsidRPr="00483EBE" w:rsidRDefault="00572995" w:rsidP="00E8324D">
            <w:pPr>
              <w:pStyle w:val="Tablas"/>
              <w:rPr>
                <w:sz w:val="12"/>
                <w:szCs w:val="12"/>
              </w:rPr>
            </w:pPr>
            <w:r w:rsidRPr="00483EBE">
              <w:rPr>
                <w:sz w:val="12"/>
                <w:szCs w:val="12"/>
              </w:rPr>
              <w:t>$3,320</w:t>
            </w:r>
          </w:p>
        </w:tc>
        <w:tc>
          <w:tcPr>
            <w:tcW w:w="0" w:type="auto"/>
            <w:tcBorders>
              <w:top w:val="nil"/>
              <w:left w:val="nil"/>
              <w:bottom w:val="single" w:sz="4" w:space="0" w:color="auto"/>
              <w:right w:val="single" w:sz="4" w:space="0" w:color="auto"/>
            </w:tcBorders>
            <w:shd w:val="clear" w:color="auto" w:fill="auto"/>
            <w:vAlign w:val="center"/>
            <w:hideMark/>
          </w:tcPr>
          <w:p w14:paraId="3A970BB4" w14:textId="77777777" w:rsidR="00572995" w:rsidRPr="00483EBE" w:rsidRDefault="00572995" w:rsidP="00E8324D">
            <w:pPr>
              <w:pStyle w:val="Tablas"/>
              <w:rPr>
                <w:sz w:val="12"/>
                <w:szCs w:val="12"/>
              </w:rPr>
            </w:pPr>
            <w:r w:rsidRPr="00483EBE">
              <w:rPr>
                <w:sz w:val="12"/>
                <w:szCs w:val="12"/>
              </w:rPr>
              <w:t>$277</w:t>
            </w:r>
          </w:p>
        </w:tc>
        <w:tc>
          <w:tcPr>
            <w:tcW w:w="0" w:type="auto"/>
            <w:tcBorders>
              <w:top w:val="nil"/>
              <w:left w:val="nil"/>
              <w:bottom w:val="single" w:sz="4" w:space="0" w:color="auto"/>
              <w:right w:val="single" w:sz="4" w:space="0" w:color="auto"/>
            </w:tcBorders>
            <w:shd w:val="clear" w:color="auto" w:fill="auto"/>
            <w:vAlign w:val="center"/>
            <w:hideMark/>
          </w:tcPr>
          <w:p w14:paraId="4FA8BF5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7C193B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4BEFBF"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14397BA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C49ACE0" w14:textId="77777777" w:rsidR="00572995" w:rsidRPr="00483EBE" w:rsidRDefault="00572995" w:rsidP="00E8324D">
            <w:pPr>
              <w:pStyle w:val="Tablas"/>
              <w:rPr>
                <w:sz w:val="12"/>
                <w:szCs w:val="12"/>
              </w:rPr>
            </w:pPr>
            <w:r w:rsidRPr="00483EBE">
              <w:rPr>
                <w:sz w:val="12"/>
                <w:szCs w:val="12"/>
              </w:rPr>
              <w:t>$561</w:t>
            </w:r>
          </w:p>
        </w:tc>
        <w:tc>
          <w:tcPr>
            <w:tcW w:w="0" w:type="auto"/>
            <w:tcBorders>
              <w:top w:val="nil"/>
              <w:left w:val="nil"/>
              <w:bottom w:val="single" w:sz="4" w:space="0" w:color="auto"/>
              <w:right w:val="single" w:sz="4" w:space="0" w:color="auto"/>
            </w:tcBorders>
            <w:shd w:val="clear" w:color="auto" w:fill="auto"/>
            <w:vAlign w:val="center"/>
            <w:hideMark/>
          </w:tcPr>
          <w:p w14:paraId="317A0D34" w14:textId="77777777" w:rsidR="00572995" w:rsidRPr="00483EBE" w:rsidRDefault="00572995" w:rsidP="00E8324D">
            <w:pPr>
              <w:pStyle w:val="Tablas"/>
              <w:rPr>
                <w:sz w:val="12"/>
                <w:szCs w:val="12"/>
              </w:rPr>
            </w:pPr>
            <w:r w:rsidRPr="00483EBE">
              <w:rPr>
                <w:sz w:val="12"/>
                <w:szCs w:val="12"/>
              </w:rPr>
              <w:t>$561</w:t>
            </w:r>
          </w:p>
        </w:tc>
        <w:tc>
          <w:tcPr>
            <w:tcW w:w="0" w:type="auto"/>
            <w:tcBorders>
              <w:top w:val="nil"/>
              <w:left w:val="nil"/>
              <w:bottom w:val="single" w:sz="4" w:space="0" w:color="auto"/>
              <w:right w:val="single" w:sz="4" w:space="0" w:color="auto"/>
            </w:tcBorders>
            <w:shd w:val="clear" w:color="auto" w:fill="auto"/>
            <w:vAlign w:val="center"/>
            <w:hideMark/>
          </w:tcPr>
          <w:p w14:paraId="3259593C"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28C1285E"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15366243" w14:textId="77777777" w:rsidR="00572995" w:rsidRPr="00483EBE" w:rsidRDefault="00572995" w:rsidP="00E8324D">
            <w:pPr>
              <w:pStyle w:val="Tablas"/>
              <w:rPr>
                <w:sz w:val="12"/>
                <w:szCs w:val="12"/>
              </w:rPr>
            </w:pPr>
            <w:r w:rsidRPr="00483EBE">
              <w:rPr>
                <w:sz w:val="12"/>
                <w:szCs w:val="12"/>
              </w:rPr>
              <w:t>SM</w:t>
            </w:r>
          </w:p>
        </w:tc>
      </w:tr>
      <w:tr w:rsidR="00572995" w:rsidRPr="00483EBE" w14:paraId="19D64C2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2D973A"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530F60BD"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0FFF163E" w14:textId="77777777" w:rsidR="00572995" w:rsidRPr="00483EBE" w:rsidRDefault="00572995" w:rsidP="00E8324D">
            <w:pPr>
              <w:pStyle w:val="Tablas"/>
              <w:rPr>
                <w:sz w:val="12"/>
                <w:szCs w:val="12"/>
              </w:rPr>
            </w:pPr>
            <w:r w:rsidRPr="00483EBE">
              <w:rPr>
                <w:sz w:val="12"/>
                <w:szCs w:val="12"/>
              </w:rPr>
              <w:t>$24,241</w:t>
            </w:r>
          </w:p>
        </w:tc>
        <w:tc>
          <w:tcPr>
            <w:tcW w:w="0" w:type="auto"/>
            <w:tcBorders>
              <w:top w:val="nil"/>
              <w:left w:val="nil"/>
              <w:bottom w:val="single" w:sz="4" w:space="0" w:color="auto"/>
              <w:right w:val="single" w:sz="4" w:space="0" w:color="auto"/>
            </w:tcBorders>
            <w:shd w:val="clear" w:color="auto" w:fill="auto"/>
            <w:vAlign w:val="center"/>
            <w:hideMark/>
          </w:tcPr>
          <w:p w14:paraId="48050B5C" w14:textId="77777777" w:rsidR="00572995" w:rsidRPr="00483EBE" w:rsidRDefault="00572995" w:rsidP="00E8324D">
            <w:pPr>
              <w:pStyle w:val="Tablas"/>
              <w:rPr>
                <w:sz w:val="12"/>
                <w:szCs w:val="12"/>
              </w:rPr>
            </w:pPr>
            <w:r w:rsidRPr="00483EBE">
              <w:rPr>
                <w:sz w:val="12"/>
                <w:szCs w:val="12"/>
              </w:rPr>
              <w:t>$3,030</w:t>
            </w:r>
          </w:p>
        </w:tc>
        <w:tc>
          <w:tcPr>
            <w:tcW w:w="0" w:type="auto"/>
            <w:tcBorders>
              <w:top w:val="nil"/>
              <w:left w:val="nil"/>
              <w:bottom w:val="single" w:sz="4" w:space="0" w:color="auto"/>
              <w:right w:val="single" w:sz="4" w:space="0" w:color="auto"/>
            </w:tcBorders>
            <w:shd w:val="clear" w:color="auto" w:fill="auto"/>
            <w:vAlign w:val="center"/>
            <w:hideMark/>
          </w:tcPr>
          <w:p w14:paraId="0491A32A"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622D3475"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B42612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968158"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74ECD4D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CAD83E9" w14:textId="77777777" w:rsidR="00572995" w:rsidRPr="00483EBE" w:rsidRDefault="00572995" w:rsidP="00E8324D">
            <w:pPr>
              <w:pStyle w:val="Tablas"/>
              <w:rPr>
                <w:sz w:val="12"/>
                <w:szCs w:val="12"/>
              </w:rPr>
            </w:pPr>
            <w:r w:rsidRPr="00483EBE">
              <w:rPr>
                <w:sz w:val="12"/>
                <w:szCs w:val="12"/>
              </w:rPr>
              <w:t>$565</w:t>
            </w:r>
          </w:p>
        </w:tc>
        <w:tc>
          <w:tcPr>
            <w:tcW w:w="0" w:type="auto"/>
            <w:tcBorders>
              <w:top w:val="nil"/>
              <w:left w:val="nil"/>
              <w:bottom w:val="single" w:sz="4" w:space="0" w:color="auto"/>
              <w:right w:val="single" w:sz="4" w:space="0" w:color="auto"/>
            </w:tcBorders>
            <w:shd w:val="clear" w:color="auto" w:fill="auto"/>
            <w:vAlign w:val="center"/>
            <w:hideMark/>
          </w:tcPr>
          <w:p w14:paraId="67AA52CA" w14:textId="77777777" w:rsidR="00572995" w:rsidRPr="00483EBE" w:rsidRDefault="00572995" w:rsidP="00E8324D">
            <w:pPr>
              <w:pStyle w:val="Tablas"/>
              <w:rPr>
                <w:sz w:val="12"/>
                <w:szCs w:val="12"/>
              </w:rPr>
            </w:pPr>
            <w:r w:rsidRPr="00483EBE">
              <w:rPr>
                <w:sz w:val="12"/>
                <w:szCs w:val="12"/>
              </w:rPr>
              <w:t>$565</w:t>
            </w:r>
          </w:p>
        </w:tc>
        <w:tc>
          <w:tcPr>
            <w:tcW w:w="0" w:type="auto"/>
            <w:tcBorders>
              <w:top w:val="nil"/>
              <w:left w:val="nil"/>
              <w:bottom w:val="single" w:sz="4" w:space="0" w:color="auto"/>
              <w:right w:val="single" w:sz="4" w:space="0" w:color="auto"/>
            </w:tcBorders>
            <w:shd w:val="clear" w:color="auto" w:fill="auto"/>
            <w:vAlign w:val="center"/>
            <w:hideMark/>
          </w:tcPr>
          <w:p w14:paraId="0C3704B9"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35BCF1EB"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2C998D81" w14:textId="77777777" w:rsidR="00572995" w:rsidRPr="00483EBE" w:rsidRDefault="00572995" w:rsidP="00E8324D">
            <w:pPr>
              <w:pStyle w:val="Tablas"/>
              <w:rPr>
                <w:sz w:val="12"/>
                <w:szCs w:val="12"/>
              </w:rPr>
            </w:pPr>
            <w:r w:rsidRPr="00483EBE">
              <w:rPr>
                <w:sz w:val="12"/>
                <w:szCs w:val="12"/>
              </w:rPr>
              <w:t>SM</w:t>
            </w:r>
          </w:p>
        </w:tc>
      </w:tr>
      <w:tr w:rsidR="00572995" w:rsidRPr="00483EBE" w14:paraId="784768B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3365A7" w14:textId="77777777" w:rsidR="00572995" w:rsidRPr="00483EBE" w:rsidRDefault="00572995" w:rsidP="00E8324D">
            <w:pPr>
              <w:pStyle w:val="Tablas"/>
              <w:rPr>
                <w:sz w:val="12"/>
                <w:szCs w:val="12"/>
              </w:rPr>
            </w:pPr>
            <w:r w:rsidRPr="00483EBE">
              <w:rPr>
                <w:sz w:val="12"/>
                <w:szCs w:val="12"/>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14:paraId="47CFA57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40A9780" w14:textId="77777777" w:rsidR="00572995" w:rsidRPr="00483EBE" w:rsidRDefault="00572995" w:rsidP="00E8324D">
            <w:pPr>
              <w:pStyle w:val="Tablas"/>
              <w:rPr>
                <w:sz w:val="12"/>
                <w:szCs w:val="12"/>
              </w:rPr>
            </w:pPr>
            <w:r w:rsidRPr="00483EBE">
              <w:rPr>
                <w:sz w:val="12"/>
                <w:szCs w:val="12"/>
              </w:rPr>
              <w:t>$9,649</w:t>
            </w:r>
          </w:p>
        </w:tc>
        <w:tc>
          <w:tcPr>
            <w:tcW w:w="0" w:type="auto"/>
            <w:tcBorders>
              <w:top w:val="nil"/>
              <w:left w:val="nil"/>
              <w:bottom w:val="single" w:sz="4" w:space="0" w:color="auto"/>
              <w:right w:val="single" w:sz="4" w:space="0" w:color="auto"/>
            </w:tcBorders>
            <w:shd w:val="clear" w:color="auto" w:fill="auto"/>
            <w:vAlign w:val="center"/>
            <w:hideMark/>
          </w:tcPr>
          <w:p w14:paraId="2562CCDD" w14:textId="77777777" w:rsidR="00572995" w:rsidRPr="00483EBE" w:rsidRDefault="00572995" w:rsidP="00E8324D">
            <w:pPr>
              <w:pStyle w:val="Tablas"/>
              <w:rPr>
                <w:sz w:val="12"/>
                <w:szCs w:val="12"/>
              </w:rPr>
            </w:pPr>
            <w:r w:rsidRPr="00483EBE">
              <w:rPr>
                <w:sz w:val="12"/>
                <w:szCs w:val="12"/>
              </w:rPr>
              <w:t>$3,216</w:t>
            </w:r>
          </w:p>
        </w:tc>
        <w:tc>
          <w:tcPr>
            <w:tcW w:w="0" w:type="auto"/>
            <w:tcBorders>
              <w:top w:val="nil"/>
              <w:left w:val="nil"/>
              <w:bottom w:val="single" w:sz="4" w:space="0" w:color="auto"/>
              <w:right w:val="single" w:sz="4" w:space="0" w:color="auto"/>
            </w:tcBorders>
            <w:shd w:val="clear" w:color="auto" w:fill="auto"/>
            <w:vAlign w:val="center"/>
            <w:hideMark/>
          </w:tcPr>
          <w:p w14:paraId="5A59F913" w14:textId="77777777" w:rsidR="00572995" w:rsidRPr="00483EBE" w:rsidRDefault="00572995" w:rsidP="00E8324D">
            <w:pPr>
              <w:pStyle w:val="Tablas"/>
              <w:rPr>
                <w:sz w:val="12"/>
                <w:szCs w:val="12"/>
              </w:rPr>
            </w:pPr>
            <w:r w:rsidRPr="00483EBE">
              <w:rPr>
                <w:sz w:val="12"/>
                <w:szCs w:val="12"/>
              </w:rPr>
              <w:t>$268</w:t>
            </w:r>
          </w:p>
        </w:tc>
        <w:tc>
          <w:tcPr>
            <w:tcW w:w="0" w:type="auto"/>
            <w:tcBorders>
              <w:top w:val="nil"/>
              <w:left w:val="nil"/>
              <w:bottom w:val="single" w:sz="4" w:space="0" w:color="auto"/>
              <w:right w:val="single" w:sz="4" w:space="0" w:color="auto"/>
            </w:tcBorders>
            <w:shd w:val="clear" w:color="auto" w:fill="auto"/>
            <w:vAlign w:val="center"/>
            <w:hideMark/>
          </w:tcPr>
          <w:p w14:paraId="48B52FF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9FEA77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6B8706"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5D27E89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F13BD67" w14:textId="77777777" w:rsidR="00572995" w:rsidRPr="00483EBE" w:rsidRDefault="00572995" w:rsidP="00E8324D">
            <w:pPr>
              <w:pStyle w:val="Tablas"/>
              <w:rPr>
                <w:sz w:val="12"/>
                <w:szCs w:val="12"/>
              </w:rPr>
            </w:pPr>
            <w:r w:rsidRPr="00483EBE">
              <w:rPr>
                <w:sz w:val="12"/>
                <w:szCs w:val="12"/>
              </w:rPr>
              <w:t>$454</w:t>
            </w:r>
          </w:p>
        </w:tc>
        <w:tc>
          <w:tcPr>
            <w:tcW w:w="0" w:type="auto"/>
            <w:tcBorders>
              <w:top w:val="nil"/>
              <w:left w:val="nil"/>
              <w:bottom w:val="single" w:sz="4" w:space="0" w:color="auto"/>
              <w:right w:val="single" w:sz="4" w:space="0" w:color="auto"/>
            </w:tcBorders>
            <w:shd w:val="clear" w:color="auto" w:fill="auto"/>
            <w:vAlign w:val="center"/>
            <w:hideMark/>
          </w:tcPr>
          <w:p w14:paraId="1356079D" w14:textId="77777777" w:rsidR="00572995" w:rsidRPr="00483EBE" w:rsidRDefault="00572995" w:rsidP="00E8324D">
            <w:pPr>
              <w:pStyle w:val="Tablas"/>
              <w:rPr>
                <w:sz w:val="12"/>
                <w:szCs w:val="12"/>
              </w:rPr>
            </w:pPr>
            <w:r w:rsidRPr="00483EBE">
              <w:rPr>
                <w:sz w:val="12"/>
                <w:szCs w:val="12"/>
              </w:rPr>
              <w:t>$454</w:t>
            </w:r>
          </w:p>
        </w:tc>
        <w:tc>
          <w:tcPr>
            <w:tcW w:w="0" w:type="auto"/>
            <w:tcBorders>
              <w:top w:val="nil"/>
              <w:left w:val="nil"/>
              <w:bottom w:val="single" w:sz="4" w:space="0" w:color="auto"/>
              <w:right w:val="single" w:sz="4" w:space="0" w:color="auto"/>
            </w:tcBorders>
            <w:shd w:val="clear" w:color="auto" w:fill="auto"/>
            <w:vAlign w:val="center"/>
            <w:hideMark/>
          </w:tcPr>
          <w:p w14:paraId="666EDACA"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45CC5F88"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4C79D0AD" w14:textId="77777777" w:rsidR="00572995" w:rsidRPr="00483EBE" w:rsidRDefault="00572995" w:rsidP="00E8324D">
            <w:pPr>
              <w:pStyle w:val="Tablas"/>
              <w:rPr>
                <w:sz w:val="12"/>
                <w:szCs w:val="12"/>
              </w:rPr>
            </w:pPr>
            <w:r w:rsidRPr="00483EBE">
              <w:rPr>
                <w:sz w:val="12"/>
                <w:szCs w:val="12"/>
              </w:rPr>
              <w:t>SM</w:t>
            </w:r>
          </w:p>
        </w:tc>
      </w:tr>
      <w:tr w:rsidR="00572995" w:rsidRPr="00483EBE" w14:paraId="2DEFE42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8A3071"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5E713CC9"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935CDC7" w14:textId="77777777" w:rsidR="00572995" w:rsidRPr="00483EBE" w:rsidRDefault="00572995" w:rsidP="00E8324D">
            <w:pPr>
              <w:pStyle w:val="Tablas"/>
              <w:rPr>
                <w:sz w:val="12"/>
                <w:szCs w:val="12"/>
              </w:rPr>
            </w:pPr>
            <w:r w:rsidRPr="00483EBE">
              <w:rPr>
                <w:sz w:val="12"/>
                <w:szCs w:val="12"/>
              </w:rPr>
              <w:t>$30,115</w:t>
            </w:r>
          </w:p>
        </w:tc>
        <w:tc>
          <w:tcPr>
            <w:tcW w:w="0" w:type="auto"/>
            <w:tcBorders>
              <w:top w:val="nil"/>
              <w:left w:val="nil"/>
              <w:bottom w:val="single" w:sz="4" w:space="0" w:color="auto"/>
              <w:right w:val="single" w:sz="4" w:space="0" w:color="auto"/>
            </w:tcBorders>
            <w:shd w:val="clear" w:color="auto" w:fill="auto"/>
            <w:vAlign w:val="center"/>
            <w:hideMark/>
          </w:tcPr>
          <w:p w14:paraId="60240E34" w14:textId="77777777" w:rsidR="00572995" w:rsidRPr="00483EBE" w:rsidRDefault="00572995" w:rsidP="00E8324D">
            <w:pPr>
              <w:pStyle w:val="Tablas"/>
              <w:rPr>
                <w:sz w:val="12"/>
                <w:szCs w:val="12"/>
              </w:rPr>
            </w:pPr>
            <w:r w:rsidRPr="00483EBE">
              <w:rPr>
                <w:sz w:val="12"/>
                <w:szCs w:val="12"/>
              </w:rPr>
              <w:t>$3,346</w:t>
            </w:r>
          </w:p>
        </w:tc>
        <w:tc>
          <w:tcPr>
            <w:tcW w:w="0" w:type="auto"/>
            <w:tcBorders>
              <w:top w:val="nil"/>
              <w:left w:val="nil"/>
              <w:bottom w:val="single" w:sz="4" w:space="0" w:color="auto"/>
              <w:right w:val="single" w:sz="4" w:space="0" w:color="auto"/>
            </w:tcBorders>
            <w:shd w:val="clear" w:color="auto" w:fill="auto"/>
            <w:vAlign w:val="center"/>
            <w:hideMark/>
          </w:tcPr>
          <w:p w14:paraId="6241C298" w14:textId="77777777" w:rsidR="00572995" w:rsidRPr="00483EBE" w:rsidRDefault="00572995" w:rsidP="00E8324D">
            <w:pPr>
              <w:pStyle w:val="Tablas"/>
              <w:rPr>
                <w:sz w:val="12"/>
                <w:szCs w:val="12"/>
              </w:rPr>
            </w:pPr>
            <w:r w:rsidRPr="00483EBE">
              <w:rPr>
                <w:sz w:val="12"/>
                <w:szCs w:val="12"/>
              </w:rPr>
              <w:t>$279</w:t>
            </w:r>
          </w:p>
        </w:tc>
        <w:tc>
          <w:tcPr>
            <w:tcW w:w="0" w:type="auto"/>
            <w:tcBorders>
              <w:top w:val="nil"/>
              <w:left w:val="nil"/>
              <w:bottom w:val="single" w:sz="4" w:space="0" w:color="auto"/>
              <w:right w:val="single" w:sz="4" w:space="0" w:color="auto"/>
            </w:tcBorders>
            <w:shd w:val="clear" w:color="auto" w:fill="auto"/>
            <w:vAlign w:val="center"/>
            <w:hideMark/>
          </w:tcPr>
          <w:p w14:paraId="0FD33C0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5B2A73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C5DE8C"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3EF7541C"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162994E" w14:textId="77777777" w:rsidR="00572995" w:rsidRPr="00483EBE" w:rsidRDefault="00572995" w:rsidP="00E8324D">
            <w:pPr>
              <w:pStyle w:val="Tablas"/>
              <w:rPr>
                <w:sz w:val="12"/>
                <w:szCs w:val="12"/>
              </w:rPr>
            </w:pPr>
            <w:r w:rsidRPr="00483EBE">
              <w:rPr>
                <w:sz w:val="12"/>
                <w:szCs w:val="12"/>
              </w:rPr>
              <w:t>$538</w:t>
            </w:r>
          </w:p>
        </w:tc>
        <w:tc>
          <w:tcPr>
            <w:tcW w:w="0" w:type="auto"/>
            <w:tcBorders>
              <w:top w:val="nil"/>
              <w:left w:val="nil"/>
              <w:bottom w:val="single" w:sz="4" w:space="0" w:color="auto"/>
              <w:right w:val="single" w:sz="4" w:space="0" w:color="auto"/>
            </w:tcBorders>
            <w:shd w:val="clear" w:color="auto" w:fill="auto"/>
            <w:vAlign w:val="center"/>
            <w:hideMark/>
          </w:tcPr>
          <w:p w14:paraId="2EA004BA" w14:textId="77777777" w:rsidR="00572995" w:rsidRPr="00483EBE" w:rsidRDefault="00572995" w:rsidP="00E8324D">
            <w:pPr>
              <w:pStyle w:val="Tablas"/>
              <w:rPr>
                <w:sz w:val="12"/>
                <w:szCs w:val="12"/>
              </w:rPr>
            </w:pPr>
            <w:r w:rsidRPr="00483EBE">
              <w:rPr>
                <w:sz w:val="12"/>
                <w:szCs w:val="12"/>
              </w:rPr>
              <w:t>$538</w:t>
            </w:r>
          </w:p>
        </w:tc>
        <w:tc>
          <w:tcPr>
            <w:tcW w:w="0" w:type="auto"/>
            <w:tcBorders>
              <w:top w:val="nil"/>
              <w:left w:val="nil"/>
              <w:bottom w:val="single" w:sz="4" w:space="0" w:color="auto"/>
              <w:right w:val="single" w:sz="4" w:space="0" w:color="auto"/>
            </w:tcBorders>
            <w:shd w:val="clear" w:color="auto" w:fill="auto"/>
            <w:vAlign w:val="center"/>
            <w:hideMark/>
          </w:tcPr>
          <w:p w14:paraId="4BE220AC"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3D0C3CCD"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198567E8" w14:textId="77777777" w:rsidR="00572995" w:rsidRPr="00483EBE" w:rsidRDefault="00572995" w:rsidP="00E8324D">
            <w:pPr>
              <w:pStyle w:val="Tablas"/>
              <w:rPr>
                <w:sz w:val="12"/>
                <w:szCs w:val="12"/>
              </w:rPr>
            </w:pPr>
            <w:r w:rsidRPr="00483EBE">
              <w:rPr>
                <w:sz w:val="12"/>
                <w:szCs w:val="12"/>
              </w:rPr>
              <w:t>SM</w:t>
            </w:r>
          </w:p>
        </w:tc>
      </w:tr>
      <w:tr w:rsidR="00572995" w:rsidRPr="00483EBE" w14:paraId="26548D9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119BB0"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298EAD1E"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61942D3D" w14:textId="77777777" w:rsidR="00572995" w:rsidRPr="00483EBE" w:rsidRDefault="00572995" w:rsidP="00E8324D">
            <w:pPr>
              <w:pStyle w:val="Tablas"/>
              <w:rPr>
                <w:sz w:val="12"/>
                <w:szCs w:val="12"/>
              </w:rPr>
            </w:pPr>
            <w:r w:rsidRPr="00483EBE">
              <w:rPr>
                <w:sz w:val="12"/>
                <w:szCs w:val="12"/>
              </w:rPr>
              <w:t>$20,469</w:t>
            </w:r>
          </w:p>
        </w:tc>
        <w:tc>
          <w:tcPr>
            <w:tcW w:w="0" w:type="auto"/>
            <w:tcBorders>
              <w:top w:val="nil"/>
              <w:left w:val="nil"/>
              <w:bottom w:val="single" w:sz="4" w:space="0" w:color="auto"/>
              <w:right w:val="single" w:sz="4" w:space="0" w:color="auto"/>
            </w:tcBorders>
            <w:shd w:val="clear" w:color="auto" w:fill="auto"/>
            <w:vAlign w:val="center"/>
            <w:hideMark/>
          </w:tcPr>
          <w:p w14:paraId="0C987918" w14:textId="77777777" w:rsidR="00572995" w:rsidRPr="00483EBE" w:rsidRDefault="00572995" w:rsidP="00E8324D">
            <w:pPr>
              <w:pStyle w:val="Tablas"/>
              <w:rPr>
                <w:sz w:val="12"/>
                <w:szCs w:val="12"/>
              </w:rPr>
            </w:pPr>
            <w:r w:rsidRPr="00483EBE">
              <w:rPr>
                <w:sz w:val="12"/>
                <w:szCs w:val="12"/>
              </w:rPr>
              <w:t>$3,411</w:t>
            </w:r>
          </w:p>
        </w:tc>
        <w:tc>
          <w:tcPr>
            <w:tcW w:w="0" w:type="auto"/>
            <w:tcBorders>
              <w:top w:val="nil"/>
              <w:left w:val="nil"/>
              <w:bottom w:val="single" w:sz="4" w:space="0" w:color="auto"/>
              <w:right w:val="single" w:sz="4" w:space="0" w:color="auto"/>
            </w:tcBorders>
            <w:shd w:val="clear" w:color="auto" w:fill="auto"/>
            <w:vAlign w:val="center"/>
            <w:hideMark/>
          </w:tcPr>
          <w:p w14:paraId="506A51D4" w14:textId="77777777" w:rsidR="00572995" w:rsidRPr="00483EBE" w:rsidRDefault="00572995" w:rsidP="00E8324D">
            <w:pPr>
              <w:pStyle w:val="Tablas"/>
              <w:rPr>
                <w:sz w:val="12"/>
                <w:szCs w:val="12"/>
              </w:rPr>
            </w:pPr>
            <w:r w:rsidRPr="00483EBE">
              <w:rPr>
                <w:sz w:val="12"/>
                <w:szCs w:val="12"/>
              </w:rPr>
              <w:t>$284</w:t>
            </w:r>
          </w:p>
        </w:tc>
        <w:tc>
          <w:tcPr>
            <w:tcW w:w="0" w:type="auto"/>
            <w:tcBorders>
              <w:top w:val="nil"/>
              <w:left w:val="nil"/>
              <w:bottom w:val="single" w:sz="4" w:space="0" w:color="auto"/>
              <w:right w:val="single" w:sz="4" w:space="0" w:color="auto"/>
            </w:tcBorders>
            <w:shd w:val="clear" w:color="auto" w:fill="auto"/>
            <w:vAlign w:val="center"/>
            <w:hideMark/>
          </w:tcPr>
          <w:p w14:paraId="19D2102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AC17AD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B931E97"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36096A7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2450D87" w14:textId="77777777" w:rsidR="00572995" w:rsidRPr="00483EBE" w:rsidRDefault="00572995" w:rsidP="00E8324D">
            <w:pPr>
              <w:pStyle w:val="Tablas"/>
              <w:rPr>
                <w:sz w:val="12"/>
                <w:szCs w:val="12"/>
              </w:rPr>
            </w:pPr>
            <w:r w:rsidRPr="00483EBE">
              <w:rPr>
                <w:sz w:val="12"/>
                <w:szCs w:val="12"/>
              </w:rPr>
              <w:t>$540</w:t>
            </w:r>
          </w:p>
        </w:tc>
        <w:tc>
          <w:tcPr>
            <w:tcW w:w="0" w:type="auto"/>
            <w:tcBorders>
              <w:top w:val="nil"/>
              <w:left w:val="nil"/>
              <w:bottom w:val="single" w:sz="4" w:space="0" w:color="auto"/>
              <w:right w:val="single" w:sz="4" w:space="0" w:color="auto"/>
            </w:tcBorders>
            <w:shd w:val="clear" w:color="auto" w:fill="auto"/>
            <w:vAlign w:val="center"/>
            <w:hideMark/>
          </w:tcPr>
          <w:p w14:paraId="4E24A86B" w14:textId="77777777" w:rsidR="00572995" w:rsidRPr="00483EBE" w:rsidRDefault="00572995" w:rsidP="00E8324D">
            <w:pPr>
              <w:pStyle w:val="Tablas"/>
              <w:rPr>
                <w:sz w:val="12"/>
                <w:szCs w:val="12"/>
              </w:rPr>
            </w:pPr>
            <w:r w:rsidRPr="00483EBE">
              <w:rPr>
                <w:sz w:val="12"/>
                <w:szCs w:val="12"/>
              </w:rPr>
              <w:t>$540</w:t>
            </w:r>
          </w:p>
        </w:tc>
        <w:tc>
          <w:tcPr>
            <w:tcW w:w="0" w:type="auto"/>
            <w:tcBorders>
              <w:top w:val="nil"/>
              <w:left w:val="nil"/>
              <w:bottom w:val="single" w:sz="4" w:space="0" w:color="auto"/>
              <w:right w:val="single" w:sz="4" w:space="0" w:color="auto"/>
            </w:tcBorders>
            <w:shd w:val="clear" w:color="auto" w:fill="auto"/>
            <w:vAlign w:val="center"/>
            <w:hideMark/>
          </w:tcPr>
          <w:p w14:paraId="6F5DE96F"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00D13BFE"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75F72BB4" w14:textId="77777777" w:rsidR="00572995" w:rsidRPr="00483EBE" w:rsidRDefault="00572995" w:rsidP="00E8324D">
            <w:pPr>
              <w:pStyle w:val="Tablas"/>
              <w:rPr>
                <w:sz w:val="12"/>
                <w:szCs w:val="12"/>
              </w:rPr>
            </w:pPr>
            <w:r w:rsidRPr="00483EBE">
              <w:rPr>
                <w:sz w:val="12"/>
                <w:szCs w:val="12"/>
              </w:rPr>
              <w:t>SM</w:t>
            </w:r>
          </w:p>
        </w:tc>
      </w:tr>
      <w:tr w:rsidR="00572995" w:rsidRPr="00483EBE" w14:paraId="7DAA700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4C84F72"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639C725F"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03DC9BEE" w14:textId="77777777" w:rsidR="00572995" w:rsidRPr="00483EBE" w:rsidRDefault="00572995" w:rsidP="00E8324D">
            <w:pPr>
              <w:pStyle w:val="Tablas"/>
              <w:rPr>
                <w:sz w:val="12"/>
                <w:szCs w:val="12"/>
              </w:rPr>
            </w:pPr>
            <w:r w:rsidRPr="00483EBE">
              <w:rPr>
                <w:sz w:val="12"/>
                <w:szCs w:val="12"/>
              </w:rPr>
              <w:t>$11,090</w:t>
            </w:r>
          </w:p>
        </w:tc>
        <w:tc>
          <w:tcPr>
            <w:tcW w:w="0" w:type="auto"/>
            <w:tcBorders>
              <w:top w:val="nil"/>
              <w:left w:val="nil"/>
              <w:bottom w:val="single" w:sz="4" w:space="0" w:color="auto"/>
              <w:right w:val="single" w:sz="4" w:space="0" w:color="auto"/>
            </w:tcBorders>
            <w:shd w:val="clear" w:color="auto" w:fill="auto"/>
            <w:vAlign w:val="center"/>
            <w:hideMark/>
          </w:tcPr>
          <w:p w14:paraId="41569EC7" w14:textId="77777777" w:rsidR="00572995" w:rsidRPr="00483EBE" w:rsidRDefault="00572995" w:rsidP="00E8324D">
            <w:pPr>
              <w:pStyle w:val="Tablas"/>
              <w:rPr>
                <w:sz w:val="12"/>
                <w:szCs w:val="12"/>
              </w:rPr>
            </w:pPr>
            <w:r w:rsidRPr="00483EBE">
              <w:rPr>
                <w:sz w:val="12"/>
                <w:szCs w:val="12"/>
              </w:rPr>
              <w:t>$2,773</w:t>
            </w:r>
          </w:p>
        </w:tc>
        <w:tc>
          <w:tcPr>
            <w:tcW w:w="0" w:type="auto"/>
            <w:tcBorders>
              <w:top w:val="nil"/>
              <w:left w:val="nil"/>
              <w:bottom w:val="single" w:sz="4" w:space="0" w:color="auto"/>
              <w:right w:val="single" w:sz="4" w:space="0" w:color="auto"/>
            </w:tcBorders>
            <w:shd w:val="clear" w:color="auto" w:fill="auto"/>
            <w:vAlign w:val="center"/>
            <w:hideMark/>
          </w:tcPr>
          <w:p w14:paraId="3315FD4E" w14:textId="77777777" w:rsidR="00572995" w:rsidRPr="00483EBE" w:rsidRDefault="00572995" w:rsidP="00E8324D">
            <w:pPr>
              <w:pStyle w:val="Tablas"/>
              <w:rPr>
                <w:sz w:val="12"/>
                <w:szCs w:val="12"/>
              </w:rPr>
            </w:pPr>
            <w:r w:rsidRPr="00483EBE">
              <w:rPr>
                <w:sz w:val="12"/>
                <w:szCs w:val="12"/>
              </w:rPr>
              <w:t>$231</w:t>
            </w:r>
          </w:p>
        </w:tc>
        <w:tc>
          <w:tcPr>
            <w:tcW w:w="0" w:type="auto"/>
            <w:tcBorders>
              <w:top w:val="nil"/>
              <w:left w:val="nil"/>
              <w:bottom w:val="single" w:sz="4" w:space="0" w:color="auto"/>
              <w:right w:val="single" w:sz="4" w:space="0" w:color="auto"/>
            </w:tcBorders>
            <w:shd w:val="clear" w:color="auto" w:fill="auto"/>
            <w:vAlign w:val="center"/>
            <w:hideMark/>
          </w:tcPr>
          <w:p w14:paraId="6DA357F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E72E5F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8ED0DF9"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093DC9C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2717862" w14:textId="77777777" w:rsidR="00572995" w:rsidRPr="00483EBE" w:rsidRDefault="00572995" w:rsidP="00E8324D">
            <w:pPr>
              <w:pStyle w:val="Tablas"/>
              <w:rPr>
                <w:sz w:val="12"/>
                <w:szCs w:val="12"/>
              </w:rPr>
            </w:pPr>
            <w:r w:rsidRPr="00483EBE">
              <w:rPr>
                <w:sz w:val="12"/>
                <w:szCs w:val="12"/>
              </w:rPr>
              <w:t>$3,129</w:t>
            </w:r>
          </w:p>
        </w:tc>
        <w:tc>
          <w:tcPr>
            <w:tcW w:w="0" w:type="auto"/>
            <w:tcBorders>
              <w:top w:val="nil"/>
              <w:left w:val="nil"/>
              <w:bottom w:val="single" w:sz="4" w:space="0" w:color="auto"/>
              <w:right w:val="single" w:sz="4" w:space="0" w:color="auto"/>
            </w:tcBorders>
            <w:shd w:val="clear" w:color="auto" w:fill="auto"/>
            <w:vAlign w:val="center"/>
            <w:hideMark/>
          </w:tcPr>
          <w:p w14:paraId="762412D4" w14:textId="77777777" w:rsidR="00572995" w:rsidRPr="00483EBE" w:rsidRDefault="00572995" w:rsidP="00E8324D">
            <w:pPr>
              <w:pStyle w:val="Tablas"/>
              <w:rPr>
                <w:sz w:val="12"/>
                <w:szCs w:val="12"/>
              </w:rPr>
            </w:pPr>
            <w:r w:rsidRPr="00483EBE">
              <w:rPr>
                <w:sz w:val="12"/>
                <w:szCs w:val="12"/>
              </w:rPr>
              <w:t>$3,129</w:t>
            </w:r>
          </w:p>
        </w:tc>
        <w:tc>
          <w:tcPr>
            <w:tcW w:w="0" w:type="auto"/>
            <w:tcBorders>
              <w:top w:val="nil"/>
              <w:left w:val="nil"/>
              <w:bottom w:val="single" w:sz="4" w:space="0" w:color="auto"/>
              <w:right w:val="single" w:sz="4" w:space="0" w:color="auto"/>
            </w:tcBorders>
            <w:shd w:val="clear" w:color="auto" w:fill="auto"/>
            <w:vAlign w:val="center"/>
            <w:hideMark/>
          </w:tcPr>
          <w:p w14:paraId="60F336F1" w14:textId="77777777" w:rsidR="00572995" w:rsidRPr="00483EBE" w:rsidRDefault="00572995" w:rsidP="00E8324D">
            <w:pPr>
              <w:pStyle w:val="Tablas"/>
              <w:rPr>
                <w:sz w:val="12"/>
                <w:szCs w:val="12"/>
              </w:rPr>
            </w:pPr>
            <w:r w:rsidRPr="00483EBE">
              <w:rPr>
                <w:sz w:val="12"/>
                <w:szCs w:val="12"/>
              </w:rPr>
              <w:t>$261</w:t>
            </w:r>
          </w:p>
        </w:tc>
        <w:tc>
          <w:tcPr>
            <w:tcW w:w="0" w:type="auto"/>
            <w:tcBorders>
              <w:top w:val="nil"/>
              <w:left w:val="nil"/>
              <w:bottom w:val="single" w:sz="4" w:space="0" w:color="auto"/>
              <w:right w:val="single" w:sz="4" w:space="0" w:color="auto"/>
            </w:tcBorders>
            <w:shd w:val="clear" w:color="auto" w:fill="auto"/>
            <w:vAlign w:val="center"/>
            <w:hideMark/>
          </w:tcPr>
          <w:p w14:paraId="6D8F92FD"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3806F324" w14:textId="77777777" w:rsidR="00572995" w:rsidRPr="00483EBE" w:rsidRDefault="00572995" w:rsidP="00E8324D">
            <w:pPr>
              <w:pStyle w:val="Tablas"/>
              <w:rPr>
                <w:sz w:val="12"/>
                <w:szCs w:val="12"/>
              </w:rPr>
            </w:pPr>
            <w:r w:rsidRPr="00483EBE">
              <w:rPr>
                <w:sz w:val="12"/>
                <w:szCs w:val="12"/>
              </w:rPr>
              <w:t>SM</w:t>
            </w:r>
          </w:p>
        </w:tc>
      </w:tr>
      <w:tr w:rsidR="00572995" w:rsidRPr="00483EBE" w14:paraId="36BA047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E98FFCF"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1E9A697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4CCB5BA" w14:textId="77777777" w:rsidR="00572995" w:rsidRPr="00483EBE" w:rsidRDefault="00572995" w:rsidP="00E8324D">
            <w:pPr>
              <w:pStyle w:val="Tablas"/>
              <w:rPr>
                <w:sz w:val="12"/>
                <w:szCs w:val="12"/>
              </w:rPr>
            </w:pPr>
            <w:r w:rsidRPr="00483EBE">
              <w:rPr>
                <w:sz w:val="12"/>
                <w:szCs w:val="12"/>
              </w:rPr>
              <w:t>$15,575</w:t>
            </w:r>
          </w:p>
        </w:tc>
        <w:tc>
          <w:tcPr>
            <w:tcW w:w="0" w:type="auto"/>
            <w:tcBorders>
              <w:top w:val="nil"/>
              <w:left w:val="nil"/>
              <w:bottom w:val="single" w:sz="4" w:space="0" w:color="auto"/>
              <w:right w:val="single" w:sz="4" w:space="0" w:color="auto"/>
            </w:tcBorders>
            <w:shd w:val="clear" w:color="auto" w:fill="auto"/>
            <w:vAlign w:val="center"/>
            <w:hideMark/>
          </w:tcPr>
          <w:p w14:paraId="5C645C96" w14:textId="77777777" w:rsidR="00572995" w:rsidRPr="00483EBE" w:rsidRDefault="00572995" w:rsidP="00E8324D">
            <w:pPr>
              <w:pStyle w:val="Tablas"/>
              <w:rPr>
                <w:sz w:val="12"/>
                <w:szCs w:val="12"/>
              </w:rPr>
            </w:pPr>
            <w:r w:rsidRPr="00483EBE">
              <w:rPr>
                <w:sz w:val="12"/>
                <w:szCs w:val="12"/>
              </w:rPr>
              <w:t>$3,115</w:t>
            </w:r>
          </w:p>
        </w:tc>
        <w:tc>
          <w:tcPr>
            <w:tcW w:w="0" w:type="auto"/>
            <w:tcBorders>
              <w:top w:val="nil"/>
              <w:left w:val="nil"/>
              <w:bottom w:val="single" w:sz="4" w:space="0" w:color="auto"/>
              <w:right w:val="single" w:sz="4" w:space="0" w:color="auto"/>
            </w:tcBorders>
            <w:shd w:val="clear" w:color="auto" w:fill="auto"/>
            <w:vAlign w:val="center"/>
            <w:hideMark/>
          </w:tcPr>
          <w:p w14:paraId="1140D34B" w14:textId="77777777" w:rsidR="00572995" w:rsidRPr="00483EBE" w:rsidRDefault="00572995" w:rsidP="00E8324D">
            <w:pPr>
              <w:pStyle w:val="Tablas"/>
              <w:rPr>
                <w:sz w:val="12"/>
                <w:szCs w:val="12"/>
              </w:rPr>
            </w:pPr>
            <w:r w:rsidRPr="00483EBE">
              <w:rPr>
                <w:sz w:val="12"/>
                <w:szCs w:val="12"/>
              </w:rPr>
              <w:t>$260</w:t>
            </w:r>
          </w:p>
        </w:tc>
        <w:tc>
          <w:tcPr>
            <w:tcW w:w="0" w:type="auto"/>
            <w:tcBorders>
              <w:top w:val="nil"/>
              <w:left w:val="nil"/>
              <w:bottom w:val="single" w:sz="4" w:space="0" w:color="auto"/>
              <w:right w:val="single" w:sz="4" w:space="0" w:color="auto"/>
            </w:tcBorders>
            <w:shd w:val="clear" w:color="auto" w:fill="auto"/>
            <w:vAlign w:val="center"/>
            <w:hideMark/>
          </w:tcPr>
          <w:p w14:paraId="7EF68DD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3ABF6F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2DA8B7"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7DAE1F3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BEF62CF" w14:textId="77777777" w:rsidR="00572995" w:rsidRPr="00483EBE" w:rsidRDefault="00572995" w:rsidP="00E8324D">
            <w:pPr>
              <w:pStyle w:val="Tablas"/>
              <w:rPr>
                <w:sz w:val="12"/>
                <w:szCs w:val="12"/>
              </w:rPr>
            </w:pPr>
            <w:r w:rsidRPr="00483EBE">
              <w:rPr>
                <w:sz w:val="12"/>
                <w:szCs w:val="12"/>
              </w:rPr>
              <w:t>$984</w:t>
            </w:r>
          </w:p>
        </w:tc>
        <w:tc>
          <w:tcPr>
            <w:tcW w:w="0" w:type="auto"/>
            <w:tcBorders>
              <w:top w:val="nil"/>
              <w:left w:val="nil"/>
              <w:bottom w:val="single" w:sz="4" w:space="0" w:color="auto"/>
              <w:right w:val="single" w:sz="4" w:space="0" w:color="auto"/>
            </w:tcBorders>
            <w:shd w:val="clear" w:color="auto" w:fill="auto"/>
            <w:vAlign w:val="center"/>
            <w:hideMark/>
          </w:tcPr>
          <w:p w14:paraId="49AE681B" w14:textId="77777777" w:rsidR="00572995" w:rsidRPr="00483EBE" w:rsidRDefault="00572995" w:rsidP="00E8324D">
            <w:pPr>
              <w:pStyle w:val="Tablas"/>
              <w:rPr>
                <w:sz w:val="12"/>
                <w:szCs w:val="12"/>
              </w:rPr>
            </w:pPr>
            <w:r w:rsidRPr="00483EBE">
              <w:rPr>
                <w:sz w:val="12"/>
                <w:szCs w:val="12"/>
              </w:rPr>
              <w:t>$492</w:t>
            </w:r>
          </w:p>
        </w:tc>
        <w:tc>
          <w:tcPr>
            <w:tcW w:w="0" w:type="auto"/>
            <w:tcBorders>
              <w:top w:val="nil"/>
              <w:left w:val="nil"/>
              <w:bottom w:val="single" w:sz="4" w:space="0" w:color="auto"/>
              <w:right w:val="single" w:sz="4" w:space="0" w:color="auto"/>
            </w:tcBorders>
            <w:shd w:val="clear" w:color="auto" w:fill="auto"/>
            <w:vAlign w:val="center"/>
            <w:hideMark/>
          </w:tcPr>
          <w:p w14:paraId="42DCA388"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257A7C70" w14:textId="77777777" w:rsidR="00572995" w:rsidRPr="00483EBE" w:rsidRDefault="00572995" w:rsidP="00E8324D">
            <w:pPr>
              <w:pStyle w:val="Tablas"/>
              <w:rPr>
                <w:sz w:val="12"/>
                <w:szCs w:val="12"/>
              </w:rPr>
            </w:pPr>
            <w:r w:rsidRPr="00483EBE">
              <w:rPr>
                <w:sz w:val="12"/>
                <w:szCs w:val="12"/>
              </w:rPr>
              <w:t>MADRE Y PADRE SOBREVIVIENTE</w:t>
            </w:r>
          </w:p>
        </w:tc>
        <w:tc>
          <w:tcPr>
            <w:tcW w:w="582" w:type="dxa"/>
            <w:tcBorders>
              <w:top w:val="nil"/>
              <w:left w:val="nil"/>
              <w:bottom w:val="single" w:sz="4" w:space="0" w:color="auto"/>
              <w:right w:val="single" w:sz="8" w:space="0" w:color="auto"/>
            </w:tcBorders>
            <w:shd w:val="clear" w:color="auto" w:fill="auto"/>
            <w:vAlign w:val="center"/>
            <w:hideMark/>
          </w:tcPr>
          <w:p w14:paraId="67049AF8" w14:textId="77777777" w:rsidR="00572995" w:rsidRPr="00483EBE" w:rsidRDefault="00572995" w:rsidP="00E8324D">
            <w:pPr>
              <w:pStyle w:val="Tablas"/>
              <w:rPr>
                <w:sz w:val="12"/>
                <w:szCs w:val="12"/>
              </w:rPr>
            </w:pPr>
            <w:r w:rsidRPr="00483EBE">
              <w:rPr>
                <w:sz w:val="12"/>
                <w:szCs w:val="12"/>
              </w:rPr>
              <w:t>SM</w:t>
            </w:r>
          </w:p>
        </w:tc>
      </w:tr>
      <w:tr w:rsidR="00572995" w:rsidRPr="00483EBE" w14:paraId="21D4204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4A4A69"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52155750"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17C3889C" w14:textId="77777777" w:rsidR="00572995" w:rsidRPr="00483EBE" w:rsidRDefault="00572995" w:rsidP="00E8324D">
            <w:pPr>
              <w:pStyle w:val="Tablas"/>
              <w:rPr>
                <w:sz w:val="12"/>
                <w:szCs w:val="12"/>
              </w:rPr>
            </w:pPr>
            <w:r w:rsidRPr="00483EBE">
              <w:rPr>
                <w:sz w:val="12"/>
                <w:szCs w:val="12"/>
              </w:rPr>
              <w:t>$23,303</w:t>
            </w:r>
          </w:p>
        </w:tc>
        <w:tc>
          <w:tcPr>
            <w:tcW w:w="0" w:type="auto"/>
            <w:tcBorders>
              <w:top w:val="nil"/>
              <w:left w:val="nil"/>
              <w:bottom w:val="single" w:sz="4" w:space="0" w:color="auto"/>
              <w:right w:val="single" w:sz="4" w:space="0" w:color="auto"/>
            </w:tcBorders>
            <w:shd w:val="clear" w:color="auto" w:fill="auto"/>
            <w:vAlign w:val="center"/>
            <w:hideMark/>
          </w:tcPr>
          <w:p w14:paraId="435C7567" w14:textId="77777777" w:rsidR="00572995" w:rsidRPr="00483EBE" w:rsidRDefault="00572995" w:rsidP="00E8324D">
            <w:pPr>
              <w:pStyle w:val="Tablas"/>
              <w:rPr>
                <w:sz w:val="12"/>
                <w:szCs w:val="12"/>
              </w:rPr>
            </w:pPr>
            <w:r w:rsidRPr="00483EBE">
              <w:rPr>
                <w:sz w:val="12"/>
                <w:szCs w:val="12"/>
              </w:rPr>
              <w:t>$3,329</w:t>
            </w:r>
          </w:p>
        </w:tc>
        <w:tc>
          <w:tcPr>
            <w:tcW w:w="0" w:type="auto"/>
            <w:tcBorders>
              <w:top w:val="nil"/>
              <w:left w:val="nil"/>
              <w:bottom w:val="single" w:sz="4" w:space="0" w:color="auto"/>
              <w:right w:val="single" w:sz="4" w:space="0" w:color="auto"/>
            </w:tcBorders>
            <w:shd w:val="clear" w:color="auto" w:fill="auto"/>
            <w:vAlign w:val="center"/>
            <w:hideMark/>
          </w:tcPr>
          <w:p w14:paraId="4D10DB1E" w14:textId="77777777" w:rsidR="00572995" w:rsidRPr="00483EBE" w:rsidRDefault="00572995" w:rsidP="00E8324D">
            <w:pPr>
              <w:pStyle w:val="Tablas"/>
              <w:rPr>
                <w:sz w:val="12"/>
                <w:szCs w:val="12"/>
              </w:rPr>
            </w:pPr>
            <w:r w:rsidRPr="00483EBE">
              <w:rPr>
                <w:sz w:val="12"/>
                <w:szCs w:val="12"/>
              </w:rPr>
              <w:t>$277</w:t>
            </w:r>
          </w:p>
        </w:tc>
        <w:tc>
          <w:tcPr>
            <w:tcW w:w="0" w:type="auto"/>
            <w:tcBorders>
              <w:top w:val="nil"/>
              <w:left w:val="nil"/>
              <w:bottom w:val="single" w:sz="4" w:space="0" w:color="auto"/>
              <w:right w:val="single" w:sz="4" w:space="0" w:color="auto"/>
            </w:tcBorders>
            <w:shd w:val="clear" w:color="auto" w:fill="auto"/>
            <w:vAlign w:val="center"/>
            <w:hideMark/>
          </w:tcPr>
          <w:p w14:paraId="1AB2DA8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A77261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7FD3C8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07469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C7A0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534B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821E8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D9A07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FECFDDE" w14:textId="77777777" w:rsidR="00572995" w:rsidRPr="00483EBE" w:rsidRDefault="00572995" w:rsidP="00E8324D">
            <w:pPr>
              <w:pStyle w:val="Tablas"/>
              <w:rPr>
                <w:sz w:val="12"/>
                <w:szCs w:val="12"/>
              </w:rPr>
            </w:pPr>
            <w:r w:rsidRPr="00483EBE">
              <w:rPr>
                <w:sz w:val="12"/>
                <w:szCs w:val="12"/>
              </w:rPr>
              <w:t> </w:t>
            </w:r>
          </w:p>
        </w:tc>
      </w:tr>
      <w:tr w:rsidR="00572995" w:rsidRPr="00483EBE" w14:paraId="68F4FB6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E78D46"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0B23A0D5"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70DDBC28" w14:textId="77777777" w:rsidR="00572995" w:rsidRPr="00483EBE" w:rsidRDefault="00572995" w:rsidP="00E8324D">
            <w:pPr>
              <w:pStyle w:val="Tablas"/>
              <w:rPr>
                <w:sz w:val="12"/>
                <w:szCs w:val="12"/>
              </w:rPr>
            </w:pPr>
            <w:r w:rsidRPr="00483EBE">
              <w:rPr>
                <w:sz w:val="12"/>
                <w:szCs w:val="12"/>
              </w:rPr>
              <w:t>$21,134</w:t>
            </w:r>
          </w:p>
        </w:tc>
        <w:tc>
          <w:tcPr>
            <w:tcW w:w="0" w:type="auto"/>
            <w:tcBorders>
              <w:top w:val="nil"/>
              <w:left w:val="nil"/>
              <w:bottom w:val="single" w:sz="4" w:space="0" w:color="auto"/>
              <w:right w:val="single" w:sz="4" w:space="0" w:color="auto"/>
            </w:tcBorders>
            <w:shd w:val="clear" w:color="auto" w:fill="auto"/>
            <w:vAlign w:val="center"/>
            <w:hideMark/>
          </w:tcPr>
          <w:p w14:paraId="05882DE4" w14:textId="77777777" w:rsidR="00572995" w:rsidRPr="00483EBE" w:rsidRDefault="00572995" w:rsidP="00E8324D">
            <w:pPr>
              <w:pStyle w:val="Tablas"/>
              <w:rPr>
                <w:sz w:val="12"/>
                <w:szCs w:val="12"/>
              </w:rPr>
            </w:pPr>
            <w:r w:rsidRPr="00483EBE">
              <w:rPr>
                <w:sz w:val="12"/>
                <w:szCs w:val="12"/>
              </w:rPr>
              <w:t>$3,522</w:t>
            </w:r>
          </w:p>
        </w:tc>
        <w:tc>
          <w:tcPr>
            <w:tcW w:w="0" w:type="auto"/>
            <w:tcBorders>
              <w:top w:val="nil"/>
              <w:left w:val="nil"/>
              <w:bottom w:val="single" w:sz="4" w:space="0" w:color="auto"/>
              <w:right w:val="single" w:sz="4" w:space="0" w:color="auto"/>
            </w:tcBorders>
            <w:shd w:val="clear" w:color="auto" w:fill="auto"/>
            <w:vAlign w:val="center"/>
            <w:hideMark/>
          </w:tcPr>
          <w:p w14:paraId="545531E8" w14:textId="77777777" w:rsidR="00572995" w:rsidRPr="00483EBE" w:rsidRDefault="00572995" w:rsidP="00E8324D">
            <w:pPr>
              <w:pStyle w:val="Tablas"/>
              <w:rPr>
                <w:sz w:val="12"/>
                <w:szCs w:val="12"/>
              </w:rPr>
            </w:pPr>
            <w:r w:rsidRPr="00483EBE">
              <w:rPr>
                <w:sz w:val="12"/>
                <w:szCs w:val="12"/>
              </w:rPr>
              <w:t>$294</w:t>
            </w:r>
          </w:p>
        </w:tc>
        <w:tc>
          <w:tcPr>
            <w:tcW w:w="0" w:type="auto"/>
            <w:tcBorders>
              <w:top w:val="nil"/>
              <w:left w:val="nil"/>
              <w:bottom w:val="single" w:sz="4" w:space="0" w:color="auto"/>
              <w:right w:val="single" w:sz="4" w:space="0" w:color="auto"/>
            </w:tcBorders>
            <w:shd w:val="clear" w:color="auto" w:fill="auto"/>
            <w:vAlign w:val="center"/>
            <w:hideMark/>
          </w:tcPr>
          <w:p w14:paraId="6368865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BF5C6FD"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EDFB18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AA44C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1E9EF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C4C3B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96265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49BB0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7992389" w14:textId="77777777" w:rsidR="00572995" w:rsidRPr="00483EBE" w:rsidRDefault="00572995" w:rsidP="00E8324D">
            <w:pPr>
              <w:pStyle w:val="Tablas"/>
              <w:rPr>
                <w:sz w:val="12"/>
                <w:szCs w:val="12"/>
              </w:rPr>
            </w:pPr>
            <w:r w:rsidRPr="00483EBE">
              <w:rPr>
                <w:sz w:val="12"/>
                <w:szCs w:val="12"/>
              </w:rPr>
              <w:t> </w:t>
            </w:r>
          </w:p>
        </w:tc>
      </w:tr>
      <w:tr w:rsidR="00572995" w:rsidRPr="00483EBE" w14:paraId="313E2B5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95CDCC9"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1A8EBA01"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70826791" w14:textId="77777777" w:rsidR="00572995" w:rsidRPr="00483EBE" w:rsidRDefault="00572995" w:rsidP="00E8324D">
            <w:pPr>
              <w:pStyle w:val="Tablas"/>
              <w:rPr>
                <w:sz w:val="12"/>
                <w:szCs w:val="12"/>
              </w:rPr>
            </w:pPr>
            <w:r w:rsidRPr="00483EBE">
              <w:rPr>
                <w:sz w:val="12"/>
                <w:szCs w:val="12"/>
              </w:rPr>
              <w:t>$17,121</w:t>
            </w:r>
          </w:p>
        </w:tc>
        <w:tc>
          <w:tcPr>
            <w:tcW w:w="0" w:type="auto"/>
            <w:tcBorders>
              <w:top w:val="nil"/>
              <w:left w:val="nil"/>
              <w:bottom w:val="single" w:sz="4" w:space="0" w:color="auto"/>
              <w:right w:val="single" w:sz="4" w:space="0" w:color="auto"/>
            </w:tcBorders>
            <w:shd w:val="clear" w:color="auto" w:fill="auto"/>
            <w:vAlign w:val="center"/>
            <w:hideMark/>
          </w:tcPr>
          <w:p w14:paraId="55CC1026" w14:textId="77777777" w:rsidR="00572995" w:rsidRPr="00483EBE" w:rsidRDefault="00572995" w:rsidP="00E8324D">
            <w:pPr>
              <w:pStyle w:val="Tablas"/>
              <w:rPr>
                <w:sz w:val="12"/>
                <w:szCs w:val="12"/>
              </w:rPr>
            </w:pPr>
            <w:r w:rsidRPr="00483EBE">
              <w:rPr>
                <w:sz w:val="12"/>
                <w:szCs w:val="12"/>
              </w:rPr>
              <w:t>$2,853</w:t>
            </w:r>
          </w:p>
        </w:tc>
        <w:tc>
          <w:tcPr>
            <w:tcW w:w="0" w:type="auto"/>
            <w:tcBorders>
              <w:top w:val="nil"/>
              <w:left w:val="nil"/>
              <w:bottom w:val="single" w:sz="4" w:space="0" w:color="auto"/>
              <w:right w:val="single" w:sz="4" w:space="0" w:color="auto"/>
            </w:tcBorders>
            <w:shd w:val="clear" w:color="auto" w:fill="auto"/>
            <w:vAlign w:val="center"/>
            <w:hideMark/>
          </w:tcPr>
          <w:p w14:paraId="10945FFE" w14:textId="77777777" w:rsidR="00572995" w:rsidRPr="00483EBE" w:rsidRDefault="00572995" w:rsidP="00E8324D">
            <w:pPr>
              <w:pStyle w:val="Tablas"/>
              <w:rPr>
                <w:sz w:val="12"/>
                <w:szCs w:val="12"/>
              </w:rPr>
            </w:pPr>
            <w:r w:rsidRPr="00483EBE">
              <w:rPr>
                <w:sz w:val="12"/>
                <w:szCs w:val="12"/>
              </w:rPr>
              <w:t>$238</w:t>
            </w:r>
          </w:p>
        </w:tc>
        <w:tc>
          <w:tcPr>
            <w:tcW w:w="0" w:type="auto"/>
            <w:tcBorders>
              <w:top w:val="nil"/>
              <w:left w:val="nil"/>
              <w:bottom w:val="single" w:sz="4" w:space="0" w:color="auto"/>
              <w:right w:val="single" w:sz="4" w:space="0" w:color="auto"/>
            </w:tcBorders>
            <w:shd w:val="clear" w:color="auto" w:fill="auto"/>
            <w:vAlign w:val="center"/>
            <w:hideMark/>
          </w:tcPr>
          <w:p w14:paraId="2733531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708501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F5199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E34EF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58E11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BF681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096AE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565E3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668E5A0" w14:textId="77777777" w:rsidR="00572995" w:rsidRPr="00483EBE" w:rsidRDefault="00572995" w:rsidP="00E8324D">
            <w:pPr>
              <w:pStyle w:val="Tablas"/>
              <w:rPr>
                <w:sz w:val="12"/>
                <w:szCs w:val="12"/>
              </w:rPr>
            </w:pPr>
            <w:r w:rsidRPr="00483EBE">
              <w:rPr>
                <w:sz w:val="12"/>
                <w:szCs w:val="12"/>
              </w:rPr>
              <w:t> </w:t>
            </w:r>
          </w:p>
        </w:tc>
      </w:tr>
      <w:tr w:rsidR="00572995" w:rsidRPr="00483EBE" w14:paraId="61AE149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9110743"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5D5075B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72C01E21" w14:textId="77777777" w:rsidR="00572995" w:rsidRPr="00483EBE" w:rsidRDefault="00572995" w:rsidP="00E8324D">
            <w:pPr>
              <w:pStyle w:val="Tablas"/>
              <w:rPr>
                <w:sz w:val="12"/>
                <w:szCs w:val="12"/>
              </w:rPr>
            </w:pPr>
            <w:r w:rsidRPr="00483EBE">
              <w:rPr>
                <w:sz w:val="12"/>
                <w:szCs w:val="12"/>
              </w:rPr>
              <w:t>$23,213</w:t>
            </w:r>
          </w:p>
        </w:tc>
        <w:tc>
          <w:tcPr>
            <w:tcW w:w="0" w:type="auto"/>
            <w:tcBorders>
              <w:top w:val="nil"/>
              <w:left w:val="nil"/>
              <w:bottom w:val="single" w:sz="4" w:space="0" w:color="auto"/>
              <w:right w:val="single" w:sz="4" w:space="0" w:color="auto"/>
            </w:tcBorders>
            <w:shd w:val="clear" w:color="auto" w:fill="auto"/>
            <w:vAlign w:val="center"/>
            <w:hideMark/>
          </w:tcPr>
          <w:p w14:paraId="4F50CA7A" w14:textId="77777777" w:rsidR="00572995" w:rsidRPr="00483EBE" w:rsidRDefault="00572995" w:rsidP="00E8324D">
            <w:pPr>
              <w:pStyle w:val="Tablas"/>
              <w:rPr>
                <w:sz w:val="12"/>
                <w:szCs w:val="12"/>
              </w:rPr>
            </w:pPr>
            <w:r w:rsidRPr="00483EBE">
              <w:rPr>
                <w:sz w:val="12"/>
                <w:szCs w:val="12"/>
              </w:rPr>
              <w:t>$3,316</w:t>
            </w:r>
          </w:p>
        </w:tc>
        <w:tc>
          <w:tcPr>
            <w:tcW w:w="0" w:type="auto"/>
            <w:tcBorders>
              <w:top w:val="nil"/>
              <w:left w:val="nil"/>
              <w:bottom w:val="single" w:sz="4" w:space="0" w:color="auto"/>
              <w:right w:val="single" w:sz="4" w:space="0" w:color="auto"/>
            </w:tcBorders>
            <w:shd w:val="clear" w:color="auto" w:fill="auto"/>
            <w:vAlign w:val="center"/>
            <w:hideMark/>
          </w:tcPr>
          <w:p w14:paraId="69749923" w14:textId="77777777" w:rsidR="00572995" w:rsidRPr="00483EBE" w:rsidRDefault="00572995" w:rsidP="00E8324D">
            <w:pPr>
              <w:pStyle w:val="Tablas"/>
              <w:rPr>
                <w:sz w:val="12"/>
                <w:szCs w:val="12"/>
              </w:rPr>
            </w:pPr>
            <w:r w:rsidRPr="00483EBE">
              <w:rPr>
                <w:sz w:val="12"/>
                <w:szCs w:val="12"/>
              </w:rPr>
              <w:t>$276</w:t>
            </w:r>
          </w:p>
        </w:tc>
        <w:tc>
          <w:tcPr>
            <w:tcW w:w="0" w:type="auto"/>
            <w:tcBorders>
              <w:top w:val="nil"/>
              <w:left w:val="nil"/>
              <w:bottom w:val="single" w:sz="4" w:space="0" w:color="auto"/>
              <w:right w:val="single" w:sz="4" w:space="0" w:color="auto"/>
            </w:tcBorders>
            <w:shd w:val="clear" w:color="auto" w:fill="auto"/>
            <w:vAlign w:val="center"/>
            <w:hideMark/>
          </w:tcPr>
          <w:p w14:paraId="3923C65B"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C7D677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1F6912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2C427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FF98C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946B8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ECCE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B3B17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EAC43B3" w14:textId="77777777" w:rsidR="00572995" w:rsidRPr="00483EBE" w:rsidRDefault="00572995" w:rsidP="00E8324D">
            <w:pPr>
              <w:pStyle w:val="Tablas"/>
              <w:rPr>
                <w:sz w:val="12"/>
                <w:szCs w:val="12"/>
              </w:rPr>
            </w:pPr>
            <w:r w:rsidRPr="00483EBE">
              <w:rPr>
                <w:sz w:val="12"/>
                <w:szCs w:val="12"/>
              </w:rPr>
              <w:t> </w:t>
            </w:r>
          </w:p>
        </w:tc>
      </w:tr>
      <w:tr w:rsidR="00572995" w:rsidRPr="00483EBE" w14:paraId="2776778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5830A1"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484E798A"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05997017" w14:textId="77777777" w:rsidR="00572995" w:rsidRPr="00483EBE" w:rsidRDefault="00572995" w:rsidP="00E8324D">
            <w:pPr>
              <w:pStyle w:val="Tablas"/>
              <w:rPr>
                <w:sz w:val="12"/>
                <w:szCs w:val="12"/>
              </w:rPr>
            </w:pPr>
            <w:r w:rsidRPr="00483EBE">
              <w:rPr>
                <w:sz w:val="12"/>
                <w:szCs w:val="12"/>
              </w:rPr>
              <w:t>$20,128</w:t>
            </w:r>
          </w:p>
        </w:tc>
        <w:tc>
          <w:tcPr>
            <w:tcW w:w="0" w:type="auto"/>
            <w:tcBorders>
              <w:top w:val="nil"/>
              <w:left w:val="nil"/>
              <w:bottom w:val="single" w:sz="4" w:space="0" w:color="auto"/>
              <w:right w:val="single" w:sz="4" w:space="0" w:color="auto"/>
            </w:tcBorders>
            <w:shd w:val="clear" w:color="auto" w:fill="auto"/>
            <w:vAlign w:val="center"/>
            <w:hideMark/>
          </w:tcPr>
          <w:p w14:paraId="6A6DC45F" w14:textId="77777777" w:rsidR="00572995" w:rsidRPr="00483EBE" w:rsidRDefault="00572995" w:rsidP="00E8324D">
            <w:pPr>
              <w:pStyle w:val="Tablas"/>
              <w:rPr>
                <w:sz w:val="12"/>
                <w:szCs w:val="12"/>
              </w:rPr>
            </w:pPr>
            <w:r w:rsidRPr="00483EBE">
              <w:rPr>
                <w:sz w:val="12"/>
                <w:szCs w:val="12"/>
              </w:rPr>
              <w:t>$2,875</w:t>
            </w:r>
          </w:p>
        </w:tc>
        <w:tc>
          <w:tcPr>
            <w:tcW w:w="0" w:type="auto"/>
            <w:tcBorders>
              <w:top w:val="nil"/>
              <w:left w:val="nil"/>
              <w:bottom w:val="single" w:sz="4" w:space="0" w:color="auto"/>
              <w:right w:val="single" w:sz="4" w:space="0" w:color="auto"/>
            </w:tcBorders>
            <w:shd w:val="clear" w:color="auto" w:fill="auto"/>
            <w:vAlign w:val="center"/>
            <w:hideMark/>
          </w:tcPr>
          <w:p w14:paraId="10135C30" w14:textId="77777777" w:rsidR="00572995" w:rsidRPr="00483EBE" w:rsidRDefault="00572995" w:rsidP="00E8324D">
            <w:pPr>
              <w:pStyle w:val="Tablas"/>
              <w:rPr>
                <w:sz w:val="12"/>
                <w:szCs w:val="12"/>
              </w:rPr>
            </w:pPr>
            <w:r w:rsidRPr="00483EBE">
              <w:rPr>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51C45196"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37AD18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9C48F9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C6722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15D5C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B7E3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A270E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D1C9A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231B194" w14:textId="77777777" w:rsidR="00572995" w:rsidRPr="00483EBE" w:rsidRDefault="00572995" w:rsidP="00E8324D">
            <w:pPr>
              <w:pStyle w:val="Tablas"/>
              <w:rPr>
                <w:sz w:val="12"/>
                <w:szCs w:val="12"/>
              </w:rPr>
            </w:pPr>
            <w:r w:rsidRPr="00483EBE">
              <w:rPr>
                <w:sz w:val="12"/>
                <w:szCs w:val="12"/>
              </w:rPr>
              <w:t> </w:t>
            </w:r>
          </w:p>
        </w:tc>
      </w:tr>
      <w:tr w:rsidR="00572995" w:rsidRPr="00483EBE" w14:paraId="5901AAF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6D413B8"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11052AA0"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E40F91F" w14:textId="77777777" w:rsidR="00572995" w:rsidRPr="00483EBE" w:rsidRDefault="00572995" w:rsidP="00E8324D">
            <w:pPr>
              <w:pStyle w:val="Tablas"/>
              <w:rPr>
                <w:sz w:val="12"/>
                <w:szCs w:val="12"/>
              </w:rPr>
            </w:pPr>
            <w:r w:rsidRPr="00483EBE">
              <w:rPr>
                <w:sz w:val="12"/>
                <w:szCs w:val="12"/>
              </w:rPr>
              <w:t>$16,527</w:t>
            </w:r>
          </w:p>
        </w:tc>
        <w:tc>
          <w:tcPr>
            <w:tcW w:w="0" w:type="auto"/>
            <w:tcBorders>
              <w:top w:val="nil"/>
              <w:left w:val="nil"/>
              <w:bottom w:val="single" w:sz="4" w:space="0" w:color="auto"/>
              <w:right w:val="single" w:sz="4" w:space="0" w:color="auto"/>
            </w:tcBorders>
            <w:shd w:val="clear" w:color="auto" w:fill="auto"/>
            <w:vAlign w:val="center"/>
            <w:hideMark/>
          </w:tcPr>
          <w:p w14:paraId="6DA1C831" w14:textId="77777777" w:rsidR="00572995" w:rsidRPr="00483EBE" w:rsidRDefault="00572995" w:rsidP="00E8324D">
            <w:pPr>
              <w:pStyle w:val="Tablas"/>
              <w:rPr>
                <w:sz w:val="12"/>
                <w:szCs w:val="12"/>
              </w:rPr>
            </w:pPr>
            <w:r w:rsidRPr="00483EBE">
              <w:rPr>
                <w:sz w:val="12"/>
                <w:szCs w:val="12"/>
              </w:rPr>
              <w:t>$3,305</w:t>
            </w:r>
          </w:p>
        </w:tc>
        <w:tc>
          <w:tcPr>
            <w:tcW w:w="0" w:type="auto"/>
            <w:tcBorders>
              <w:top w:val="nil"/>
              <w:left w:val="nil"/>
              <w:bottom w:val="single" w:sz="4" w:space="0" w:color="auto"/>
              <w:right w:val="single" w:sz="4" w:space="0" w:color="auto"/>
            </w:tcBorders>
            <w:shd w:val="clear" w:color="auto" w:fill="auto"/>
            <w:vAlign w:val="center"/>
            <w:hideMark/>
          </w:tcPr>
          <w:p w14:paraId="7289E6E6" w14:textId="77777777" w:rsidR="00572995" w:rsidRPr="00483EBE" w:rsidRDefault="00572995" w:rsidP="00E8324D">
            <w:pPr>
              <w:pStyle w:val="Tablas"/>
              <w:rPr>
                <w:sz w:val="12"/>
                <w:szCs w:val="12"/>
              </w:rPr>
            </w:pPr>
            <w:r w:rsidRPr="00483EBE">
              <w:rPr>
                <w:sz w:val="12"/>
                <w:szCs w:val="12"/>
              </w:rPr>
              <w:t>$275</w:t>
            </w:r>
          </w:p>
        </w:tc>
        <w:tc>
          <w:tcPr>
            <w:tcW w:w="0" w:type="auto"/>
            <w:tcBorders>
              <w:top w:val="nil"/>
              <w:left w:val="nil"/>
              <w:bottom w:val="single" w:sz="4" w:space="0" w:color="auto"/>
              <w:right w:val="single" w:sz="4" w:space="0" w:color="auto"/>
            </w:tcBorders>
            <w:shd w:val="clear" w:color="auto" w:fill="auto"/>
            <w:vAlign w:val="center"/>
            <w:hideMark/>
          </w:tcPr>
          <w:p w14:paraId="2F6C035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5DC9B95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D8EF9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6B4BC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47747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4C3BF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A5762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B2A6F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3BB06D4" w14:textId="77777777" w:rsidR="00572995" w:rsidRPr="00483EBE" w:rsidRDefault="00572995" w:rsidP="00E8324D">
            <w:pPr>
              <w:pStyle w:val="Tablas"/>
              <w:rPr>
                <w:sz w:val="12"/>
                <w:szCs w:val="12"/>
              </w:rPr>
            </w:pPr>
            <w:r w:rsidRPr="00483EBE">
              <w:rPr>
                <w:sz w:val="12"/>
                <w:szCs w:val="12"/>
              </w:rPr>
              <w:t> </w:t>
            </w:r>
          </w:p>
        </w:tc>
      </w:tr>
      <w:tr w:rsidR="00572995" w:rsidRPr="00483EBE" w14:paraId="31242E5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0979B0"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768E1D3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504B83A" w14:textId="77777777" w:rsidR="00572995" w:rsidRPr="00483EBE" w:rsidRDefault="00572995" w:rsidP="00E8324D">
            <w:pPr>
              <w:pStyle w:val="Tablas"/>
              <w:rPr>
                <w:sz w:val="12"/>
                <w:szCs w:val="12"/>
              </w:rPr>
            </w:pPr>
            <w:r w:rsidRPr="00483EBE">
              <w:rPr>
                <w:sz w:val="12"/>
                <w:szCs w:val="12"/>
              </w:rPr>
              <w:t>$9,734</w:t>
            </w:r>
          </w:p>
        </w:tc>
        <w:tc>
          <w:tcPr>
            <w:tcW w:w="0" w:type="auto"/>
            <w:tcBorders>
              <w:top w:val="nil"/>
              <w:left w:val="nil"/>
              <w:bottom w:val="single" w:sz="4" w:space="0" w:color="auto"/>
              <w:right w:val="single" w:sz="4" w:space="0" w:color="auto"/>
            </w:tcBorders>
            <w:shd w:val="clear" w:color="auto" w:fill="auto"/>
            <w:vAlign w:val="center"/>
            <w:hideMark/>
          </w:tcPr>
          <w:p w14:paraId="611C67B4" w14:textId="77777777" w:rsidR="00572995" w:rsidRPr="00483EBE" w:rsidRDefault="00572995" w:rsidP="00E8324D">
            <w:pPr>
              <w:pStyle w:val="Tablas"/>
              <w:rPr>
                <w:sz w:val="12"/>
                <w:szCs w:val="12"/>
              </w:rPr>
            </w:pPr>
            <w:r w:rsidRPr="00483EBE">
              <w:rPr>
                <w:sz w:val="12"/>
                <w:szCs w:val="12"/>
              </w:rPr>
              <w:t>$3,245</w:t>
            </w:r>
          </w:p>
        </w:tc>
        <w:tc>
          <w:tcPr>
            <w:tcW w:w="0" w:type="auto"/>
            <w:tcBorders>
              <w:top w:val="nil"/>
              <w:left w:val="nil"/>
              <w:bottom w:val="single" w:sz="4" w:space="0" w:color="auto"/>
              <w:right w:val="single" w:sz="4" w:space="0" w:color="auto"/>
            </w:tcBorders>
            <w:shd w:val="clear" w:color="auto" w:fill="auto"/>
            <w:vAlign w:val="center"/>
            <w:hideMark/>
          </w:tcPr>
          <w:p w14:paraId="19C34E0B" w14:textId="77777777" w:rsidR="00572995" w:rsidRPr="00483EBE" w:rsidRDefault="00572995" w:rsidP="00E8324D">
            <w:pPr>
              <w:pStyle w:val="Tablas"/>
              <w:rPr>
                <w:sz w:val="12"/>
                <w:szCs w:val="12"/>
              </w:rPr>
            </w:pPr>
            <w:r w:rsidRPr="00483EBE">
              <w:rPr>
                <w:sz w:val="12"/>
                <w:szCs w:val="12"/>
              </w:rPr>
              <w:t>$270</w:t>
            </w:r>
          </w:p>
        </w:tc>
        <w:tc>
          <w:tcPr>
            <w:tcW w:w="0" w:type="auto"/>
            <w:tcBorders>
              <w:top w:val="nil"/>
              <w:left w:val="nil"/>
              <w:bottom w:val="single" w:sz="4" w:space="0" w:color="auto"/>
              <w:right w:val="single" w:sz="4" w:space="0" w:color="auto"/>
            </w:tcBorders>
            <w:shd w:val="clear" w:color="auto" w:fill="auto"/>
            <w:vAlign w:val="center"/>
            <w:hideMark/>
          </w:tcPr>
          <w:p w14:paraId="7495B3D1"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E203F2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22A58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355CB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330AE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356C9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94040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6B16D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95947CC" w14:textId="77777777" w:rsidR="00572995" w:rsidRPr="00483EBE" w:rsidRDefault="00572995" w:rsidP="00E8324D">
            <w:pPr>
              <w:pStyle w:val="Tablas"/>
              <w:rPr>
                <w:sz w:val="12"/>
                <w:szCs w:val="12"/>
              </w:rPr>
            </w:pPr>
            <w:r w:rsidRPr="00483EBE">
              <w:rPr>
                <w:sz w:val="12"/>
                <w:szCs w:val="12"/>
              </w:rPr>
              <w:t> </w:t>
            </w:r>
          </w:p>
        </w:tc>
      </w:tr>
      <w:tr w:rsidR="00572995" w:rsidRPr="00483EBE" w14:paraId="4370966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1248D2"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5C80873D"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49D11F07" w14:textId="77777777" w:rsidR="00572995" w:rsidRPr="00483EBE" w:rsidRDefault="00572995" w:rsidP="00E8324D">
            <w:pPr>
              <w:pStyle w:val="Tablas"/>
              <w:rPr>
                <w:sz w:val="12"/>
                <w:szCs w:val="12"/>
              </w:rPr>
            </w:pPr>
            <w:r w:rsidRPr="00483EBE">
              <w:rPr>
                <w:sz w:val="12"/>
                <w:szCs w:val="12"/>
              </w:rPr>
              <w:t>$29,037</w:t>
            </w:r>
          </w:p>
        </w:tc>
        <w:tc>
          <w:tcPr>
            <w:tcW w:w="0" w:type="auto"/>
            <w:tcBorders>
              <w:top w:val="nil"/>
              <w:left w:val="nil"/>
              <w:bottom w:val="single" w:sz="4" w:space="0" w:color="auto"/>
              <w:right w:val="single" w:sz="4" w:space="0" w:color="auto"/>
            </w:tcBorders>
            <w:shd w:val="clear" w:color="auto" w:fill="auto"/>
            <w:vAlign w:val="center"/>
            <w:hideMark/>
          </w:tcPr>
          <w:p w14:paraId="76A030A6" w14:textId="77777777" w:rsidR="00572995" w:rsidRPr="00483EBE" w:rsidRDefault="00572995" w:rsidP="00E8324D">
            <w:pPr>
              <w:pStyle w:val="Tablas"/>
              <w:rPr>
                <w:sz w:val="12"/>
                <w:szCs w:val="12"/>
              </w:rPr>
            </w:pPr>
            <w:r w:rsidRPr="00483EBE">
              <w:rPr>
                <w:sz w:val="12"/>
                <w:szCs w:val="12"/>
              </w:rPr>
              <w:t>$3,226</w:t>
            </w:r>
          </w:p>
        </w:tc>
        <w:tc>
          <w:tcPr>
            <w:tcW w:w="0" w:type="auto"/>
            <w:tcBorders>
              <w:top w:val="nil"/>
              <w:left w:val="nil"/>
              <w:bottom w:val="single" w:sz="4" w:space="0" w:color="auto"/>
              <w:right w:val="single" w:sz="4" w:space="0" w:color="auto"/>
            </w:tcBorders>
            <w:shd w:val="clear" w:color="auto" w:fill="auto"/>
            <w:vAlign w:val="center"/>
            <w:hideMark/>
          </w:tcPr>
          <w:p w14:paraId="7A7739BA" w14:textId="77777777" w:rsidR="00572995" w:rsidRPr="00483EBE" w:rsidRDefault="00572995" w:rsidP="00E8324D">
            <w:pPr>
              <w:pStyle w:val="Tablas"/>
              <w:rPr>
                <w:sz w:val="12"/>
                <w:szCs w:val="12"/>
              </w:rPr>
            </w:pPr>
            <w:r w:rsidRPr="00483EBE">
              <w:rPr>
                <w:sz w:val="12"/>
                <w:szCs w:val="12"/>
              </w:rPr>
              <w:t>$269</w:t>
            </w:r>
          </w:p>
        </w:tc>
        <w:tc>
          <w:tcPr>
            <w:tcW w:w="0" w:type="auto"/>
            <w:tcBorders>
              <w:top w:val="nil"/>
              <w:left w:val="nil"/>
              <w:bottom w:val="single" w:sz="4" w:space="0" w:color="auto"/>
              <w:right w:val="single" w:sz="4" w:space="0" w:color="auto"/>
            </w:tcBorders>
            <w:shd w:val="clear" w:color="auto" w:fill="auto"/>
            <w:vAlign w:val="center"/>
            <w:hideMark/>
          </w:tcPr>
          <w:p w14:paraId="4AEE844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B55DE2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376A4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F450C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CAA95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D0704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6F90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07A0B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9AD966C" w14:textId="77777777" w:rsidR="00572995" w:rsidRPr="00483EBE" w:rsidRDefault="00572995" w:rsidP="00E8324D">
            <w:pPr>
              <w:pStyle w:val="Tablas"/>
              <w:rPr>
                <w:sz w:val="12"/>
                <w:szCs w:val="12"/>
              </w:rPr>
            </w:pPr>
            <w:r w:rsidRPr="00483EBE">
              <w:rPr>
                <w:sz w:val="12"/>
                <w:szCs w:val="12"/>
              </w:rPr>
              <w:t> </w:t>
            </w:r>
          </w:p>
        </w:tc>
      </w:tr>
      <w:tr w:rsidR="00572995" w:rsidRPr="00483EBE" w14:paraId="5C160C0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47FB10"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51776D6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DABF089" w14:textId="77777777" w:rsidR="00572995" w:rsidRPr="00483EBE" w:rsidRDefault="00572995" w:rsidP="00E8324D">
            <w:pPr>
              <w:pStyle w:val="Tablas"/>
              <w:rPr>
                <w:sz w:val="12"/>
                <w:szCs w:val="12"/>
              </w:rPr>
            </w:pPr>
            <w:r w:rsidRPr="00483EBE">
              <w:rPr>
                <w:sz w:val="12"/>
                <w:szCs w:val="12"/>
              </w:rPr>
              <w:t>$6,275</w:t>
            </w:r>
          </w:p>
        </w:tc>
        <w:tc>
          <w:tcPr>
            <w:tcW w:w="0" w:type="auto"/>
            <w:tcBorders>
              <w:top w:val="nil"/>
              <w:left w:val="nil"/>
              <w:bottom w:val="single" w:sz="4" w:space="0" w:color="auto"/>
              <w:right w:val="single" w:sz="4" w:space="0" w:color="auto"/>
            </w:tcBorders>
            <w:shd w:val="clear" w:color="auto" w:fill="auto"/>
            <w:vAlign w:val="center"/>
            <w:hideMark/>
          </w:tcPr>
          <w:p w14:paraId="7837B0DA" w14:textId="77777777" w:rsidR="00572995" w:rsidRPr="00483EBE" w:rsidRDefault="00572995" w:rsidP="00E8324D">
            <w:pPr>
              <w:pStyle w:val="Tablas"/>
              <w:rPr>
                <w:sz w:val="12"/>
                <w:szCs w:val="12"/>
              </w:rPr>
            </w:pPr>
            <w:r w:rsidRPr="00483EBE">
              <w:rPr>
                <w:sz w:val="12"/>
                <w:szCs w:val="12"/>
              </w:rPr>
              <w:t>$3,138</w:t>
            </w:r>
          </w:p>
        </w:tc>
        <w:tc>
          <w:tcPr>
            <w:tcW w:w="0" w:type="auto"/>
            <w:tcBorders>
              <w:top w:val="nil"/>
              <w:left w:val="nil"/>
              <w:bottom w:val="single" w:sz="4" w:space="0" w:color="auto"/>
              <w:right w:val="single" w:sz="4" w:space="0" w:color="auto"/>
            </w:tcBorders>
            <w:shd w:val="clear" w:color="auto" w:fill="auto"/>
            <w:vAlign w:val="center"/>
            <w:hideMark/>
          </w:tcPr>
          <w:p w14:paraId="0B88896B" w14:textId="77777777" w:rsidR="00572995" w:rsidRPr="00483EBE" w:rsidRDefault="00572995" w:rsidP="00E8324D">
            <w:pPr>
              <w:pStyle w:val="Tablas"/>
              <w:rPr>
                <w:sz w:val="12"/>
                <w:szCs w:val="12"/>
              </w:rPr>
            </w:pPr>
            <w:r w:rsidRPr="00483EBE">
              <w:rPr>
                <w:sz w:val="12"/>
                <w:szCs w:val="12"/>
              </w:rPr>
              <w:t>$261</w:t>
            </w:r>
          </w:p>
        </w:tc>
        <w:tc>
          <w:tcPr>
            <w:tcW w:w="0" w:type="auto"/>
            <w:tcBorders>
              <w:top w:val="nil"/>
              <w:left w:val="nil"/>
              <w:bottom w:val="single" w:sz="4" w:space="0" w:color="auto"/>
              <w:right w:val="single" w:sz="4" w:space="0" w:color="auto"/>
            </w:tcBorders>
            <w:shd w:val="clear" w:color="auto" w:fill="auto"/>
            <w:vAlign w:val="center"/>
            <w:hideMark/>
          </w:tcPr>
          <w:p w14:paraId="100C88D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4BEA781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D0D2DD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A39E9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08D84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5D331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7EE94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C736E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9924962" w14:textId="77777777" w:rsidR="00572995" w:rsidRPr="00483EBE" w:rsidRDefault="00572995" w:rsidP="00E8324D">
            <w:pPr>
              <w:pStyle w:val="Tablas"/>
              <w:rPr>
                <w:sz w:val="12"/>
                <w:szCs w:val="12"/>
              </w:rPr>
            </w:pPr>
            <w:r w:rsidRPr="00483EBE">
              <w:rPr>
                <w:sz w:val="12"/>
                <w:szCs w:val="12"/>
              </w:rPr>
              <w:t> </w:t>
            </w:r>
          </w:p>
        </w:tc>
      </w:tr>
      <w:tr w:rsidR="00572995" w:rsidRPr="00483EBE" w14:paraId="278588C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D8DADC"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1E511419"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77CC552" w14:textId="77777777" w:rsidR="00572995" w:rsidRPr="00483EBE" w:rsidRDefault="00572995" w:rsidP="00E8324D">
            <w:pPr>
              <w:pStyle w:val="Tablas"/>
              <w:rPr>
                <w:sz w:val="12"/>
                <w:szCs w:val="12"/>
              </w:rPr>
            </w:pPr>
            <w:r w:rsidRPr="00483EBE">
              <w:rPr>
                <w:sz w:val="12"/>
                <w:szCs w:val="12"/>
              </w:rPr>
              <w:t>$6,988</w:t>
            </w:r>
          </w:p>
        </w:tc>
        <w:tc>
          <w:tcPr>
            <w:tcW w:w="0" w:type="auto"/>
            <w:tcBorders>
              <w:top w:val="nil"/>
              <w:left w:val="nil"/>
              <w:bottom w:val="single" w:sz="4" w:space="0" w:color="auto"/>
              <w:right w:val="single" w:sz="4" w:space="0" w:color="auto"/>
            </w:tcBorders>
            <w:shd w:val="clear" w:color="auto" w:fill="auto"/>
            <w:vAlign w:val="center"/>
            <w:hideMark/>
          </w:tcPr>
          <w:p w14:paraId="78AAA424" w14:textId="77777777" w:rsidR="00572995" w:rsidRPr="00483EBE" w:rsidRDefault="00572995" w:rsidP="00E8324D">
            <w:pPr>
              <w:pStyle w:val="Tablas"/>
              <w:rPr>
                <w:sz w:val="12"/>
                <w:szCs w:val="12"/>
              </w:rPr>
            </w:pPr>
            <w:r w:rsidRPr="00483EBE">
              <w:rPr>
                <w:sz w:val="12"/>
                <w:szCs w:val="12"/>
              </w:rPr>
              <w:t>$3,494</w:t>
            </w:r>
          </w:p>
        </w:tc>
        <w:tc>
          <w:tcPr>
            <w:tcW w:w="0" w:type="auto"/>
            <w:tcBorders>
              <w:top w:val="nil"/>
              <w:left w:val="nil"/>
              <w:bottom w:val="single" w:sz="4" w:space="0" w:color="auto"/>
              <w:right w:val="single" w:sz="4" w:space="0" w:color="auto"/>
            </w:tcBorders>
            <w:shd w:val="clear" w:color="auto" w:fill="auto"/>
            <w:vAlign w:val="center"/>
            <w:hideMark/>
          </w:tcPr>
          <w:p w14:paraId="4567F29D" w14:textId="77777777" w:rsidR="00572995" w:rsidRPr="00483EBE" w:rsidRDefault="00572995" w:rsidP="00E8324D">
            <w:pPr>
              <w:pStyle w:val="Tablas"/>
              <w:rPr>
                <w:sz w:val="12"/>
                <w:szCs w:val="12"/>
              </w:rPr>
            </w:pPr>
            <w:r w:rsidRPr="00483EBE">
              <w:rPr>
                <w:sz w:val="12"/>
                <w:szCs w:val="12"/>
              </w:rPr>
              <w:t>$291</w:t>
            </w:r>
          </w:p>
        </w:tc>
        <w:tc>
          <w:tcPr>
            <w:tcW w:w="0" w:type="auto"/>
            <w:tcBorders>
              <w:top w:val="nil"/>
              <w:left w:val="nil"/>
              <w:bottom w:val="single" w:sz="4" w:space="0" w:color="auto"/>
              <w:right w:val="single" w:sz="4" w:space="0" w:color="auto"/>
            </w:tcBorders>
            <w:shd w:val="clear" w:color="auto" w:fill="auto"/>
            <w:vAlign w:val="center"/>
            <w:hideMark/>
          </w:tcPr>
          <w:p w14:paraId="3FD33C7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25C45DE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524BB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308B0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5308B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82985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1B3A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9EC08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B4D821E" w14:textId="77777777" w:rsidR="00572995" w:rsidRPr="00483EBE" w:rsidRDefault="00572995" w:rsidP="00E8324D">
            <w:pPr>
              <w:pStyle w:val="Tablas"/>
              <w:rPr>
                <w:sz w:val="12"/>
                <w:szCs w:val="12"/>
              </w:rPr>
            </w:pPr>
            <w:r w:rsidRPr="00483EBE">
              <w:rPr>
                <w:sz w:val="12"/>
                <w:szCs w:val="12"/>
              </w:rPr>
              <w:t> </w:t>
            </w:r>
          </w:p>
        </w:tc>
      </w:tr>
      <w:tr w:rsidR="00572995" w:rsidRPr="00483EBE" w14:paraId="1249A77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8DCDF88"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5C7848CF"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D8E1654" w14:textId="77777777" w:rsidR="00572995" w:rsidRPr="00483EBE" w:rsidRDefault="00572995" w:rsidP="00E8324D">
            <w:pPr>
              <w:pStyle w:val="Tablas"/>
              <w:rPr>
                <w:sz w:val="12"/>
                <w:szCs w:val="12"/>
              </w:rPr>
            </w:pPr>
            <w:r w:rsidRPr="00483EBE">
              <w:rPr>
                <w:sz w:val="12"/>
                <w:szCs w:val="12"/>
              </w:rPr>
              <w:t>$15,192</w:t>
            </w:r>
          </w:p>
        </w:tc>
        <w:tc>
          <w:tcPr>
            <w:tcW w:w="0" w:type="auto"/>
            <w:tcBorders>
              <w:top w:val="nil"/>
              <w:left w:val="nil"/>
              <w:bottom w:val="single" w:sz="4" w:space="0" w:color="auto"/>
              <w:right w:val="single" w:sz="4" w:space="0" w:color="auto"/>
            </w:tcBorders>
            <w:shd w:val="clear" w:color="auto" w:fill="auto"/>
            <w:vAlign w:val="center"/>
            <w:hideMark/>
          </w:tcPr>
          <w:p w14:paraId="1EFB41ED" w14:textId="77777777" w:rsidR="00572995" w:rsidRPr="00483EBE" w:rsidRDefault="00572995" w:rsidP="00E8324D">
            <w:pPr>
              <w:pStyle w:val="Tablas"/>
              <w:rPr>
                <w:sz w:val="12"/>
                <w:szCs w:val="12"/>
              </w:rPr>
            </w:pPr>
            <w:r w:rsidRPr="00483EBE">
              <w:rPr>
                <w:sz w:val="12"/>
                <w:szCs w:val="12"/>
              </w:rPr>
              <w:t>$3,038</w:t>
            </w:r>
          </w:p>
        </w:tc>
        <w:tc>
          <w:tcPr>
            <w:tcW w:w="0" w:type="auto"/>
            <w:tcBorders>
              <w:top w:val="nil"/>
              <w:left w:val="nil"/>
              <w:bottom w:val="single" w:sz="4" w:space="0" w:color="auto"/>
              <w:right w:val="single" w:sz="4" w:space="0" w:color="auto"/>
            </w:tcBorders>
            <w:shd w:val="clear" w:color="auto" w:fill="auto"/>
            <w:vAlign w:val="center"/>
            <w:hideMark/>
          </w:tcPr>
          <w:p w14:paraId="281CD76C" w14:textId="77777777" w:rsidR="00572995" w:rsidRPr="00483EBE" w:rsidRDefault="00572995" w:rsidP="00E8324D">
            <w:pPr>
              <w:pStyle w:val="Tablas"/>
              <w:rPr>
                <w:sz w:val="12"/>
                <w:szCs w:val="12"/>
              </w:rPr>
            </w:pPr>
            <w:r w:rsidRPr="00483EBE">
              <w:rPr>
                <w:sz w:val="12"/>
                <w:szCs w:val="12"/>
              </w:rPr>
              <w:t>$253</w:t>
            </w:r>
          </w:p>
        </w:tc>
        <w:tc>
          <w:tcPr>
            <w:tcW w:w="0" w:type="auto"/>
            <w:tcBorders>
              <w:top w:val="nil"/>
              <w:left w:val="nil"/>
              <w:bottom w:val="single" w:sz="4" w:space="0" w:color="auto"/>
              <w:right w:val="single" w:sz="4" w:space="0" w:color="auto"/>
            </w:tcBorders>
            <w:shd w:val="clear" w:color="auto" w:fill="auto"/>
            <w:vAlign w:val="center"/>
            <w:hideMark/>
          </w:tcPr>
          <w:p w14:paraId="75811828"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488B32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B4D224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27D7A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89ED4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617A9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A7CD1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74B37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415C594" w14:textId="77777777" w:rsidR="00572995" w:rsidRPr="00483EBE" w:rsidRDefault="00572995" w:rsidP="00E8324D">
            <w:pPr>
              <w:pStyle w:val="Tablas"/>
              <w:rPr>
                <w:sz w:val="12"/>
                <w:szCs w:val="12"/>
              </w:rPr>
            </w:pPr>
            <w:r w:rsidRPr="00483EBE">
              <w:rPr>
                <w:sz w:val="12"/>
                <w:szCs w:val="12"/>
              </w:rPr>
              <w:t> </w:t>
            </w:r>
          </w:p>
        </w:tc>
      </w:tr>
      <w:tr w:rsidR="00572995" w:rsidRPr="00483EBE" w14:paraId="663A782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A96A60"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3462B3ED"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99D56C6" w14:textId="77777777" w:rsidR="00572995" w:rsidRPr="00483EBE" w:rsidRDefault="00572995" w:rsidP="00E8324D">
            <w:pPr>
              <w:pStyle w:val="Tablas"/>
              <w:rPr>
                <w:sz w:val="12"/>
                <w:szCs w:val="12"/>
              </w:rPr>
            </w:pPr>
            <w:r w:rsidRPr="00483EBE">
              <w:rPr>
                <w:sz w:val="12"/>
                <w:szCs w:val="12"/>
              </w:rPr>
              <w:t>$13,432</w:t>
            </w:r>
          </w:p>
        </w:tc>
        <w:tc>
          <w:tcPr>
            <w:tcW w:w="0" w:type="auto"/>
            <w:tcBorders>
              <w:top w:val="nil"/>
              <w:left w:val="nil"/>
              <w:bottom w:val="single" w:sz="4" w:space="0" w:color="auto"/>
              <w:right w:val="single" w:sz="4" w:space="0" w:color="auto"/>
            </w:tcBorders>
            <w:shd w:val="clear" w:color="auto" w:fill="auto"/>
            <w:vAlign w:val="center"/>
            <w:hideMark/>
          </w:tcPr>
          <w:p w14:paraId="3416D54E" w14:textId="77777777" w:rsidR="00572995" w:rsidRPr="00483EBE" w:rsidRDefault="00572995" w:rsidP="00E8324D">
            <w:pPr>
              <w:pStyle w:val="Tablas"/>
              <w:rPr>
                <w:sz w:val="12"/>
                <w:szCs w:val="12"/>
              </w:rPr>
            </w:pPr>
            <w:r w:rsidRPr="00483EBE">
              <w:rPr>
                <w:sz w:val="12"/>
                <w:szCs w:val="12"/>
              </w:rPr>
              <w:t>$3,358</w:t>
            </w:r>
          </w:p>
        </w:tc>
        <w:tc>
          <w:tcPr>
            <w:tcW w:w="0" w:type="auto"/>
            <w:tcBorders>
              <w:top w:val="nil"/>
              <w:left w:val="nil"/>
              <w:bottom w:val="single" w:sz="4" w:space="0" w:color="auto"/>
              <w:right w:val="single" w:sz="4" w:space="0" w:color="auto"/>
            </w:tcBorders>
            <w:shd w:val="clear" w:color="auto" w:fill="auto"/>
            <w:vAlign w:val="center"/>
            <w:hideMark/>
          </w:tcPr>
          <w:p w14:paraId="6B01CFF9" w14:textId="77777777" w:rsidR="00572995" w:rsidRPr="00483EBE" w:rsidRDefault="00572995" w:rsidP="00E8324D">
            <w:pPr>
              <w:pStyle w:val="Tablas"/>
              <w:rPr>
                <w:sz w:val="12"/>
                <w:szCs w:val="12"/>
              </w:rPr>
            </w:pPr>
            <w:r w:rsidRPr="00483EBE">
              <w:rPr>
                <w:sz w:val="12"/>
                <w:szCs w:val="12"/>
              </w:rPr>
              <w:t>$280</w:t>
            </w:r>
          </w:p>
        </w:tc>
        <w:tc>
          <w:tcPr>
            <w:tcW w:w="0" w:type="auto"/>
            <w:tcBorders>
              <w:top w:val="nil"/>
              <w:left w:val="nil"/>
              <w:bottom w:val="single" w:sz="4" w:space="0" w:color="auto"/>
              <w:right w:val="single" w:sz="4" w:space="0" w:color="auto"/>
            </w:tcBorders>
            <w:shd w:val="clear" w:color="auto" w:fill="auto"/>
            <w:vAlign w:val="center"/>
            <w:hideMark/>
          </w:tcPr>
          <w:p w14:paraId="3F947DF7"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EB145F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D621B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D9706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B92AD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ACEEF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576AF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B06B23"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40B07E3" w14:textId="77777777" w:rsidR="00572995" w:rsidRPr="00483EBE" w:rsidRDefault="00572995" w:rsidP="00E8324D">
            <w:pPr>
              <w:pStyle w:val="Tablas"/>
              <w:rPr>
                <w:sz w:val="12"/>
                <w:szCs w:val="12"/>
              </w:rPr>
            </w:pPr>
            <w:r w:rsidRPr="00483EBE">
              <w:rPr>
                <w:sz w:val="12"/>
                <w:szCs w:val="12"/>
              </w:rPr>
              <w:t> </w:t>
            </w:r>
          </w:p>
        </w:tc>
      </w:tr>
      <w:tr w:rsidR="00572995" w:rsidRPr="00483EBE" w14:paraId="65BE8B2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1FCD79"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1B1A9757"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62CAC29" w14:textId="77777777" w:rsidR="00572995" w:rsidRPr="00483EBE" w:rsidRDefault="00572995" w:rsidP="00E8324D">
            <w:pPr>
              <w:pStyle w:val="Tablas"/>
              <w:rPr>
                <w:sz w:val="12"/>
                <w:szCs w:val="12"/>
              </w:rPr>
            </w:pPr>
            <w:r w:rsidRPr="00483EBE">
              <w:rPr>
                <w:sz w:val="12"/>
                <w:szCs w:val="12"/>
              </w:rPr>
              <w:t>$8,067</w:t>
            </w:r>
          </w:p>
        </w:tc>
        <w:tc>
          <w:tcPr>
            <w:tcW w:w="0" w:type="auto"/>
            <w:tcBorders>
              <w:top w:val="nil"/>
              <w:left w:val="nil"/>
              <w:bottom w:val="single" w:sz="4" w:space="0" w:color="auto"/>
              <w:right w:val="single" w:sz="4" w:space="0" w:color="auto"/>
            </w:tcBorders>
            <w:shd w:val="clear" w:color="auto" w:fill="auto"/>
            <w:vAlign w:val="center"/>
            <w:hideMark/>
          </w:tcPr>
          <w:p w14:paraId="5AD58CA4" w14:textId="77777777" w:rsidR="00572995" w:rsidRPr="00483EBE" w:rsidRDefault="00572995" w:rsidP="00E8324D">
            <w:pPr>
              <w:pStyle w:val="Tablas"/>
              <w:rPr>
                <w:sz w:val="12"/>
                <w:szCs w:val="12"/>
              </w:rPr>
            </w:pPr>
            <w:r w:rsidRPr="00483EBE">
              <w:rPr>
                <w:sz w:val="12"/>
                <w:szCs w:val="12"/>
              </w:rPr>
              <w:t>$2,689</w:t>
            </w:r>
          </w:p>
        </w:tc>
        <w:tc>
          <w:tcPr>
            <w:tcW w:w="0" w:type="auto"/>
            <w:tcBorders>
              <w:top w:val="nil"/>
              <w:left w:val="nil"/>
              <w:bottom w:val="single" w:sz="4" w:space="0" w:color="auto"/>
              <w:right w:val="single" w:sz="4" w:space="0" w:color="auto"/>
            </w:tcBorders>
            <w:shd w:val="clear" w:color="auto" w:fill="auto"/>
            <w:vAlign w:val="center"/>
            <w:hideMark/>
          </w:tcPr>
          <w:p w14:paraId="4D81510F" w14:textId="77777777" w:rsidR="00572995" w:rsidRPr="00483EBE" w:rsidRDefault="00572995" w:rsidP="00E8324D">
            <w:pPr>
              <w:pStyle w:val="Tablas"/>
              <w:rPr>
                <w:sz w:val="12"/>
                <w:szCs w:val="12"/>
              </w:rPr>
            </w:pPr>
            <w:r w:rsidRPr="00483EBE">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750F9259"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716E61B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2A8377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63FBA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B9734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886D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E505A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16B62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856D1E1" w14:textId="77777777" w:rsidR="00572995" w:rsidRPr="00483EBE" w:rsidRDefault="00572995" w:rsidP="00E8324D">
            <w:pPr>
              <w:pStyle w:val="Tablas"/>
              <w:rPr>
                <w:sz w:val="12"/>
                <w:szCs w:val="12"/>
              </w:rPr>
            </w:pPr>
            <w:r w:rsidRPr="00483EBE">
              <w:rPr>
                <w:sz w:val="12"/>
                <w:szCs w:val="12"/>
              </w:rPr>
              <w:t> </w:t>
            </w:r>
          </w:p>
        </w:tc>
      </w:tr>
      <w:tr w:rsidR="00572995" w:rsidRPr="00483EBE" w14:paraId="07F2D36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EDAFB6"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0E7AB0B6"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13D9F68F" w14:textId="77777777" w:rsidR="00572995" w:rsidRPr="00483EBE" w:rsidRDefault="00572995" w:rsidP="00E8324D">
            <w:pPr>
              <w:pStyle w:val="Tablas"/>
              <w:rPr>
                <w:sz w:val="12"/>
                <w:szCs w:val="12"/>
              </w:rPr>
            </w:pPr>
            <w:r w:rsidRPr="00483EBE">
              <w:rPr>
                <w:sz w:val="12"/>
                <w:szCs w:val="12"/>
              </w:rPr>
              <w:t>$19,715</w:t>
            </w:r>
          </w:p>
        </w:tc>
        <w:tc>
          <w:tcPr>
            <w:tcW w:w="0" w:type="auto"/>
            <w:tcBorders>
              <w:top w:val="nil"/>
              <w:left w:val="nil"/>
              <w:bottom w:val="single" w:sz="4" w:space="0" w:color="auto"/>
              <w:right w:val="single" w:sz="4" w:space="0" w:color="auto"/>
            </w:tcBorders>
            <w:shd w:val="clear" w:color="auto" w:fill="auto"/>
            <w:vAlign w:val="center"/>
            <w:hideMark/>
          </w:tcPr>
          <w:p w14:paraId="2BD48785" w14:textId="77777777" w:rsidR="00572995" w:rsidRPr="00483EBE" w:rsidRDefault="00572995" w:rsidP="00E8324D">
            <w:pPr>
              <w:pStyle w:val="Tablas"/>
              <w:rPr>
                <w:sz w:val="12"/>
                <w:szCs w:val="12"/>
              </w:rPr>
            </w:pPr>
            <w:r w:rsidRPr="00483EBE">
              <w:rPr>
                <w:sz w:val="12"/>
                <w:szCs w:val="12"/>
              </w:rPr>
              <w:t>$2,816</w:t>
            </w:r>
          </w:p>
        </w:tc>
        <w:tc>
          <w:tcPr>
            <w:tcW w:w="0" w:type="auto"/>
            <w:tcBorders>
              <w:top w:val="nil"/>
              <w:left w:val="nil"/>
              <w:bottom w:val="single" w:sz="4" w:space="0" w:color="auto"/>
              <w:right w:val="single" w:sz="4" w:space="0" w:color="auto"/>
            </w:tcBorders>
            <w:shd w:val="clear" w:color="auto" w:fill="auto"/>
            <w:vAlign w:val="center"/>
            <w:hideMark/>
          </w:tcPr>
          <w:p w14:paraId="135FBC4E" w14:textId="77777777" w:rsidR="00572995" w:rsidRPr="00483EBE" w:rsidRDefault="00572995" w:rsidP="00E8324D">
            <w:pPr>
              <w:pStyle w:val="Tablas"/>
              <w:rPr>
                <w:sz w:val="12"/>
                <w:szCs w:val="12"/>
              </w:rPr>
            </w:pPr>
            <w:r w:rsidRPr="00483EBE">
              <w:rPr>
                <w:sz w:val="12"/>
                <w:szCs w:val="12"/>
              </w:rPr>
              <w:t>$235</w:t>
            </w:r>
          </w:p>
        </w:tc>
        <w:tc>
          <w:tcPr>
            <w:tcW w:w="0" w:type="auto"/>
            <w:tcBorders>
              <w:top w:val="nil"/>
              <w:left w:val="nil"/>
              <w:bottom w:val="single" w:sz="4" w:space="0" w:color="auto"/>
              <w:right w:val="single" w:sz="4" w:space="0" w:color="auto"/>
            </w:tcBorders>
            <w:shd w:val="clear" w:color="auto" w:fill="auto"/>
            <w:vAlign w:val="center"/>
            <w:hideMark/>
          </w:tcPr>
          <w:p w14:paraId="5AC7BEA5"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BE9B6A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0100D8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E432C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7E1A9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CE380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48D22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B2883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9219235" w14:textId="77777777" w:rsidR="00572995" w:rsidRPr="00483EBE" w:rsidRDefault="00572995" w:rsidP="00E8324D">
            <w:pPr>
              <w:pStyle w:val="Tablas"/>
              <w:rPr>
                <w:sz w:val="12"/>
                <w:szCs w:val="12"/>
              </w:rPr>
            </w:pPr>
            <w:r w:rsidRPr="00483EBE">
              <w:rPr>
                <w:sz w:val="12"/>
                <w:szCs w:val="12"/>
              </w:rPr>
              <w:t> </w:t>
            </w:r>
          </w:p>
        </w:tc>
      </w:tr>
      <w:tr w:rsidR="00572995" w:rsidRPr="00483EBE" w14:paraId="39D5052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9A3AE5E"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6765113B"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B52F068" w14:textId="77777777" w:rsidR="00572995" w:rsidRPr="00483EBE" w:rsidRDefault="00572995" w:rsidP="00E8324D">
            <w:pPr>
              <w:pStyle w:val="Tablas"/>
              <w:rPr>
                <w:sz w:val="12"/>
                <w:szCs w:val="12"/>
              </w:rPr>
            </w:pPr>
            <w:r w:rsidRPr="00483EBE">
              <w:rPr>
                <w:sz w:val="12"/>
                <w:szCs w:val="12"/>
              </w:rPr>
              <w:t>$21,711</w:t>
            </w:r>
          </w:p>
        </w:tc>
        <w:tc>
          <w:tcPr>
            <w:tcW w:w="0" w:type="auto"/>
            <w:tcBorders>
              <w:top w:val="nil"/>
              <w:left w:val="nil"/>
              <w:bottom w:val="single" w:sz="4" w:space="0" w:color="auto"/>
              <w:right w:val="single" w:sz="4" w:space="0" w:color="auto"/>
            </w:tcBorders>
            <w:shd w:val="clear" w:color="auto" w:fill="auto"/>
            <w:vAlign w:val="center"/>
            <w:hideMark/>
          </w:tcPr>
          <w:p w14:paraId="27DD95CE" w14:textId="77777777" w:rsidR="00572995" w:rsidRPr="00483EBE" w:rsidRDefault="00572995" w:rsidP="00E8324D">
            <w:pPr>
              <w:pStyle w:val="Tablas"/>
              <w:rPr>
                <w:sz w:val="12"/>
                <w:szCs w:val="12"/>
              </w:rPr>
            </w:pPr>
            <w:r w:rsidRPr="00483EBE">
              <w:rPr>
                <w:sz w:val="12"/>
                <w:szCs w:val="12"/>
              </w:rPr>
              <w:t>$3,102</w:t>
            </w:r>
          </w:p>
        </w:tc>
        <w:tc>
          <w:tcPr>
            <w:tcW w:w="0" w:type="auto"/>
            <w:tcBorders>
              <w:top w:val="nil"/>
              <w:left w:val="nil"/>
              <w:bottom w:val="single" w:sz="4" w:space="0" w:color="auto"/>
              <w:right w:val="single" w:sz="4" w:space="0" w:color="auto"/>
            </w:tcBorders>
            <w:shd w:val="clear" w:color="auto" w:fill="auto"/>
            <w:vAlign w:val="center"/>
            <w:hideMark/>
          </w:tcPr>
          <w:p w14:paraId="7AC8D95F" w14:textId="77777777" w:rsidR="00572995" w:rsidRPr="00483EBE" w:rsidRDefault="00572995" w:rsidP="00E8324D">
            <w:pPr>
              <w:pStyle w:val="Tablas"/>
              <w:rPr>
                <w:sz w:val="12"/>
                <w:szCs w:val="12"/>
              </w:rPr>
            </w:pPr>
            <w:r w:rsidRPr="00483EBE">
              <w:rPr>
                <w:sz w:val="12"/>
                <w:szCs w:val="12"/>
              </w:rPr>
              <w:t>$258</w:t>
            </w:r>
          </w:p>
        </w:tc>
        <w:tc>
          <w:tcPr>
            <w:tcW w:w="0" w:type="auto"/>
            <w:tcBorders>
              <w:top w:val="nil"/>
              <w:left w:val="nil"/>
              <w:bottom w:val="single" w:sz="4" w:space="0" w:color="auto"/>
              <w:right w:val="single" w:sz="4" w:space="0" w:color="auto"/>
            </w:tcBorders>
            <w:shd w:val="clear" w:color="auto" w:fill="auto"/>
            <w:vAlign w:val="center"/>
            <w:hideMark/>
          </w:tcPr>
          <w:p w14:paraId="0648140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635874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9422E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0C163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BE1AF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1C884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A43DB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E08B7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B543DD7" w14:textId="77777777" w:rsidR="00572995" w:rsidRPr="00483EBE" w:rsidRDefault="00572995" w:rsidP="00E8324D">
            <w:pPr>
              <w:pStyle w:val="Tablas"/>
              <w:rPr>
                <w:sz w:val="12"/>
                <w:szCs w:val="12"/>
              </w:rPr>
            </w:pPr>
            <w:r w:rsidRPr="00483EBE">
              <w:rPr>
                <w:sz w:val="12"/>
                <w:szCs w:val="12"/>
              </w:rPr>
              <w:t> </w:t>
            </w:r>
          </w:p>
        </w:tc>
      </w:tr>
      <w:tr w:rsidR="00572995" w:rsidRPr="00483EBE" w14:paraId="4E26325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C334471"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15D58163"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3AD180BE" w14:textId="77777777" w:rsidR="00572995" w:rsidRPr="00483EBE" w:rsidRDefault="00572995" w:rsidP="00E8324D">
            <w:pPr>
              <w:pStyle w:val="Tablas"/>
              <w:rPr>
                <w:sz w:val="12"/>
                <w:szCs w:val="12"/>
              </w:rPr>
            </w:pPr>
            <w:r w:rsidRPr="00483EBE">
              <w:rPr>
                <w:sz w:val="12"/>
                <w:szCs w:val="12"/>
              </w:rPr>
              <w:t>$5,200</w:t>
            </w:r>
          </w:p>
        </w:tc>
        <w:tc>
          <w:tcPr>
            <w:tcW w:w="0" w:type="auto"/>
            <w:tcBorders>
              <w:top w:val="nil"/>
              <w:left w:val="nil"/>
              <w:bottom w:val="single" w:sz="4" w:space="0" w:color="auto"/>
              <w:right w:val="single" w:sz="4" w:space="0" w:color="auto"/>
            </w:tcBorders>
            <w:shd w:val="clear" w:color="auto" w:fill="auto"/>
            <w:vAlign w:val="center"/>
            <w:hideMark/>
          </w:tcPr>
          <w:p w14:paraId="1244C155" w14:textId="77777777" w:rsidR="00572995" w:rsidRPr="00483EBE" w:rsidRDefault="00572995" w:rsidP="00E8324D">
            <w:pPr>
              <w:pStyle w:val="Tablas"/>
              <w:rPr>
                <w:sz w:val="12"/>
                <w:szCs w:val="12"/>
              </w:rPr>
            </w:pPr>
            <w:r w:rsidRPr="00483EBE">
              <w:rPr>
                <w:sz w:val="12"/>
                <w:szCs w:val="12"/>
              </w:rPr>
              <w:t>$2,600</w:t>
            </w:r>
          </w:p>
        </w:tc>
        <w:tc>
          <w:tcPr>
            <w:tcW w:w="0" w:type="auto"/>
            <w:tcBorders>
              <w:top w:val="nil"/>
              <w:left w:val="nil"/>
              <w:bottom w:val="single" w:sz="4" w:space="0" w:color="auto"/>
              <w:right w:val="single" w:sz="4" w:space="0" w:color="auto"/>
            </w:tcBorders>
            <w:shd w:val="clear" w:color="auto" w:fill="auto"/>
            <w:vAlign w:val="center"/>
            <w:hideMark/>
          </w:tcPr>
          <w:p w14:paraId="72B99837" w14:textId="77777777" w:rsidR="00572995" w:rsidRPr="00483EBE" w:rsidRDefault="00572995" w:rsidP="00E8324D">
            <w:pPr>
              <w:pStyle w:val="Tablas"/>
              <w:rPr>
                <w:sz w:val="12"/>
                <w:szCs w:val="12"/>
              </w:rPr>
            </w:pPr>
            <w:r w:rsidRPr="00483EBE">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55117AFA"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1AA7B28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E7963A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F0B96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04DBE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7473E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8F26A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C977C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404FB37" w14:textId="77777777" w:rsidR="00572995" w:rsidRPr="00483EBE" w:rsidRDefault="00572995" w:rsidP="00E8324D">
            <w:pPr>
              <w:pStyle w:val="Tablas"/>
              <w:rPr>
                <w:sz w:val="12"/>
                <w:szCs w:val="12"/>
              </w:rPr>
            </w:pPr>
            <w:r w:rsidRPr="00483EBE">
              <w:rPr>
                <w:sz w:val="12"/>
                <w:szCs w:val="12"/>
              </w:rPr>
              <w:t> </w:t>
            </w:r>
          </w:p>
        </w:tc>
      </w:tr>
      <w:tr w:rsidR="00572995" w:rsidRPr="00483EBE" w14:paraId="1298E9D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A66FB45"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4BC2459B"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6F52658" w14:textId="77777777" w:rsidR="00572995" w:rsidRPr="00483EBE" w:rsidRDefault="00572995" w:rsidP="00E8324D">
            <w:pPr>
              <w:pStyle w:val="Tablas"/>
              <w:rPr>
                <w:sz w:val="12"/>
                <w:szCs w:val="12"/>
              </w:rPr>
            </w:pPr>
            <w:r w:rsidRPr="00483EBE">
              <w:rPr>
                <w:sz w:val="12"/>
                <w:szCs w:val="12"/>
              </w:rPr>
              <w:t>$4,680</w:t>
            </w:r>
          </w:p>
        </w:tc>
        <w:tc>
          <w:tcPr>
            <w:tcW w:w="0" w:type="auto"/>
            <w:tcBorders>
              <w:top w:val="nil"/>
              <w:left w:val="nil"/>
              <w:bottom w:val="single" w:sz="4" w:space="0" w:color="auto"/>
              <w:right w:val="single" w:sz="4" w:space="0" w:color="auto"/>
            </w:tcBorders>
            <w:shd w:val="clear" w:color="auto" w:fill="auto"/>
            <w:vAlign w:val="center"/>
            <w:hideMark/>
          </w:tcPr>
          <w:p w14:paraId="35CCF269" w14:textId="77777777" w:rsidR="00572995" w:rsidRPr="00483EBE" w:rsidRDefault="00572995" w:rsidP="00E8324D">
            <w:pPr>
              <w:pStyle w:val="Tablas"/>
              <w:rPr>
                <w:sz w:val="12"/>
                <w:szCs w:val="12"/>
              </w:rPr>
            </w:pPr>
            <w:r w:rsidRPr="00483EBE">
              <w:rPr>
                <w:sz w:val="12"/>
                <w:szCs w:val="12"/>
              </w:rPr>
              <w:t>$2,340</w:t>
            </w:r>
          </w:p>
        </w:tc>
        <w:tc>
          <w:tcPr>
            <w:tcW w:w="0" w:type="auto"/>
            <w:tcBorders>
              <w:top w:val="nil"/>
              <w:left w:val="nil"/>
              <w:bottom w:val="single" w:sz="4" w:space="0" w:color="auto"/>
              <w:right w:val="single" w:sz="4" w:space="0" w:color="auto"/>
            </w:tcBorders>
            <w:shd w:val="clear" w:color="auto" w:fill="auto"/>
            <w:vAlign w:val="center"/>
            <w:hideMark/>
          </w:tcPr>
          <w:p w14:paraId="127C641D" w14:textId="77777777" w:rsidR="00572995" w:rsidRPr="00483EBE" w:rsidRDefault="00572995" w:rsidP="00E8324D">
            <w:pPr>
              <w:pStyle w:val="Tablas"/>
              <w:rPr>
                <w:sz w:val="12"/>
                <w:szCs w:val="12"/>
              </w:rPr>
            </w:pPr>
            <w:r w:rsidRPr="00483EBE">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4919685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EC4366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68101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3E3A2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4A482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BFEE4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24939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3E455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4F6293E" w14:textId="77777777" w:rsidR="00572995" w:rsidRPr="00483EBE" w:rsidRDefault="00572995" w:rsidP="00E8324D">
            <w:pPr>
              <w:pStyle w:val="Tablas"/>
              <w:rPr>
                <w:sz w:val="12"/>
                <w:szCs w:val="12"/>
              </w:rPr>
            </w:pPr>
            <w:r w:rsidRPr="00483EBE">
              <w:rPr>
                <w:sz w:val="12"/>
                <w:szCs w:val="12"/>
              </w:rPr>
              <w:t> </w:t>
            </w:r>
          </w:p>
        </w:tc>
      </w:tr>
      <w:tr w:rsidR="00572995" w:rsidRPr="00483EBE" w14:paraId="4BF81D8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4EDCE8"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5F7D6BEC"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9A22D0D" w14:textId="77777777" w:rsidR="00572995" w:rsidRPr="00483EBE" w:rsidRDefault="00572995" w:rsidP="00E8324D">
            <w:pPr>
              <w:pStyle w:val="Tablas"/>
              <w:rPr>
                <w:sz w:val="12"/>
                <w:szCs w:val="12"/>
              </w:rPr>
            </w:pPr>
            <w:r w:rsidRPr="00483EBE">
              <w:rPr>
                <w:sz w:val="12"/>
                <w:szCs w:val="12"/>
              </w:rPr>
              <w:t>$8,255</w:t>
            </w:r>
          </w:p>
        </w:tc>
        <w:tc>
          <w:tcPr>
            <w:tcW w:w="0" w:type="auto"/>
            <w:tcBorders>
              <w:top w:val="nil"/>
              <w:left w:val="nil"/>
              <w:bottom w:val="single" w:sz="4" w:space="0" w:color="auto"/>
              <w:right w:val="single" w:sz="4" w:space="0" w:color="auto"/>
            </w:tcBorders>
            <w:shd w:val="clear" w:color="auto" w:fill="auto"/>
            <w:vAlign w:val="center"/>
            <w:hideMark/>
          </w:tcPr>
          <w:p w14:paraId="0DA73048" w14:textId="77777777" w:rsidR="00572995" w:rsidRPr="00483EBE" w:rsidRDefault="00572995" w:rsidP="00E8324D">
            <w:pPr>
              <w:pStyle w:val="Tablas"/>
              <w:rPr>
                <w:sz w:val="12"/>
                <w:szCs w:val="12"/>
              </w:rPr>
            </w:pPr>
            <w:r w:rsidRPr="00483EBE">
              <w:rPr>
                <w:sz w:val="12"/>
                <w:szCs w:val="12"/>
              </w:rPr>
              <w:t>$2,752</w:t>
            </w:r>
          </w:p>
        </w:tc>
        <w:tc>
          <w:tcPr>
            <w:tcW w:w="0" w:type="auto"/>
            <w:tcBorders>
              <w:top w:val="nil"/>
              <w:left w:val="nil"/>
              <w:bottom w:val="single" w:sz="4" w:space="0" w:color="auto"/>
              <w:right w:val="single" w:sz="4" w:space="0" w:color="auto"/>
            </w:tcBorders>
            <w:shd w:val="clear" w:color="auto" w:fill="auto"/>
            <w:vAlign w:val="center"/>
            <w:hideMark/>
          </w:tcPr>
          <w:p w14:paraId="61F3E47D" w14:textId="77777777" w:rsidR="00572995" w:rsidRPr="00483EBE" w:rsidRDefault="00572995" w:rsidP="00E8324D">
            <w:pPr>
              <w:pStyle w:val="Tablas"/>
              <w:rPr>
                <w:sz w:val="12"/>
                <w:szCs w:val="12"/>
              </w:rPr>
            </w:pPr>
            <w:r w:rsidRPr="00483EBE">
              <w:rPr>
                <w:sz w:val="12"/>
                <w:szCs w:val="12"/>
              </w:rPr>
              <w:t>$229</w:t>
            </w:r>
          </w:p>
        </w:tc>
        <w:tc>
          <w:tcPr>
            <w:tcW w:w="0" w:type="auto"/>
            <w:tcBorders>
              <w:top w:val="nil"/>
              <w:left w:val="nil"/>
              <w:bottom w:val="single" w:sz="4" w:space="0" w:color="auto"/>
              <w:right w:val="single" w:sz="4" w:space="0" w:color="auto"/>
            </w:tcBorders>
            <w:shd w:val="clear" w:color="auto" w:fill="auto"/>
            <w:vAlign w:val="center"/>
            <w:hideMark/>
          </w:tcPr>
          <w:p w14:paraId="6491814D"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D1A446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3BF370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AEDAF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12096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FF4A3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CF411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0063F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2081AC7" w14:textId="77777777" w:rsidR="00572995" w:rsidRPr="00483EBE" w:rsidRDefault="00572995" w:rsidP="00E8324D">
            <w:pPr>
              <w:pStyle w:val="Tablas"/>
              <w:rPr>
                <w:sz w:val="12"/>
                <w:szCs w:val="12"/>
              </w:rPr>
            </w:pPr>
            <w:r w:rsidRPr="00483EBE">
              <w:rPr>
                <w:sz w:val="12"/>
                <w:szCs w:val="12"/>
              </w:rPr>
              <w:t> </w:t>
            </w:r>
          </w:p>
        </w:tc>
      </w:tr>
      <w:tr w:rsidR="00572995" w:rsidRPr="00483EBE" w14:paraId="2DF057F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891D110"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5D0E007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D33E0A3" w14:textId="77777777" w:rsidR="00572995" w:rsidRPr="00483EBE" w:rsidRDefault="00572995" w:rsidP="00E8324D">
            <w:pPr>
              <w:pStyle w:val="Tablas"/>
              <w:rPr>
                <w:sz w:val="12"/>
                <w:szCs w:val="12"/>
              </w:rPr>
            </w:pPr>
            <w:r w:rsidRPr="00483EBE">
              <w:rPr>
                <w:sz w:val="12"/>
                <w:szCs w:val="12"/>
              </w:rPr>
              <w:t>$6,702</w:t>
            </w:r>
          </w:p>
        </w:tc>
        <w:tc>
          <w:tcPr>
            <w:tcW w:w="0" w:type="auto"/>
            <w:tcBorders>
              <w:top w:val="nil"/>
              <w:left w:val="nil"/>
              <w:bottom w:val="single" w:sz="4" w:space="0" w:color="auto"/>
              <w:right w:val="single" w:sz="4" w:space="0" w:color="auto"/>
            </w:tcBorders>
            <w:shd w:val="clear" w:color="auto" w:fill="auto"/>
            <w:vAlign w:val="center"/>
            <w:hideMark/>
          </w:tcPr>
          <w:p w14:paraId="4A3DDB81" w14:textId="77777777" w:rsidR="00572995" w:rsidRPr="00483EBE" w:rsidRDefault="00572995" w:rsidP="00E8324D">
            <w:pPr>
              <w:pStyle w:val="Tablas"/>
              <w:rPr>
                <w:sz w:val="12"/>
                <w:szCs w:val="12"/>
              </w:rPr>
            </w:pPr>
            <w:r w:rsidRPr="00483EBE">
              <w:rPr>
                <w:sz w:val="12"/>
                <w:szCs w:val="12"/>
              </w:rPr>
              <w:t>$3,351</w:t>
            </w:r>
          </w:p>
        </w:tc>
        <w:tc>
          <w:tcPr>
            <w:tcW w:w="0" w:type="auto"/>
            <w:tcBorders>
              <w:top w:val="nil"/>
              <w:left w:val="nil"/>
              <w:bottom w:val="single" w:sz="4" w:space="0" w:color="auto"/>
              <w:right w:val="single" w:sz="4" w:space="0" w:color="auto"/>
            </w:tcBorders>
            <w:shd w:val="clear" w:color="auto" w:fill="auto"/>
            <w:vAlign w:val="center"/>
            <w:hideMark/>
          </w:tcPr>
          <w:p w14:paraId="421ABB4E" w14:textId="77777777" w:rsidR="00572995" w:rsidRPr="00483EBE" w:rsidRDefault="00572995" w:rsidP="00E8324D">
            <w:pPr>
              <w:pStyle w:val="Tablas"/>
              <w:rPr>
                <w:sz w:val="12"/>
                <w:szCs w:val="12"/>
              </w:rPr>
            </w:pPr>
            <w:r w:rsidRPr="00483EBE">
              <w:rPr>
                <w:sz w:val="12"/>
                <w:szCs w:val="12"/>
              </w:rPr>
              <w:t>$279</w:t>
            </w:r>
          </w:p>
        </w:tc>
        <w:tc>
          <w:tcPr>
            <w:tcW w:w="0" w:type="auto"/>
            <w:tcBorders>
              <w:top w:val="nil"/>
              <w:left w:val="nil"/>
              <w:bottom w:val="single" w:sz="4" w:space="0" w:color="auto"/>
              <w:right w:val="single" w:sz="4" w:space="0" w:color="auto"/>
            </w:tcBorders>
            <w:shd w:val="clear" w:color="auto" w:fill="auto"/>
            <w:vAlign w:val="center"/>
            <w:hideMark/>
          </w:tcPr>
          <w:p w14:paraId="16907834"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3F6026B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B989A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E1AED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FD67A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7DCA0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BC6B5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700D0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2B0A680" w14:textId="77777777" w:rsidR="00572995" w:rsidRPr="00483EBE" w:rsidRDefault="00572995" w:rsidP="00E8324D">
            <w:pPr>
              <w:pStyle w:val="Tablas"/>
              <w:rPr>
                <w:sz w:val="12"/>
                <w:szCs w:val="12"/>
              </w:rPr>
            </w:pPr>
            <w:r w:rsidRPr="00483EBE">
              <w:rPr>
                <w:sz w:val="12"/>
                <w:szCs w:val="12"/>
              </w:rPr>
              <w:t> </w:t>
            </w:r>
          </w:p>
        </w:tc>
      </w:tr>
      <w:tr w:rsidR="00572995" w:rsidRPr="00483EBE" w14:paraId="3EBB947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86C566E"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6F3CABC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0596C7D7" w14:textId="77777777" w:rsidR="00572995" w:rsidRPr="00483EBE" w:rsidRDefault="00572995" w:rsidP="00E8324D">
            <w:pPr>
              <w:pStyle w:val="Tablas"/>
              <w:rPr>
                <w:sz w:val="12"/>
                <w:szCs w:val="12"/>
              </w:rPr>
            </w:pPr>
            <w:r w:rsidRPr="00483EBE">
              <w:rPr>
                <w:sz w:val="12"/>
                <w:szCs w:val="12"/>
              </w:rPr>
              <w:t>$11,166</w:t>
            </w:r>
          </w:p>
        </w:tc>
        <w:tc>
          <w:tcPr>
            <w:tcW w:w="0" w:type="auto"/>
            <w:tcBorders>
              <w:top w:val="nil"/>
              <w:left w:val="nil"/>
              <w:bottom w:val="single" w:sz="4" w:space="0" w:color="auto"/>
              <w:right w:val="single" w:sz="4" w:space="0" w:color="auto"/>
            </w:tcBorders>
            <w:shd w:val="clear" w:color="auto" w:fill="auto"/>
            <w:vAlign w:val="center"/>
            <w:hideMark/>
          </w:tcPr>
          <w:p w14:paraId="047D2ECB" w14:textId="77777777" w:rsidR="00572995" w:rsidRPr="00483EBE" w:rsidRDefault="00572995" w:rsidP="00E8324D">
            <w:pPr>
              <w:pStyle w:val="Tablas"/>
              <w:rPr>
                <w:sz w:val="12"/>
                <w:szCs w:val="12"/>
              </w:rPr>
            </w:pPr>
            <w:r w:rsidRPr="00483EBE">
              <w:rPr>
                <w:sz w:val="12"/>
                <w:szCs w:val="12"/>
              </w:rPr>
              <w:t>$2,792</w:t>
            </w:r>
          </w:p>
        </w:tc>
        <w:tc>
          <w:tcPr>
            <w:tcW w:w="0" w:type="auto"/>
            <w:tcBorders>
              <w:top w:val="nil"/>
              <w:left w:val="nil"/>
              <w:bottom w:val="single" w:sz="4" w:space="0" w:color="auto"/>
              <w:right w:val="single" w:sz="4" w:space="0" w:color="auto"/>
            </w:tcBorders>
            <w:shd w:val="clear" w:color="auto" w:fill="auto"/>
            <w:vAlign w:val="center"/>
            <w:hideMark/>
          </w:tcPr>
          <w:p w14:paraId="5178D140" w14:textId="77777777" w:rsidR="00572995" w:rsidRPr="00483EBE" w:rsidRDefault="00572995" w:rsidP="00E8324D">
            <w:pPr>
              <w:pStyle w:val="Tablas"/>
              <w:rPr>
                <w:sz w:val="12"/>
                <w:szCs w:val="12"/>
              </w:rPr>
            </w:pPr>
            <w:r w:rsidRPr="00483EBE">
              <w:rPr>
                <w:sz w:val="12"/>
                <w:szCs w:val="12"/>
              </w:rPr>
              <w:t>$233</w:t>
            </w:r>
          </w:p>
        </w:tc>
        <w:tc>
          <w:tcPr>
            <w:tcW w:w="0" w:type="auto"/>
            <w:tcBorders>
              <w:top w:val="nil"/>
              <w:left w:val="nil"/>
              <w:bottom w:val="single" w:sz="4" w:space="0" w:color="auto"/>
              <w:right w:val="single" w:sz="4" w:space="0" w:color="auto"/>
            </w:tcBorders>
            <w:shd w:val="clear" w:color="auto" w:fill="auto"/>
            <w:vAlign w:val="center"/>
            <w:hideMark/>
          </w:tcPr>
          <w:p w14:paraId="2300643C" w14:textId="77777777" w:rsidR="00572995" w:rsidRPr="00483EBE" w:rsidRDefault="00572995" w:rsidP="00E8324D">
            <w:pPr>
              <w:pStyle w:val="Tablas"/>
              <w:rPr>
                <w:sz w:val="12"/>
                <w:szCs w:val="12"/>
              </w:rPr>
            </w:pPr>
            <w:r w:rsidRPr="00483EBE">
              <w:rPr>
                <w:sz w:val="12"/>
                <w:szCs w:val="12"/>
              </w:rPr>
              <w:t>INVALIDEZ</w:t>
            </w:r>
          </w:p>
        </w:tc>
        <w:tc>
          <w:tcPr>
            <w:tcW w:w="0" w:type="auto"/>
            <w:tcBorders>
              <w:top w:val="nil"/>
              <w:left w:val="nil"/>
              <w:bottom w:val="single" w:sz="4" w:space="0" w:color="auto"/>
              <w:right w:val="nil"/>
            </w:tcBorders>
            <w:shd w:val="clear" w:color="auto" w:fill="auto"/>
            <w:vAlign w:val="center"/>
            <w:hideMark/>
          </w:tcPr>
          <w:p w14:paraId="61121F6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4C52F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17BAA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615CB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2F62B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EA551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CFABC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EFCAE67" w14:textId="77777777" w:rsidR="00572995" w:rsidRPr="00483EBE" w:rsidRDefault="00572995" w:rsidP="00E8324D">
            <w:pPr>
              <w:pStyle w:val="Tablas"/>
              <w:rPr>
                <w:sz w:val="12"/>
                <w:szCs w:val="12"/>
              </w:rPr>
            </w:pPr>
            <w:r w:rsidRPr="00483EBE">
              <w:rPr>
                <w:sz w:val="12"/>
                <w:szCs w:val="12"/>
              </w:rPr>
              <w:t> </w:t>
            </w:r>
          </w:p>
        </w:tc>
      </w:tr>
      <w:tr w:rsidR="00572995" w:rsidRPr="00483EBE" w14:paraId="0E96934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D3B5433" w14:textId="77777777" w:rsidR="00572995" w:rsidRPr="00483EBE" w:rsidRDefault="00572995" w:rsidP="00E8324D">
            <w:pPr>
              <w:pStyle w:val="Tablas"/>
              <w:rPr>
                <w:sz w:val="12"/>
                <w:szCs w:val="12"/>
              </w:rPr>
            </w:pPr>
            <w:r w:rsidRPr="00483EBE">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281A007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891C50F" w14:textId="77777777" w:rsidR="00572995" w:rsidRPr="00483EBE" w:rsidRDefault="00572995" w:rsidP="00E8324D">
            <w:pPr>
              <w:pStyle w:val="Tablas"/>
              <w:rPr>
                <w:sz w:val="12"/>
                <w:szCs w:val="12"/>
              </w:rPr>
            </w:pPr>
            <w:r w:rsidRPr="00483EBE">
              <w:rPr>
                <w:sz w:val="12"/>
                <w:szCs w:val="12"/>
              </w:rPr>
              <w:t>$1,597</w:t>
            </w:r>
          </w:p>
        </w:tc>
        <w:tc>
          <w:tcPr>
            <w:tcW w:w="0" w:type="auto"/>
            <w:tcBorders>
              <w:top w:val="nil"/>
              <w:left w:val="nil"/>
              <w:bottom w:val="single" w:sz="4" w:space="0" w:color="auto"/>
              <w:right w:val="single" w:sz="4" w:space="0" w:color="auto"/>
            </w:tcBorders>
            <w:shd w:val="clear" w:color="auto" w:fill="auto"/>
            <w:vAlign w:val="center"/>
            <w:hideMark/>
          </w:tcPr>
          <w:p w14:paraId="5B417769" w14:textId="77777777" w:rsidR="00572995" w:rsidRPr="00483EBE" w:rsidRDefault="00572995" w:rsidP="00E8324D">
            <w:pPr>
              <w:pStyle w:val="Tablas"/>
              <w:rPr>
                <w:sz w:val="12"/>
                <w:szCs w:val="12"/>
              </w:rPr>
            </w:pPr>
            <w:r w:rsidRPr="00483EBE">
              <w:rPr>
                <w:sz w:val="12"/>
                <w:szCs w:val="12"/>
              </w:rPr>
              <w:t>$1,597</w:t>
            </w:r>
          </w:p>
        </w:tc>
        <w:tc>
          <w:tcPr>
            <w:tcW w:w="0" w:type="auto"/>
            <w:tcBorders>
              <w:top w:val="nil"/>
              <w:left w:val="nil"/>
              <w:bottom w:val="single" w:sz="4" w:space="0" w:color="auto"/>
              <w:right w:val="single" w:sz="4" w:space="0" w:color="auto"/>
            </w:tcBorders>
            <w:shd w:val="clear" w:color="auto" w:fill="auto"/>
            <w:vAlign w:val="center"/>
            <w:hideMark/>
          </w:tcPr>
          <w:p w14:paraId="798EE25D" w14:textId="77777777" w:rsidR="00572995" w:rsidRPr="00483EBE" w:rsidRDefault="00572995" w:rsidP="00E8324D">
            <w:pPr>
              <w:pStyle w:val="Tablas"/>
              <w:rPr>
                <w:sz w:val="12"/>
                <w:szCs w:val="12"/>
              </w:rPr>
            </w:pPr>
            <w:r w:rsidRPr="00483EBE">
              <w:rPr>
                <w:sz w:val="12"/>
                <w:szCs w:val="12"/>
              </w:rPr>
              <w:t>$133</w:t>
            </w:r>
          </w:p>
        </w:tc>
        <w:tc>
          <w:tcPr>
            <w:tcW w:w="0" w:type="auto"/>
            <w:tcBorders>
              <w:top w:val="nil"/>
              <w:left w:val="nil"/>
              <w:bottom w:val="single" w:sz="4" w:space="0" w:color="auto"/>
              <w:right w:val="single" w:sz="4" w:space="0" w:color="auto"/>
            </w:tcBorders>
            <w:shd w:val="clear" w:color="auto" w:fill="auto"/>
            <w:vAlign w:val="center"/>
            <w:hideMark/>
          </w:tcPr>
          <w:p w14:paraId="798F073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F14A58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61E9F6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D531C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E30AC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20BD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19395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BA825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82856CC" w14:textId="77777777" w:rsidR="00572995" w:rsidRPr="00483EBE" w:rsidRDefault="00572995" w:rsidP="00E8324D">
            <w:pPr>
              <w:pStyle w:val="Tablas"/>
              <w:rPr>
                <w:sz w:val="12"/>
                <w:szCs w:val="12"/>
              </w:rPr>
            </w:pPr>
            <w:r w:rsidRPr="00483EBE">
              <w:rPr>
                <w:sz w:val="12"/>
                <w:szCs w:val="12"/>
              </w:rPr>
              <w:t> </w:t>
            </w:r>
          </w:p>
        </w:tc>
      </w:tr>
      <w:tr w:rsidR="00572995" w:rsidRPr="00483EBE" w14:paraId="7AB48F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19BA823" w14:textId="77777777" w:rsidR="00572995" w:rsidRPr="00483EBE" w:rsidRDefault="00572995" w:rsidP="00E8324D">
            <w:pPr>
              <w:pStyle w:val="Tablas"/>
              <w:rPr>
                <w:sz w:val="12"/>
                <w:szCs w:val="12"/>
              </w:rPr>
            </w:pPr>
            <w:r w:rsidRPr="00483EBE">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0B8E0EC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3DA77E8" w14:textId="77777777" w:rsidR="00572995" w:rsidRPr="00483EBE" w:rsidRDefault="00572995" w:rsidP="00E8324D">
            <w:pPr>
              <w:pStyle w:val="Tablas"/>
              <w:rPr>
                <w:sz w:val="12"/>
                <w:szCs w:val="12"/>
              </w:rPr>
            </w:pPr>
            <w:r w:rsidRPr="00483EBE">
              <w:rPr>
                <w:sz w:val="12"/>
                <w:szCs w:val="12"/>
              </w:rPr>
              <w:t>$1,614</w:t>
            </w:r>
          </w:p>
        </w:tc>
        <w:tc>
          <w:tcPr>
            <w:tcW w:w="0" w:type="auto"/>
            <w:tcBorders>
              <w:top w:val="nil"/>
              <w:left w:val="nil"/>
              <w:bottom w:val="single" w:sz="4" w:space="0" w:color="auto"/>
              <w:right w:val="single" w:sz="4" w:space="0" w:color="auto"/>
            </w:tcBorders>
            <w:shd w:val="clear" w:color="auto" w:fill="auto"/>
            <w:vAlign w:val="center"/>
            <w:hideMark/>
          </w:tcPr>
          <w:p w14:paraId="4F36EA47" w14:textId="77777777" w:rsidR="00572995" w:rsidRPr="00483EBE" w:rsidRDefault="00572995" w:rsidP="00E8324D">
            <w:pPr>
              <w:pStyle w:val="Tablas"/>
              <w:rPr>
                <w:sz w:val="12"/>
                <w:szCs w:val="12"/>
              </w:rPr>
            </w:pPr>
            <w:r w:rsidRPr="00483EBE">
              <w:rPr>
                <w:sz w:val="12"/>
                <w:szCs w:val="12"/>
              </w:rPr>
              <w:t>$1,614</w:t>
            </w:r>
          </w:p>
        </w:tc>
        <w:tc>
          <w:tcPr>
            <w:tcW w:w="0" w:type="auto"/>
            <w:tcBorders>
              <w:top w:val="nil"/>
              <w:left w:val="nil"/>
              <w:bottom w:val="single" w:sz="4" w:space="0" w:color="auto"/>
              <w:right w:val="single" w:sz="4" w:space="0" w:color="auto"/>
            </w:tcBorders>
            <w:shd w:val="clear" w:color="auto" w:fill="auto"/>
            <w:vAlign w:val="center"/>
            <w:hideMark/>
          </w:tcPr>
          <w:p w14:paraId="08C68E52" w14:textId="77777777" w:rsidR="00572995" w:rsidRPr="00483EBE" w:rsidRDefault="00572995" w:rsidP="00E8324D">
            <w:pPr>
              <w:pStyle w:val="Tablas"/>
              <w:rPr>
                <w:sz w:val="12"/>
                <w:szCs w:val="12"/>
              </w:rPr>
            </w:pPr>
            <w:r w:rsidRPr="00483EBE">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444EA22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7B06FA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B7B1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21944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424FA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F63D5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9C08A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03A9A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E9163F6" w14:textId="77777777" w:rsidR="00572995" w:rsidRPr="00483EBE" w:rsidRDefault="00572995" w:rsidP="00E8324D">
            <w:pPr>
              <w:pStyle w:val="Tablas"/>
              <w:rPr>
                <w:sz w:val="12"/>
                <w:szCs w:val="12"/>
              </w:rPr>
            </w:pPr>
            <w:r w:rsidRPr="00483EBE">
              <w:rPr>
                <w:sz w:val="12"/>
                <w:szCs w:val="12"/>
              </w:rPr>
              <w:t> </w:t>
            </w:r>
          </w:p>
        </w:tc>
      </w:tr>
      <w:tr w:rsidR="00572995" w:rsidRPr="00483EBE" w14:paraId="574259B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BF16DF2" w14:textId="77777777" w:rsidR="00572995" w:rsidRPr="00483EBE" w:rsidRDefault="00572995" w:rsidP="00E8324D">
            <w:pPr>
              <w:pStyle w:val="Tablas"/>
              <w:rPr>
                <w:sz w:val="12"/>
                <w:szCs w:val="12"/>
              </w:rPr>
            </w:pPr>
            <w:r w:rsidRPr="00483EBE">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7813DE50"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D449794" w14:textId="77777777" w:rsidR="00572995" w:rsidRPr="00483EBE" w:rsidRDefault="00572995" w:rsidP="00E8324D">
            <w:pPr>
              <w:pStyle w:val="Tablas"/>
              <w:rPr>
                <w:sz w:val="12"/>
                <w:szCs w:val="12"/>
              </w:rPr>
            </w:pPr>
            <w:r w:rsidRPr="00483EBE">
              <w:rPr>
                <w:sz w:val="12"/>
                <w:szCs w:val="12"/>
              </w:rPr>
              <w:t>$2,689</w:t>
            </w:r>
          </w:p>
        </w:tc>
        <w:tc>
          <w:tcPr>
            <w:tcW w:w="0" w:type="auto"/>
            <w:tcBorders>
              <w:top w:val="nil"/>
              <w:left w:val="nil"/>
              <w:bottom w:val="single" w:sz="4" w:space="0" w:color="auto"/>
              <w:right w:val="single" w:sz="4" w:space="0" w:color="auto"/>
            </w:tcBorders>
            <w:shd w:val="clear" w:color="auto" w:fill="auto"/>
            <w:vAlign w:val="center"/>
            <w:hideMark/>
          </w:tcPr>
          <w:p w14:paraId="3B77CDA0" w14:textId="77777777" w:rsidR="00572995" w:rsidRPr="00483EBE" w:rsidRDefault="00572995" w:rsidP="00E8324D">
            <w:pPr>
              <w:pStyle w:val="Tablas"/>
              <w:rPr>
                <w:sz w:val="12"/>
                <w:szCs w:val="12"/>
              </w:rPr>
            </w:pPr>
            <w:r w:rsidRPr="00483EBE">
              <w:rPr>
                <w:sz w:val="12"/>
                <w:szCs w:val="12"/>
              </w:rPr>
              <w:t>$1,345</w:t>
            </w:r>
          </w:p>
        </w:tc>
        <w:tc>
          <w:tcPr>
            <w:tcW w:w="0" w:type="auto"/>
            <w:tcBorders>
              <w:top w:val="nil"/>
              <w:left w:val="nil"/>
              <w:bottom w:val="single" w:sz="4" w:space="0" w:color="auto"/>
              <w:right w:val="single" w:sz="4" w:space="0" w:color="auto"/>
            </w:tcBorders>
            <w:shd w:val="clear" w:color="auto" w:fill="auto"/>
            <w:vAlign w:val="center"/>
            <w:hideMark/>
          </w:tcPr>
          <w:p w14:paraId="7E184A30" w14:textId="77777777" w:rsidR="00572995" w:rsidRPr="00483EBE" w:rsidRDefault="00572995" w:rsidP="00E8324D">
            <w:pPr>
              <w:pStyle w:val="Tablas"/>
              <w:rPr>
                <w:sz w:val="12"/>
                <w:szCs w:val="12"/>
              </w:rPr>
            </w:pPr>
            <w:r w:rsidRPr="00483EBE">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04E3163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6D707E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57FCC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89CE9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C73E5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AF4E0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50FB6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CA1D6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0D6B09D" w14:textId="77777777" w:rsidR="00572995" w:rsidRPr="00483EBE" w:rsidRDefault="00572995" w:rsidP="00E8324D">
            <w:pPr>
              <w:pStyle w:val="Tablas"/>
              <w:rPr>
                <w:sz w:val="12"/>
                <w:szCs w:val="12"/>
              </w:rPr>
            </w:pPr>
            <w:r w:rsidRPr="00483EBE">
              <w:rPr>
                <w:sz w:val="12"/>
                <w:szCs w:val="12"/>
              </w:rPr>
              <w:t> </w:t>
            </w:r>
          </w:p>
        </w:tc>
      </w:tr>
      <w:tr w:rsidR="00572995" w:rsidRPr="00483EBE" w14:paraId="2AD4590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78A3CA" w14:textId="77777777" w:rsidR="00572995" w:rsidRPr="00483EBE" w:rsidRDefault="00572995" w:rsidP="00E8324D">
            <w:pPr>
              <w:pStyle w:val="Tablas"/>
              <w:rPr>
                <w:sz w:val="12"/>
                <w:szCs w:val="12"/>
              </w:rPr>
            </w:pPr>
            <w:r w:rsidRPr="00483EBE">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5A303BD9"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774C7E8" w14:textId="77777777" w:rsidR="00572995" w:rsidRPr="00483EBE" w:rsidRDefault="00572995" w:rsidP="00E8324D">
            <w:pPr>
              <w:pStyle w:val="Tablas"/>
              <w:rPr>
                <w:sz w:val="12"/>
                <w:szCs w:val="12"/>
              </w:rPr>
            </w:pPr>
            <w:r w:rsidRPr="00483EBE">
              <w:rPr>
                <w:sz w:val="12"/>
                <w:szCs w:val="12"/>
              </w:rPr>
              <w:t>$6,347</w:t>
            </w:r>
          </w:p>
        </w:tc>
        <w:tc>
          <w:tcPr>
            <w:tcW w:w="0" w:type="auto"/>
            <w:tcBorders>
              <w:top w:val="nil"/>
              <w:left w:val="nil"/>
              <w:bottom w:val="single" w:sz="4" w:space="0" w:color="auto"/>
              <w:right w:val="single" w:sz="4" w:space="0" w:color="auto"/>
            </w:tcBorders>
            <w:shd w:val="clear" w:color="auto" w:fill="auto"/>
            <w:vAlign w:val="center"/>
            <w:hideMark/>
          </w:tcPr>
          <w:p w14:paraId="2625BB1E" w14:textId="77777777" w:rsidR="00572995" w:rsidRPr="00483EBE" w:rsidRDefault="00572995" w:rsidP="00E8324D">
            <w:pPr>
              <w:pStyle w:val="Tablas"/>
              <w:rPr>
                <w:sz w:val="12"/>
                <w:szCs w:val="12"/>
              </w:rPr>
            </w:pPr>
            <w:r w:rsidRPr="00483EBE">
              <w:rPr>
                <w:sz w:val="12"/>
                <w:szCs w:val="12"/>
              </w:rPr>
              <w:t>$1,269</w:t>
            </w:r>
          </w:p>
        </w:tc>
        <w:tc>
          <w:tcPr>
            <w:tcW w:w="0" w:type="auto"/>
            <w:tcBorders>
              <w:top w:val="nil"/>
              <w:left w:val="nil"/>
              <w:bottom w:val="single" w:sz="4" w:space="0" w:color="auto"/>
              <w:right w:val="single" w:sz="4" w:space="0" w:color="auto"/>
            </w:tcBorders>
            <w:shd w:val="clear" w:color="auto" w:fill="auto"/>
            <w:vAlign w:val="center"/>
            <w:hideMark/>
          </w:tcPr>
          <w:p w14:paraId="10882B58"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52F3805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28FA4B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BAE8D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75122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461D7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E41F2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8C610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7424E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CB8DBC9" w14:textId="77777777" w:rsidR="00572995" w:rsidRPr="00483EBE" w:rsidRDefault="00572995" w:rsidP="00E8324D">
            <w:pPr>
              <w:pStyle w:val="Tablas"/>
              <w:rPr>
                <w:sz w:val="12"/>
                <w:szCs w:val="12"/>
              </w:rPr>
            </w:pPr>
            <w:r w:rsidRPr="00483EBE">
              <w:rPr>
                <w:sz w:val="12"/>
                <w:szCs w:val="12"/>
              </w:rPr>
              <w:t> </w:t>
            </w:r>
          </w:p>
        </w:tc>
      </w:tr>
      <w:tr w:rsidR="00572995" w:rsidRPr="00483EBE" w14:paraId="104C5DB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68456C" w14:textId="77777777" w:rsidR="00572995" w:rsidRPr="00483EBE" w:rsidRDefault="00572995" w:rsidP="00E8324D">
            <w:pPr>
              <w:pStyle w:val="Tablas"/>
              <w:rPr>
                <w:sz w:val="12"/>
                <w:szCs w:val="12"/>
              </w:rPr>
            </w:pPr>
            <w:r w:rsidRPr="00483EBE">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4E3C1EF1"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737BF42A" w14:textId="77777777" w:rsidR="00572995" w:rsidRPr="00483EBE" w:rsidRDefault="00572995" w:rsidP="00E8324D">
            <w:pPr>
              <w:pStyle w:val="Tablas"/>
              <w:rPr>
                <w:sz w:val="12"/>
                <w:szCs w:val="12"/>
              </w:rPr>
            </w:pPr>
            <w:r w:rsidRPr="00483EBE">
              <w:rPr>
                <w:sz w:val="12"/>
                <w:szCs w:val="12"/>
              </w:rPr>
              <w:t>$8,408</w:t>
            </w:r>
          </w:p>
        </w:tc>
        <w:tc>
          <w:tcPr>
            <w:tcW w:w="0" w:type="auto"/>
            <w:tcBorders>
              <w:top w:val="nil"/>
              <w:left w:val="nil"/>
              <w:bottom w:val="single" w:sz="4" w:space="0" w:color="auto"/>
              <w:right w:val="single" w:sz="4" w:space="0" w:color="auto"/>
            </w:tcBorders>
            <w:shd w:val="clear" w:color="auto" w:fill="auto"/>
            <w:vAlign w:val="center"/>
            <w:hideMark/>
          </w:tcPr>
          <w:p w14:paraId="7552EFAF" w14:textId="77777777" w:rsidR="00572995" w:rsidRPr="00483EBE" w:rsidRDefault="00572995" w:rsidP="00E8324D">
            <w:pPr>
              <w:pStyle w:val="Tablas"/>
              <w:rPr>
                <w:sz w:val="12"/>
                <w:szCs w:val="12"/>
              </w:rPr>
            </w:pPr>
            <w:r w:rsidRPr="00483EBE">
              <w:rPr>
                <w:sz w:val="12"/>
                <w:szCs w:val="12"/>
              </w:rPr>
              <w:t>$1,201</w:t>
            </w:r>
          </w:p>
        </w:tc>
        <w:tc>
          <w:tcPr>
            <w:tcW w:w="0" w:type="auto"/>
            <w:tcBorders>
              <w:top w:val="nil"/>
              <w:left w:val="nil"/>
              <w:bottom w:val="single" w:sz="4" w:space="0" w:color="auto"/>
              <w:right w:val="single" w:sz="4" w:space="0" w:color="auto"/>
            </w:tcBorders>
            <w:shd w:val="clear" w:color="auto" w:fill="auto"/>
            <w:vAlign w:val="center"/>
            <w:hideMark/>
          </w:tcPr>
          <w:p w14:paraId="09C1F34E" w14:textId="77777777" w:rsidR="00572995" w:rsidRPr="00483EBE" w:rsidRDefault="00572995" w:rsidP="00E8324D">
            <w:pPr>
              <w:pStyle w:val="Tablas"/>
              <w:rPr>
                <w:sz w:val="12"/>
                <w:szCs w:val="12"/>
              </w:rPr>
            </w:pPr>
            <w:r w:rsidRPr="00483EBE">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709FAC0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896BD2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9E3D89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F8D4A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02BC3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FAA67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D167C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86B50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8DC8E51" w14:textId="77777777" w:rsidR="00572995" w:rsidRPr="00483EBE" w:rsidRDefault="00572995" w:rsidP="00E8324D">
            <w:pPr>
              <w:pStyle w:val="Tablas"/>
              <w:rPr>
                <w:sz w:val="12"/>
                <w:szCs w:val="12"/>
              </w:rPr>
            </w:pPr>
            <w:r w:rsidRPr="00483EBE">
              <w:rPr>
                <w:sz w:val="12"/>
                <w:szCs w:val="12"/>
              </w:rPr>
              <w:t> </w:t>
            </w:r>
          </w:p>
        </w:tc>
      </w:tr>
      <w:tr w:rsidR="00572995" w:rsidRPr="00483EBE" w14:paraId="0BB6440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B325D7" w14:textId="77777777" w:rsidR="00572995" w:rsidRPr="00483EBE" w:rsidRDefault="00572995" w:rsidP="00E8324D">
            <w:pPr>
              <w:pStyle w:val="Tablas"/>
              <w:rPr>
                <w:sz w:val="12"/>
                <w:szCs w:val="12"/>
              </w:rPr>
            </w:pPr>
            <w:r w:rsidRPr="00483EBE">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5FBFA170"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55A13AF3" w14:textId="77777777" w:rsidR="00572995" w:rsidRPr="00483EBE" w:rsidRDefault="00572995" w:rsidP="00E8324D">
            <w:pPr>
              <w:pStyle w:val="Tablas"/>
              <w:rPr>
                <w:sz w:val="12"/>
                <w:szCs w:val="12"/>
              </w:rPr>
            </w:pPr>
            <w:r w:rsidRPr="00483EBE">
              <w:rPr>
                <w:sz w:val="12"/>
                <w:szCs w:val="12"/>
              </w:rPr>
              <w:t>$7,107</w:t>
            </w:r>
          </w:p>
        </w:tc>
        <w:tc>
          <w:tcPr>
            <w:tcW w:w="0" w:type="auto"/>
            <w:tcBorders>
              <w:top w:val="nil"/>
              <w:left w:val="nil"/>
              <w:bottom w:val="single" w:sz="4" w:space="0" w:color="auto"/>
              <w:right w:val="single" w:sz="4" w:space="0" w:color="auto"/>
            </w:tcBorders>
            <w:shd w:val="clear" w:color="auto" w:fill="auto"/>
            <w:vAlign w:val="center"/>
            <w:hideMark/>
          </w:tcPr>
          <w:p w14:paraId="255F6062" w14:textId="77777777" w:rsidR="00572995" w:rsidRPr="00483EBE" w:rsidRDefault="00572995" w:rsidP="00E8324D">
            <w:pPr>
              <w:pStyle w:val="Tablas"/>
              <w:rPr>
                <w:sz w:val="12"/>
                <w:szCs w:val="12"/>
              </w:rPr>
            </w:pPr>
            <w:r w:rsidRPr="00483EBE">
              <w:rPr>
                <w:sz w:val="12"/>
                <w:szCs w:val="12"/>
              </w:rPr>
              <w:t>$1,421</w:t>
            </w:r>
          </w:p>
        </w:tc>
        <w:tc>
          <w:tcPr>
            <w:tcW w:w="0" w:type="auto"/>
            <w:tcBorders>
              <w:top w:val="nil"/>
              <w:left w:val="nil"/>
              <w:bottom w:val="single" w:sz="4" w:space="0" w:color="auto"/>
              <w:right w:val="single" w:sz="4" w:space="0" w:color="auto"/>
            </w:tcBorders>
            <w:shd w:val="clear" w:color="auto" w:fill="auto"/>
            <w:vAlign w:val="center"/>
            <w:hideMark/>
          </w:tcPr>
          <w:p w14:paraId="57015CDA" w14:textId="77777777" w:rsidR="00572995" w:rsidRPr="00483EBE" w:rsidRDefault="00572995" w:rsidP="00E8324D">
            <w:pPr>
              <w:pStyle w:val="Tablas"/>
              <w:rPr>
                <w:sz w:val="12"/>
                <w:szCs w:val="12"/>
              </w:rPr>
            </w:pPr>
            <w:r w:rsidRPr="00483EBE">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6A53FB72"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2E245F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DA2F0B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FA84F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CBA65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B90A5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CE379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379E7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DC6B90F" w14:textId="77777777" w:rsidR="00572995" w:rsidRPr="00483EBE" w:rsidRDefault="00572995" w:rsidP="00E8324D">
            <w:pPr>
              <w:pStyle w:val="Tablas"/>
              <w:rPr>
                <w:sz w:val="12"/>
                <w:szCs w:val="12"/>
              </w:rPr>
            </w:pPr>
            <w:r w:rsidRPr="00483EBE">
              <w:rPr>
                <w:sz w:val="12"/>
                <w:szCs w:val="12"/>
              </w:rPr>
              <w:t> </w:t>
            </w:r>
          </w:p>
        </w:tc>
      </w:tr>
      <w:tr w:rsidR="00572995" w:rsidRPr="00483EBE" w14:paraId="13C2FFB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A5C7045" w14:textId="77777777" w:rsidR="00572995" w:rsidRPr="00483EBE" w:rsidRDefault="00572995" w:rsidP="00E8324D">
            <w:pPr>
              <w:pStyle w:val="Tablas"/>
              <w:rPr>
                <w:sz w:val="12"/>
                <w:szCs w:val="12"/>
              </w:rPr>
            </w:pPr>
            <w:r w:rsidRPr="00483EBE">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774BFBF4"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90DA744" w14:textId="77777777" w:rsidR="00572995" w:rsidRPr="00483EBE" w:rsidRDefault="00572995" w:rsidP="00E8324D">
            <w:pPr>
              <w:pStyle w:val="Tablas"/>
              <w:rPr>
                <w:sz w:val="12"/>
                <w:szCs w:val="12"/>
              </w:rPr>
            </w:pPr>
            <w:r w:rsidRPr="00483EBE">
              <w:rPr>
                <w:sz w:val="12"/>
                <w:szCs w:val="12"/>
              </w:rPr>
              <w:t>$12,161</w:t>
            </w:r>
          </w:p>
        </w:tc>
        <w:tc>
          <w:tcPr>
            <w:tcW w:w="0" w:type="auto"/>
            <w:tcBorders>
              <w:top w:val="nil"/>
              <w:left w:val="nil"/>
              <w:bottom w:val="single" w:sz="4" w:space="0" w:color="auto"/>
              <w:right w:val="single" w:sz="4" w:space="0" w:color="auto"/>
            </w:tcBorders>
            <w:shd w:val="clear" w:color="auto" w:fill="auto"/>
            <w:vAlign w:val="center"/>
            <w:hideMark/>
          </w:tcPr>
          <w:p w14:paraId="5BD6BDA2" w14:textId="77777777" w:rsidR="00572995" w:rsidRPr="00483EBE" w:rsidRDefault="00572995" w:rsidP="00E8324D">
            <w:pPr>
              <w:pStyle w:val="Tablas"/>
              <w:rPr>
                <w:sz w:val="12"/>
                <w:szCs w:val="12"/>
              </w:rPr>
            </w:pPr>
            <w:r w:rsidRPr="00483EBE">
              <w:rPr>
                <w:sz w:val="12"/>
                <w:szCs w:val="12"/>
              </w:rPr>
              <w:t>$1,351</w:t>
            </w:r>
          </w:p>
        </w:tc>
        <w:tc>
          <w:tcPr>
            <w:tcW w:w="0" w:type="auto"/>
            <w:tcBorders>
              <w:top w:val="nil"/>
              <w:left w:val="nil"/>
              <w:bottom w:val="single" w:sz="4" w:space="0" w:color="auto"/>
              <w:right w:val="single" w:sz="4" w:space="0" w:color="auto"/>
            </w:tcBorders>
            <w:shd w:val="clear" w:color="auto" w:fill="auto"/>
            <w:vAlign w:val="center"/>
            <w:hideMark/>
          </w:tcPr>
          <w:p w14:paraId="5835D933" w14:textId="77777777" w:rsidR="00572995" w:rsidRPr="00483EBE" w:rsidRDefault="00572995" w:rsidP="00E8324D">
            <w:pPr>
              <w:pStyle w:val="Tablas"/>
              <w:rPr>
                <w:sz w:val="12"/>
                <w:szCs w:val="12"/>
              </w:rPr>
            </w:pPr>
            <w:r w:rsidRPr="00483EBE">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24DA623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8F6353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8644E0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1254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43C3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AFEA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C42B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B2C4E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7383E84" w14:textId="77777777" w:rsidR="00572995" w:rsidRPr="00483EBE" w:rsidRDefault="00572995" w:rsidP="00E8324D">
            <w:pPr>
              <w:pStyle w:val="Tablas"/>
              <w:rPr>
                <w:sz w:val="12"/>
                <w:szCs w:val="12"/>
              </w:rPr>
            </w:pPr>
            <w:r w:rsidRPr="00483EBE">
              <w:rPr>
                <w:sz w:val="12"/>
                <w:szCs w:val="12"/>
              </w:rPr>
              <w:t> </w:t>
            </w:r>
          </w:p>
        </w:tc>
      </w:tr>
      <w:tr w:rsidR="00572995" w:rsidRPr="00483EBE" w14:paraId="3E916B8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D88D9C" w14:textId="77777777" w:rsidR="00572995" w:rsidRPr="00483EBE" w:rsidRDefault="00572995" w:rsidP="00E8324D">
            <w:pPr>
              <w:pStyle w:val="Tablas"/>
              <w:rPr>
                <w:sz w:val="12"/>
                <w:szCs w:val="12"/>
              </w:rPr>
            </w:pPr>
            <w:r w:rsidRPr="00483EBE">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20BD5EC2"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1BE8FE16" w14:textId="77777777" w:rsidR="00572995" w:rsidRPr="00483EBE" w:rsidRDefault="00572995" w:rsidP="00E8324D">
            <w:pPr>
              <w:pStyle w:val="Tablas"/>
              <w:rPr>
                <w:sz w:val="12"/>
                <w:szCs w:val="12"/>
              </w:rPr>
            </w:pPr>
            <w:r w:rsidRPr="00483EBE">
              <w:rPr>
                <w:sz w:val="12"/>
                <w:szCs w:val="12"/>
              </w:rPr>
              <w:t>$17,347</w:t>
            </w:r>
          </w:p>
        </w:tc>
        <w:tc>
          <w:tcPr>
            <w:tcW w:w="0" w:type="auto"/>
            <w:tcBorders>
              <w:top w:val="nil"/>
              <w:left w:val="nil"/>
              <w:bottom w:val="single" w:sz="4" w:space="0" w:color="auto"/>
              <w:right w:val="single" w:sz="4" w:space="0" w:color="auto"/>
            </w:tcBorders>
            <w:shd w:val="clear" w:color="auto" w:fill="auto"/>
            <w:vAlign w:val="center"/>
            <w:hideMark/>
          </w:tcPr>
          <w:p w14:paraId="54686204" w14:textId="77777777" w:rsidR="00572995" w:rsidRPr="00483EBE" w:rsidRDefault="00572995" w:rsidP="00E8324D">
            <w:pPr>
              <w:pStyle w:val="Tablas"/>
              <w:rPr>
                <w:sz w:val="12"/>
                <w:szCs w:val="12"/>
              </w:rPr>
            </w:pPr>
            <w:r w:rsidRPr="00483EBE">
              <w:rPr>
                <w:sz w:val="12"/>
                <w:szCs w:val="12"/>
              </w:rPr>
              <w:t>$1,334</w:t>
            </w:r>
          </w:p>
        </w:tc>
        <w:tc>
          <w:tcPr>
            <w:tcW w:w="0" w:type="auto"/>
            <w:tcBorders>
              <w:top w:val="nil"/>
              <w:left w:val="nil"/>
              <w:bottom w:val="single" w:sz="4" w:space="0" w:color="auto"/>
              <w:right w:val="single" w:sz="4" w:space="0" w:color="auto"/>
            </w:tcBorders>
            <w:shd w:val="clear" w:color="auto" w:fill="auto"/>
            <w:vAlign w:val="center"/>
            <w:hideMark/>
          </w:tcPr>
          <w:p w14:paraId="43850CFE" w14:textId="77777777" w:rsidR="00572995" w:rsidRPr="00483EBE" w:rsidRDefault="00572995" w:rsidP="00E8324D">
            <w:pPr>
              <w:pStyle w:val="Tablas"/>
              <w:rPr>
                <w:sz w:val="12"/>
                <w:szCs w:val="12"/>
              </w:rPr>
            </w:pPr>
            <w:r w:rsidRPr="00483EBE">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6250486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CF7B43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C8D54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A9F87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AD4BD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4243F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35B5D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8ED16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4042878" w14:textId="77777777" w:rsidR="00572995" w:rsidRPr="00483EBE" w:rsidRDefault="00572995" w:rsidP="00E8324D">
            <w:pPr>
              <w:pStyle w:val="Tablas"/>
              <w:rPr>
                <w:sz w:val="12"/>
                <w:szCs w:val="12"/>
              </w:rPr>
            </w:pPr>
            <w:r w:rsidRPr="00483EBE">
              <w:rPr>
                <w:sz w:val="12"/>
                <w:szCs w:val="12"/>
              </w:rPr>
              <w:t> </w:t>
            </w:r>
          </w:p>
        </w:tc>
      </w:tr>
      <w:tr w:rsidR="00572995" w:rsidRPr="00483EBE" w14:paraId="5E65804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BD6A4AE"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24789F79"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428AACF7" w14:textId="77777777" w:rsidR="00572995" w:rsidRPr="00483EBE" w:rsidRDefault="00572995" w:rsidP="00E8324D">
            <w:pPr>
              <w:pStyle w:val="Tablas"/>
              <w:rPr>
                <w:sz w:val="12"/>
                <w:szCs w:val="12"/>
              </w:rPr>
            </w:pPr>
            <w:r w:rsidRPr="00483EBE">
              <w:rPr>
                <w:sz w:val="12"/>
                <w:szCs w:val="12"/>
              </w:rPr>
              <w:t>$28,307</w:t>
            </w:r>
          </w:p>
        </w:tc>
        <w:tc>
          <w:tcPr>
            <w:tcW w:w="0" w:type="auto"/>
            <w:tcBorders>
              <w:top w:val="nil"/>
              <w:left w:val="nil"/>
              <w:bottom w:val="single" w:sz="4" w:space="0" w:color="auto"/>
              <w:right w:val="single" w:sz="4" w:space="0" w:color="auto"/>
            </w:tcBorders>
            <w:shd w:val="clear" w:color="auto" w:fill="auto"/>
            <w:vAlign w:val="center"/>
            <w:hideMark/>
          </w:tcPr>
          <w:p w14:paraId="5D1A488F" w14:textId="77777777" w:rsidR="00572995" w:rsidRPr="00483EBE" w:rsidRDefault="00572995" w:rsidP="00E8324D">
            <w:pPr>
              <w:pStyle w:val="Tablas"/>
              <w:rPr>
                <w:sz w:val="12"/>
                <w:szCs w:val="12"/>
              </w:rPr>
            </w:pPr>
            <w:r w:rsidRPr="00483EBE">
              <w:rPr>
                <w:sz w:val="12"/>
                <w:szCs w:val="12"/>
              </w:rPr>
              <w:t>$1,287</w:t>
            </w:r>
          </w:p>
        </w:tc>
        <w:tc>
          <w:tcPr>
            <w:tcW w:w="0" w:type="auto"/>
            <w:tcBorders>
              <w:top w:val="nil"/>
              <w:left w:val="nil"/>
              <w:bottom w:val="single" w:sz="4" w:space="0" w:color="auto"/>
              <w:right w:val="single" w:sz="4" w:space="0" w:color="auto"/>
            </w:tcBorders>
            <w:shd w:val="clear" w:color="auto" w:fill="auto"/>
            <w:vAlign w:val="center"/>
            <w:hideMark/>
          </w:tcPr>
          <w:p w14:paraId="545E8511"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4923C55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C55ED6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782342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16C56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A0047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D73ED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92852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0A710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99FB166" w14:textId="77777777" w:rsidR="00572995" w:rsidRPr="00483EBE" w:rsidRDefault="00572995" w:rsidP="00E8324D">
            <w:pPr>
              <w:pStyle w:val="Tablas"/>
              <w:rPr>
                <w:sz w:val="12"/>
                <w:szCs w:val="12"/>
              </w:rPr>
            </w:pPr>
            <w:r w:rsidRPr="00483EBE">
              <w:rPr>
                <w:sz w:val="12"/>
                <w:szCs w:val="12"/>
              </w:rPr>
              <w:t> </w:t>
            </w:r>
          </w:p>
        </w:tc>
      </w:tr>
      <w:tr w:rsidR="00572995" w:rsidRPr="00483EBE" w14:paraId="2011924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6F7F98A" w14:textId="77777777" w:rsidR="00572995" w:rsidRPr="00483EBE" w:rsidRDefault="00572995" w:rsidP="00E8324D">
            <w:pPr>
              <w:pStyle w:val="Tablas"/>
              <w:rPr>
                <w:sz w:val="12"/>
                <w:szCs w:val="12"/>
              </w:rPr>
            </w:pPr>
            <w:r w:rsidRPr="00483EBE">
              <w:rPr>
                <w:sz w:val="12"/>
                <w:szCs w:val="12"/>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14:paraId="222D0EBB"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359AEF7B" w14:textId="77777777" w:rsidR="00572995" w:rsidRPr="00483EBE" w:rsidRDefault="00572995" w:rsidP="00E8324D">
            <w:pPr>
              <w:pStyle w:val="Tablas"/>
              <w:rPr>
                <w:sz w:val="12"/>
                <w:szCs w:val="12"/>
              </w:rPr>
            </w:pPr>
            <w:r w:rsidRPr="00483EBE">
              <w:rPr>
                <w:sz w:val="12"/>
                <w:szCs w:val="12"/>
              </w:rPr>
              <w:t>$21,463</w:t>
            </w:r>
          </w:p>
        </w:tc>
        <w:tc>
          <w:tcPr>
            <w:tcW w:w="0" w:type="auto"/>
            <w:tcBorders>
              <w:top w:val="nil"/>
              <w:left w:val="nil"/>
              <w:bottom w:val="single" w:sz="4" w:space="0" w:color="auto"/>
              <w:right w:val="single" w:sz="4" w:space="0" w:color="auto"/>
            </w:tcBorders>
            <w:shd w:val="clear" w:color="auto" w:fill="auto"/>
            <w:vAlign w:val="center"/>
            <w:hideMark/>
          </w:tcPr>
          <w:p w14:paraId="13E20978" w14:textId="77777777" w:rsidR="00572995" w:rsidRPr="00483EBE" w:rsidRDefault="00572995" w:rsidP="00E8324D">
            <w:pPr>
              <w:pStyle w:val="Tablas"/>
              <w:rPr>
                <w:sz w:val="12"/>
                <w:szCs w:val="12"/>
              </w:rPr>
            </w:pPr>
            <w:r w:rsidRPr="00483EBE">
              <w:rPr>
                <w:sz w:val="12"/>
                <w:szCs w:val="12"/>
              </w:rPr>
              <w:t>$1,341</w:t>
            </w:r>
          </w:p>
        </w:tc>
        <w:tc>
          <w:tcPr>
            <w:tcW w:w="0" w:type="auto"/>
            <w:tcBorders>
              <w:top w:val="nil"/>
              <w:left w:val="nil"/>
              <w:bottom w:val="single" w:sz="4" w:space="0" w:color="auto"/>
              <w:right w:val="single" w:sz="4" w:space="0" w:color="auto"/>
            </w:tcBorders>
            <w:shd w:val="clear" w:color="auto" w:fill="auto"/>
            <w:vAlign w:val="center"/>
            <w:hideMark/>
          </w:tcPr>
          <w:p w14:paraId="6191F484" w14:textId="77777777" w:rsidR="00572995" w:rsidRPr="00483EBE" w:rsidRDefault="00572995" w:rsidP="00E8324D">
            <w:pPr>
              <w:pStyle w:val="Tablas"/>
              <w:rPr>
                <w:sz w:val="12"/>
                <w:szCs w:val="12"/>
              </w:rPr>
            </w:pPr>
            <w:r w:rsidRPr="00483EBE">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375E677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BB2F45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B54F12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B4DB9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59B31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38FEE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98CE6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33D68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EB9FC51" w14:textId="77777777" w:rsidR="00572995" w:rsidRPr="00483EBE" w:rsidRDefault="00572995" w:rsidP="00E8324D">
            <w:pPr>
              <w:pStyle w:val="Tablas"/>
              <w:rPr>
                <w:sz w:val="12"/>
                <w:szCs w:val="12"/>
              </w:rPr>
            </w:pPr>
            <w:r w:rsidRPr="00483EBE">
              <w:rPr>
                <w:sz w:val="12"/>
                <w:szCs w:val="12"/>
              </w:rPr>
              <w:t> </w:t>
            </w:r>
          </w:p>
        </w:tc>
      </w:tr>
      <w:tr w:rsidR="00572995" w:rsidRPr="00483EBE" w14:paraId="4CA9002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24B7DB" w14:textId="77777777" w:rsidR="00572995" w:rsidRPr="00483EBE" w:rsidRDefault="00572995" w:rsidP="00E8324D">
            <w:pPr>
              <w:pStyle w:val="Tablas"/>
              <w:rPr>
                <w:sz w:val="12"/>
                <w:szCs w:val="12"/>
              </w:rPr>
            </w:pPr>
            <w:r w:rsidRPr="00483EBE">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64AE2A24" w14:textId="77777777" w:rsidR="00572995" w:rsidRPr="00483EBE" w:rsidRDefault="00572995" w:rsidP="00E8324D">
            <w:pPr>
              <w:pStyle w:val="Tablas"/>
              <w:rPr>
                <w:sz w:val="12"/>
                <w:szCs w:val="12"/>
              </w:rPr>
            </w:pPr>
            <w:r w:rsidRPr="00483EBE">
              <w:rPr>
                <w:sz w:val="12"/>
                <w:szCs w:val="12"/>
              </w:rPr>
              <w:t xml:space="preserve">18 </w:t>
            </w:r>
          </w:p>
        </w:tc>
        <w:tc>
          <w:tcPr>
            <w:tcW w:w="0" w:type="auto"/>
            <w:tcBorders>
              <w:top w:val="nil"/>
              <w:left w:val="nil"/>
              <w:bottom w:val="single" w:sz="4" w:space="0" w:color="auto"/>
              <w:right w:val="single" w:sz="4" w:space="0" w:color="auto"/>
            </w:tcBorders>
            <w:shd w:val="clear" w:color="auto" w:fill="auto"/>
            <w:vAlign w:val="center"/>
            <w:hideMark/>
          </w:tcPr>
          <w:p w14:paraId="0893A244" w14:textId="77777777" w:rsidR="00572995" w:rsidRPr="00483EBE" w:rsidRDefault="00572995" w:rsidP="00E8324D">
            <w:pPr>
              <w:pStyle w:val="Tablas"/>
              <w:rPr>
                <w:sz w:val="12"/>
                <w:szCs w:val="12"/>
              </w:rPr>
            </w:pPr>
            <w:r w:rsidRPr="00483EBE">
              <w:rPr>
                <w:sz w:val="12"/>
                <w:szCs w:val="12"/>
              </w:rPr>
              <w:t>$23,061</w:t>
            </w:r>
          </w:p>
        </w:tc>
        <w:tc>
          <w:tcPr>
            <w:tcW w:w="0" w:type="auto"/>
            <w:tcBorders>
              <w:top w:val="nil"/>
              <w:left w:val="nil"/>
              <w:bottom w:val="single" w:sz="4" w:space="0" w:color="auto"/>
              <w:right w:val="single" w:sz="4" w:space="0" w:color="auto"/>
            </w:tcBorders>
            <w:shd w:val="clear" w:color="auto" w:fill="auto"/>
            <w:vAlign w:val="center"/>
            <w:hideMark/>
          </w:tcPr>
          <w:p w14:paraId="22C4AF7F" w14:textId="77777777" w:rsidR="00572995" w:rsidRPr="00483EBE" w:rsidRDefault="00572995" w:rsidP="00E8324D">
            <w:pPr>
              <w:pStyle w:val="Tablas"/>
              <w:rPr>
                <w:sz w:val="12"/>
                <w:szCs w:val="12"/>
              </w:rPr>
            </w:pPr>
            <w:r w:rsidRPr="00483EBE">
              <w:rPr>
                <w:sz w:val="12"/>
                <w:szCs w:val="12"/>
              </w:rPr>
              <w:t>$1,281</w:t>
            </w:r>
          </w:p>
        </w:tc>
        <w:tc>
          <w:tcPr>
            <w:tcW w:w="0" w:type="auto"/>
            <w:tcBorders>
              <w:top w:val="nil"/>
              <w:left w:val="nil"/>
              <w:bottom w:val="single" w:sz="4" w:space="0" w:color="auto"/>
              <w:right w:val="single" w:sz="4" w:space="0" w:color="auto"/>
            </w:tcBorders>
            <w:shd w:val="clear" w:color="auto" w:fill="auto"/>
            <w:vAlign w:val="center"/>
            <w:hideMark/>
          </w:tcPr>
          <w:p w14:paraId="6E8D55BA"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3F1EC26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A157AD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160FC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68FDD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DE2CA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646BC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8741A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ED880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B88DD91" w14:textId="77777777" w:rsidR="00572995" w:rsidRPr="00483EBE" w:rsidRDefault="00572995" w:rsidP="00E8324D">
            <w:pPr>
              <w:pStyle w:val="Tablas"/>
              <w:rPr>
                <w:sz w:val="12"/>
                <w:szCs w:val="12"/>
              </w:rPr>
            </w:pPr>
            <w:r w:rsidRPr="00483EBE">
              <w:rPr>
                <w:sz w:val="12"/>
                <w:szCs w:val="12"/>
              </w:rPr>
              <w:t> </w:t>
            </w:r>
          </w:p>
        </w:tc>
      </w:tr>
      <w:tr w:rsidR="00572995" w:rsidRPr="00483EBE" w14:paraId="2480D5F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A76E6F4" w14:textId="77777777" w:rsidR="00572995" w:rsidRPr="00483EBE" w:rsidRDefault="00572995" w:rsidP="00E8324D">
            <w:pPr>
              <w:pStyle w:val="Tablas"/>
              <w:rPr>
                <w:sz w:val="12"/>
                <w:szCs w:val="12"/>
              </w:rPr>
            </w:pPr>
            <w:r w:rsidRPr="00483EBE">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0E86E6E0"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6853D6BF" w14:textId="77777777" w:rsidR="00572995" w:rsidRPr="00483EBE" w:rsidRDefault="00572995" w:rsidP="00E8324D">
            <w:pPr>
              <w:pStyle w:val="Tablas"/>
              <w:rPr>
                <w:sz w:val="12"/>
                <w:szCs w:val="12"/>
              </w:rPr>
            </w:pPr>
            <w:r w:rsidRPr="00483EBE">
              <w:rPr>
                <w:sz w:val="12"/>
                <w:szCs w:val="12"/>
              </w:rPr>
              <w:t>$10,538</w:t>
            </w:r>
          </w:p>
        </w:tc>
        <w:tc>
          <w:tcPr>
            <w:tcW w:w="0" w:type="auto"/>
            <w:tcBorders>
              <w:top w:val="nil"/>
              <w:left w:val="nil"/>
              <w:bottom w:val="single" w:sz="4" w:space="0" w:color="auto"/>
              <w:right w:val="single" w:sz="4" w:space="0" w:color="auto"/>
            </w:tcBorders>
            <w:shd w:val="clear" w:color="auto" w:fill="auto"/>
            <w:vAlign w:val="center"/>
            <w:hideMark/>
          </w:tcPr>
          <w:p w14:paraId="73624024" w14:textId="77777777" w:rsidR="00572995" w:rsidRPr="00483EBE" w:rsidRDefault="00572995" w:rsidP="00E8324D">
            <w:pPr>
              <w:pStyle w:val="Tablas"/>
              <w:rPr>
                <w:sz w:val="12"/>
                <w:szCs w:val="12"/>
              </w:rPr>
            </w:pPr>
            <w:r w:rsidRPr="00483EBE">
              <w:rPr>
                <w:sz w:val="12"/>
                <w:szCs w:val="12"/>
              </w:rPr>
              <w:t>$1,171</w:t>
            </w:r>
          </w:p>
        </w:tc>
        <w:tc>
          <w:tcPr>
            <w:tcW w:w="0" w:type="auto"/>
            <w:tcBorders>
              <w:top w:val="nil"/>
              <w:left w:val="nil"/>
              <w:bottom w:val="single" w:sz="4" w:space="0" w:color="auto"/>
              <w:right w:val="single" w:sz="4" w:space="0" w:color="auto"/>
            </w:tcBorders>
            <w:shd w:val="clear" w:color="auto" w:fill="auto"/>
            <w:vAlign w:val="center"/>
            <w:hideMark/>
          </w:tcPr>
          <w:p w14:paraId="1B438E5B" w14:textId="77777777" w:rsidR="00572995" w:rsidRPr="00483EBE" w:rsidRDefault="00572995" w:rsidP="00E8324D">
            <w:pPr>
              <w:pStyle w:val="Tablas"/>
              <w:rPr>
                <w:sz w:val="12"/>
                <w:szCs w:val="12"/>
              </w:rPr>
            </w:pPr>
            <w:r w:rsidRPr="00483EBE">
              <w:rPr>
                <w:sz w:val="12"/>
                <w:szCs w:val="12"/>
              </w:rPr>
              <w:t>$98</w:t>
            </w:r>
          </w:p>
        </w:tc>
        <w:tc>
          <w:tcPr>
            <w:tcW w:w="0" w:type="auto"/>
            <w:tcBorders>
              <w:top w:val="nil"/>
              <w:left w:val="nil"/>
              <w:bottom w:val="single" w:sz="4" w:space="0" w:color="auto"/>
              <w:right w:val="single" w:sz="4" w:space="0" w:color="auto"/>
            </w:tcBorders>
            <w:shd w:val="clear" w:color="auto" w:fill="auto"/>
            <w:vAlign w:val="center"/>
            <w:hideMark/>
          </w:tcPr>
          <w:p w14:paraId="09B8F47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1787C7B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0641D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1917C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B1B6A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B93F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D601F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17757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C034527" w14:textId="77777777" w:rsidR="00572995" w:rsidRPr="00483EBE" w:rsidRDefault="00572995" w:rsidP="00E8324D">
            <w:pPr>
              <w:pStyle w:val="Tablas"/>
              <w:rPr>
                <w:sz w:val="12"/>
                <w:szCs w:val="12"/>
              </w:rPr>
            </w:pPr>
            <w:r w:rsidRPr="00483EBE">
              <w:rPr>
                <w:sz w:val="12"/>
                <w:szCs w:val="12"/>
              </w:rPr>
              <w:t> </w:t>
            </w:r>
          </w:p>
        </w:tc>
      </w:tr>
      <w:tr w:rsidR="00572995" w:rsidRPr="00483EBE" w14:paraId="5A8C768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D9D4037"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14B575DE"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1077911B" w14:textId="77777777" w:rsidR="00572995" w:rsidRPr="00483EBE" w:rsidRDefault="00572995" w:rsidP="00E8324D">
            <w:pPr>
              <w:pStyle w:val="Tablas"/>
              <w:rPr>
                <w:sz w:val="12"/>
                <w:szCs w:val="12"/>
              </w:rPr>
            </w:pPr>
            <w:r w:rsidRPr="00483EBE">
              <w:rPr>
                <w:sz w:val="12"/>
                <w:szCs w:val="12"/>
              </w:rPr>
              <w:t>$26,572</w:t>
            </w:r>
          </w:p>
        </w:tc>
        <w:tc>
          <w:tcPr>
            <w:tcW w:w="0" w:type="auto"/>
            <w:tcBorders>
              <w:top w:val="nil"/>
              <w:left w:val="nil"/>
              <w:bottom w:val="single" w:sz="4" w:space="0" w:color="auto"/>
              <w:right w:val="single" w:sz="4" w:space="0" w:color="auto"/>
            </w:tcBorders>
            <w:shd w:val="clear" w:color="auto" w:fill="auto"/>
            <w:vAlign w:val="center"/>
            <w:hideMark/>
          </w:tcPr>
          <w:p w14:paraId="560668E9" w14:textId="77777777" w:rsidR="00572995" w:rsidRPr="00483EBE" w:rsidRDefault="00572995" w:rsidP="00E8324D">
            <w:pPr>
              <w:pStyle w:val="Tablas"/>
              <w:rPr>
                <w:sz w:val="12"/>
                <w:szCs w:val="12"/>
              </w:rPr>
            </w:pPr>
            <w:r w:rsidRPr="00483EBE">
              <w:rPr>
                <w:sz w:val="12"/>
                <w:szCs w:val="12"/>
              </w:rPr>
              <w:t>$1,265</w:t>
            </w:r>
          </w:p>
        </w:tc>
        <w:tc>
          <w:tcPr>
            <w:tcW w:w="0" w:type="auto"/>
            <w:tcBorders>
              <w:top w:val="nil"/>
              <w:left w:val="nil"/>
              <w:bottom w:val="single" w:sz="4" w:space="0" w:color="auto"/>
              <w:right w:val="single" w:sz="4" w:space="0" w:color="auto"/>
            </w:tcBorders>
            <w:shd w:val="clear" w:color="auto" w:fill="auto"/>
            <w:vAlign w:val="center"/>
            <w:hideMark/>
          </w:tcPr>
          <w:p w14:paraId="4EF3A403"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73E7DA1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0A747E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7E39C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7AEDA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FC8E5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EC811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1FE8C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32DDD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F751AA8" w14:textId="77777777" w:rsidR="00572995" w:rsidRPr="00483EBE" w:rsidRDefault="00572995" w:rsidP="00E8324D">
            <w:pPr>
              <w:pStyle w:val="Tablas"/>
              <w:rPr>
                <w:sz w:val="12"/>
                <w:szCs w:val="12"/>
              </w:rPr>
            </w:pPr>
            <w:r w:rsidRPr="00483EBE">
              <w:rPr>
                <w:sz w:val="12"/>
                <w:szCs w:val="12"/>
              </w:rPr>
              <w:t> </w:t>
            </w:r>
          </w:p>
        </w:tc>
      </w:tr>
      <w:tr w:rsidR="00572995" w:rsidRPr="00483EBE" w14:paraId="404D977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ACB8B1"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5236445A" w14:textId="77777777" w:rsidR="00572995" w:rsidRPr="00483EBE" w:rsidRDefault="00572995" w:rsidP="00E8324D">
            <w:pPr>
              <w:pStyle w:val="Tablas"/>
              <w:rPr>
                <w:sz w:val="12"/>
                <w:szCs w:val="12"/>
              </w:rPr>
            </w:pPr>
            <w:r w:rsidRPr="00483EBE">
              <w:rPr>
                <w:sz w:val="12"/>
                <w:szCs w:val="12"/>
              </w:rPr>
              <w:t xml:space="preserve">17 </w:t>
            </w:r>
          </w:p>
        </w:tc>
        <w:tc>
          <w:tcPr>
            <w:tcW w:w="0" w:type="auto"/>
            <w:tcBorders>
              <w:top w:val="nil"/>
              <w:left w:val="nil"/>
              <w:bottom w:val="single" w:sz="4" w:space="0" w:color="auto"/>
              <w:right w:val="single" w:sz="4" w:space="0" w:color="auto"/>
            </w:tcBorders>
            <w:shd w:val="clear" w:color="auto" w:fill="auto"/>
            <w:vAlign w:val="center"/>
            <w:hideMark/>
          </w:tcPr>
          <w:p w14:paraId="06E919AC" w14:textId="77777777" w:rsidR="00572995" w:rsidRPr="00483EBE" w:rsidRDefault="00572995" w:rsidP="00E8324D">
            <w:pPr>
              <w:pStyle w:val="Tablas"/>
              <w:rPr>
                <w:sz w:val="12"/>
                <w:szCs w:val="12"/>
              </w:rPr>
            </w:pPr>
            <w:r w:rsidRPr="00483EBE">
              <w:rPr>
                <w:sz w:val="12"/>
                <w:szCs w:val="12"/>
              </w:rPr>
              <w:t>$22,723</w:t>
            </w:r>
          </w:p>
        </w:tc>
        <w:tc>
          <w:tcPr>
            <w:tcW w:w="0" w:type="auto"/>
            <w:tcBorders>
              <w:top w:val="nil"/>
              <w:left w:val="nil"/>
              <w:bottom w:val="single" w:sz="4" w:space="0" w:color="auto"/>
              <w:right w:val="single" w:sz="4" w:space="0" w:color="auto"/>
            </w:tcBorders>
            <w:shd w:val="clear" w:color="auto" w:fill="auto"/>
            <w:vAlign w:val="center"/>
            <w:hideMark/>
          </w:tcPr>
          <w:p w14:paraId="378AA152" w14:textId="77777777" w:rsidR="00572995" w:rsidRPr="00483EBE" w:rsidRDefault="00572995" w:rsidP="00E8324D">
            <w:pPr>
              <w:pStyle w:val="Tablas"/>
              <w:rPr>
                <w:sz w:val="12"/>
                <w:szCs w:val="12"/>
              </w:rPr>
            </w:pPr>
            <w:r w:rsidRPr="00483EBE">
              <w:rPr>
                <w:sz w:val="12"/>
                <w:szCs w:val="12"/>
              </w:rPr>
              <w:t>$1,337</w:t>
            </w:r>
          </w:p>
        </w:tc>
        <w:tc>
          <w:tcPr>
            <w:tcW w:w="0" w:type="auto"/>
            <w:tcBorders>
              <w:top w:val="nil"/>
              <w:left w:val="nil"/>
              <w:bottom w:val="single" w:sz="4" w:space="0" w:color="auto"/>
              <w:right w:val="single" w:sz="4" w:space="0" w:color="auto"/>
            </w:tcBorders>
            <w:shd w:val="clear" w:color="auto" w:fill="auto"/>
            <w:vAlign w:val="center"/>
            <w:hideMark/>
          </w:tcPr>
          <w:p w14:paraId="5C5B855A" w14:textId="77777777" w:rsidR="00572995" w:rsidRPr="00483EBE" w:rsidRDefault="00572995" w:rsidP="00E8324D">
            <w:pPr>
              <w:pStyle w:val="Tablas"/>
              <w:rPr>
                <w:sz w:val="12"/>
                <w:szCs w:val="12"/>
              </w:rPr>
            </w:pPr>
            <w:r w:rsidRPr="00483EBE">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3E17C13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05CF81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9A61CE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B0FED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2CC43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6F2FB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85735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A79D5C"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44CC5CF" w14:textId="77777777" w:rsidR="00572995" w:rsidRPr="00483EBE" w:rsidRDefault="00572995" w:rsidP="00E8324D">
            <w:pPr>
              <w:pStyle w:val="Tablas"/>
              <w:rPr>
                <w:sz w:val="12"/>
                <w:szCs w:val="12"/>
              </w:rPr>
            </w:pPr>
            <w:r w:rsidRPr="00483EBE">
              <w:rPr>
                <w:sz w:val="12"/>
                <w:szCs w:val="12"/>
              </w:rPr>
              <w:t> </w:t>
            </w:r>
          </w:p>
        </w:tc>
      </w:tr>
      <w:tr w:rsidR="00572995" w:rsidRPr="00483EBE" w14:paraId="1D1739C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BB7FD5A" w14:textId="77777777" w:rsidR="00572995" w:rsidRPr="00483EBE" w:rsidRDefault="00572995" w:rsidP="00E8324D">
            <w:pPr>
              <w:pStyle w:val="Tablas"/>
              <w:rPr>
                <w:sz w:val="12"/>
                <w:szCs w:val="12"/>
              </w:rPr>
            </w:pPr>
            <w:r w:rsidRPr="00483EBE">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5C7F5915"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1C897058" w14:textId="77777777" w:rsidR="00572995" w:rsidRPr="00483EBE" w:rsidRDefault="00572995" w:rsidP="00E8324D">
            <w:pPr>
              <w:pStyle w:val="Tablas"/>
              <w:rPr>
                <w:sz w:val="12"/>
                <w:szCs w:val="12"/>
              </w:rPr>
            </w:pPr>
            <w:r w:rsidRPr="00483EBE">
              <w:rPr>
                <w:sz w:val="12"/>
                <w:szCs w:val="12"/>
              </w:rPr>
              <w:t>$15,867</w:t>
            </w:r>
          </w:p>
        </w:tc>
        <w:tc>
          <w:tcPr>
            <w:tcW w:w="0" w:type="auto"/>
            <w:tcBorders>
              <w:top w:val="nil"/>
              <w:left w:val="nil"/>
              <w:bottom w:val="single" w:sz="4" w:space="0" w:color="auto"/>
              <w:right w:val="single" w:sz="4" w:space="0" w:color="auto"/>
            </w:tcBorders>
            <w:shd w:val="clear" w:color="auto" w:fill="auto"/>
            <w:vAlign w:val="center"/>
            <w:hideMark/>
          </w:tcPr>
          <w:p w14:paraId="5FA7A128" w14:textId="77777777" w:rsidR="00572995" w:rsidRPr="00483EBE" w:rsidRDefault="00572995" w:rsidP="00E8324D">
            <w:pPr>
              <w:pStyle w:val="Tablas"/>
              <w:rPr>
                <w:sz w:val="12"/>
                <w:szCs w:val="12"/>
              </w:rPr>
            </w:pPr>
            <w:r w:rsidRPr="00483EBE">
              <w:rPr>
                <w:sz w:val="12"/>
                <w:szCs w:val="12"/>
              </w:rPr>
              <w:t>$1,322</w:t>
            </w:r>
          </w:p>
        </w:tc>
        <w:tc>
          <w:tcPr>
            <w:tcW w:w="0" w:type="auto"/>
            <w:tcBorders>
              <w:top w:val="nil"/>
              <w:left w:val="nil"/>
              <w:bottom w:val="single" w:sz="4" w:space="0" w:color="auto"/>
              <w:right w:val="single" w:sz="4" w:space="0" w:color="auto"/>
            </w:tcBorders>
            <w:shd w:val="clear" w:color="auto" w:fill="auto"/>
            <w:vAlign w:val="center"/>
            <w:hideMark/>
          </w:tcPr>
          <w:p w14:paraId="3CDE566B" w14:textId="77777777" w:rsidR="00572995" w:rsidRPr="00483EBE" w:rsidRDefault="00572995" w:rsidP="00E8324D">
            <w:pPr>
              <w:pStyle w:val="Tablas"/>
              <w:rPr>
                <w:sz w:val="12"/>
                <w:szCs w:val="12"/>
              </w:rPr>
            </w:pPr>
            <w:r w:rsidRPr="00483EBE">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38A62D6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A2781E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B0814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5D016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0C6AA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6410B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E0F41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022E5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8B89ACB" w14:textId="77777777" w:rsidR="00572995" w:rsidRPr="00483EBE" w:rsidRDefault="00572995" w:rsidP="00E8324D">
            <w:pPr>
              <w:pStyle w:val="Tablas"/>
              <w:rPr>
                <w:sz w:val="12"/>
                <w:szCs w:val="12"/>
              </w:rPr>
            </w:pPr>
            <w:r w:rsidRPr="00483EBE">
              <w:rPr>
                <w:sz w:val="12"/>
                <w:szCs w:val="12"/>
              </w:rPr>
              <w:t> </w:t>
            </w:r>
          </w:p>
        </w:tc>
      </w:tr>
      <w:tr w:rsidR="00572995" w:rsidRPr="00483EBE" w14:paraId="5905E14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F0FA36A"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35FCEE7A"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43559769" w14:textId="77777777" w:rsidR="00572995" w:rsidRPr="00483EBE" w:rsidRDefault="00572995" w:rsidP="00E8324D">
            <w:pPr>
              <w:pStyle w:val="Tablas"/>
              <w:rPr>
                <w:sz w:val="12"/>
                <w:szCs w:val="12"/>
              </w:rPr>
            </w:pPr>
            <w:r w:rsidRPr="00483EBE">
              <w:rPr>
                <w:sz w:val="12"/>
                <w:szCs w:val="12"/>
              </w:rPr>
              <w:t>$15,890</w:t>
            </w:r>
          </w:p>
        </w:tc>
        <w:tc>
          <w:tcPr>
            <w:tcW w:w="0" w:type="auto"/>
            <w:tcBorders>
              <w:top w:val="nil"/>
              <w:left w:val="nil"/>
              <w:bottom w:val="single" w:sz="4" w:space="0" w:color="auto"/>
              <w:right w:val="single" w:sz="4" w:space="0" w:color="auto"/>
            </w:tcBorders>
            <w:shd w:val="clear" w:color="auto" w:fill="auto"/>
            <w:vAlign w:val="center"/>
            <w:hideMark/>
          </w:tcPr>
          <w:p w14:paraId="459E6FDC" w14:textId="77777777" w:rsidR="00572995" w:rsidRPr="00483EBE" w:rsidRDefault="00572995" w:rsidP="00E8324D">
            <w:pPr>
              <w:pStyle w:val="Tablas"/>
              <w:rPr>
                <w:sz w:val="12"/>
                <w:szCs w:val="12"/>
              </w:rPr>
            </w:pPr>
            <w:r w:rsidRPr="00483EBE">
              <w:rPr>
                <w:sz w:val="12"/>
                <w:szCs w:val="12"/>
              </w:rPr>
              <w:t>$1,222</w:t>
            </w:r>
          </w:p>
        </w:tc>
        <w:tc>
          <w:tcPr>
            <w:tcW w:w="0" w:type="auto"/>
            <w:tcBorders>
              <w:top w:val="nil"/>
              <w:left w:val="nil"/>
              <w:bottom w:val="single" w:sz="4" w:space="0" w:color="auto"/>
              <w:right w:val="single" w:sz="4" w:space="0" w:color="auto"/>
            </w:tcBorders>
            <w:shd w:val="clear" w:color="auto" w:fill="auto"/>
            <w:vAlign w:val="center"/>
            <w:hideMark/>
          </w:tcPr>
          <w:p w14:paraId="6A362728"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3A891A6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8C59D7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03751E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4DB2B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CD8E8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E2143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2EFBF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84300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F346B51" w14:textId="77777777" w:rsidR="00572995" w:rsidRPr="00483EBE" w:rsidRDefault="00572995" w:rsidP="00E8324D">
            <w:pPr>
              <w:pStyle w:val="Tablas"/>
              <w:rPr>
                <w:sz w:val="12"/>
                <w:szCs w:val="12"/>
              </w:rPr>
            </w:pPr>
            <w:r w:rsidRPr="00483EBE">
              <w:rPr>
                <w:sz w:val="12"/>
                <w:szCs w:val="12"/>
              </w:rPr>
              <w:t> </w:t>
            </w:r>
          </w:p>
        </w:tc>
      </w:tr>
      <w:tr w:rsidR="00572995" w:rsidRPr="00483EBE" w14:paraId="39DFCE3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1A085B6"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163668F1"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4064A684" w14:textId="77777777" w:rsidR="00572995" w:rsidRPr="00483EBE" w:rsidRDefault="00572995" w:rsidP="00E8324D">
            <w:pPr>
              <w:pStyle w:val="Tablas"/>
              <w:rPr>
                <w:sz w:val="12"/>
                <w:szCs w:val="12"/>
              </w:rPr>
            </w:pPr>
            <w:r w:rsidRPr="00483EBE">
              <w:rPr>
                <w:sz w:val="12"/>
                <w:szCs w:val="12"/>
              </w:rPr>
              <w:t>$9,224</w:t>
            </w:r>
          </w:p>
        </w:tc>
        <w:tc>
          <w:tcPr>
            <w:tcW w:w="0" w:type="auto"/>
            <w:tcBorders>
              <w:top w:val="nil"/>
              <w:left w:val="nil"/>
              <w:bottom w:val="single" w:sz="4" w:space="0" w:color="auto"/>
              <w:right w:val="single" w:sz="4" w:space="0" w:color="auto"/>
            </w:tcBorders>
            <w:shd w:val="clear" w:color="auto" w:fill="auto"/>
            <w:vAlign w:val="center"/>
            <w:hideMark/>
          </w:tcPr>
          <w:p w14:paraId="7054DBEF" w14:textId="77777777" w:rsidR="00572995" w:rsidRPr="00483EBE" w:rsidRDefault="00572995" w:rsidP="00E8324D">
            <w:pPr>
              <w:pStyle w:val="Tablas"/>
              <w:rPr>
                <w:sz w:val="12"/>
                <w:szCs w:val="12"/>
              </w:rPr>
            </w:pPr>
            <w:r w:rsidRPr="00483EBE">
              <w:rPr>
                <w:sz w:val="12"/>
                <w:szCs w:val="12"/>
              </w:rPr>
              <w:t>$1,537</w:t>
            </w:r>
          </w:p>
        </w:tc>
        <w:tc>
          <w:tcPr>
            <w:tcW w:w="0" w:type="auto"/>
            <w:tcBorders>
              <w:top w:val="nil"/>
              <w:left w:val="nil"/>
              <w:bottom w:val="single" w:sz="4" w:space="0" w:color="auto"/>
              <w:right w:val="single" w:sz="4" w:space="0" w:color="auto"/>
            </w:tcBorders>
            <w:shd w:val="clear" w:color="auto" w:fill="auto"/>
            <w:vAlign w:val="center"/>
            <w:hideMark/>
          </w:tcPr>
          <w:p w14:paraId="028652B2" w14:textId="77777777" w:rsidR="00572995" w:rsidRPr="00483EBE" w:rsidRDefault="00572995" w:rsidP="00E8324D">
            <w:pPr>
              <w:pStyle w:val="Tablas"/>
              <w:rPr>
                <w:sz w:val="12"/>
                <w:szCs w:val="12"/>
              </w:rPr>
            </w:pPr>
            <w:r w:rsidRPr="00483EBE">
              <w:rPr>
                <w:sz w:val="12"/>
                <w:szCs w:val="12"/>
              </w:rPr>
              <w:t>$128</w:t>
            </w:r>
          </w:p>
        </w:tc>
        <w:tc>
          <w:tcPr>
            <w:tcW w:w="0" w:type="auto"/>
            <w:tcBorders>
              <w:top w:val="nil"/>
              <w:left w:val="nil"/>
              <w:bottom w:val="single" w:sz="4" w:space="0" w:color="auto"/>
              <w:right w:val="single" w:sz="4" w:space="0" w:color="auto"/>
            </w:tcBorders>
            <w:shd w:val="clear" w:color="auto" w:fill="auto"/>
            <w:vAlign w:val="center"/>
            <w:hideMark/>
          </w:tcPr>
          <w:p w14:paraId="761F154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1815CB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ACE509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F76E1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47B7F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69FE8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56AC4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1B155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30DF795" w14:textId="77777777" w:rsidR="00572995" w:rsidRPr="00483EBE" w:rsidRDefault="00572995" w:rsidP="00E8324D">
            <w:pPr>
              <w:pStyle w:val="Tablas"/>
              <w:rPr>
                <w:sz w:val="12"/>
                <w:szCs w:val="12"/>
              </w:rPr>
            </w:pPr>
            <w:r w:rsidRPr="00483EBE">
              <w:rPr>
                <w:sz w:val="12"/>
                <w:szCs w:val="12"/>
              </w:rPr>
              <w:t> </w:t>
            </w:r>
          </w:p>
        </w:tc>
      </w:tr>
      <w:tr w:rsidR="00572995" w:rsidRPr="00483EBE" w14:paraId="5817D19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9F711EF" w14:textId="77777777" w:rsidR="00572995" w:rsidRPr="00483EBE" w:rsidRDefault="00572995" w:rsidP="00E8324D">
            <w:pPr>
              <w:pStyle w:val="Tablas"/>
              <w:rPr>
                <w:sz w:val="12"/>
                <w:szCs w:val="12"/>
              </w:rPr>
            </w:pPr>
            <w:r w:rsidRPr="00483EBE">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7677E49F"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708AB00E" w14:textId="77777777" w:rsidR="00572995" w:rsidRPr="00483EBE" w:rsidRDefault="00572995" w:rsidP="00E8324D">
            <w:pPr>
              <w:pStyle w:val="Tablas"/>
              <w:rPr>
                <w:sz w:val="12"/>
                <w:szCs w:val="12"/>
              </w:rPr>
            </w:pPr>
            <w:r w:rsidRPr="00483EBE">
              <w:rPr>
                <w:sz w:val="12"/>
                <w:szCs w:val="12"/>
              </w:rPr>
              <w:t>$12,768</w:t>
            </w:r>
          </w:p>
        </w:tc>
        <w:tc>
          <w:tcPr>
            <w:tcW w:w="0" w:type="auto"/>
            <w:tcBorders>
              <w:top w:val="nil"/>
              <w:left w:val="nil"/>
              <w:bottom w:val="single" w:sz="4" w:space="0" w:color="auto"/>
              <w:right w:val="single" w:sz="4" w:space="0" w:color="auto"/>
            </w:tcBorders>
            <w:shd w:val="clear" w:color="auto" w:fill="auto"/>
            <w:vAlign w:val="center"/>
            <w:hideMark/>
          </w:tcPr>
          <w:p w14:paraId="1390F283" w14:textId="77777777" w:rsidR="00572995" w:rsidRPr="00483EBE" w:rsidRDefault="00572995" w:rsidP="00E8324D">
            <w:pPr>
              <w:pStyle w:val="Tablas"/>
              <w:rPr>
                <w:sz w:val="12"/>
                <w:szCs w:val="12"/>
              </w:rPr>
            </w:pPr>
            <w:r w:rsidRPr="00483EBE">
              <w:rPr>
                <w:sz w:val="12"/>
                <w:szCs w:val="12"/>
              </w:rPr>
              <w:t>$1,277</w:t>
            </w:r>
          </w:p>
        </w:tc>
        <w:tc>
          <w:tcPr>
            <w:tcW w:w="0" w:type="auto"/>
            <w:tcBorders>
              <w:top w:val="nil"/>
              <w:left w:val="nil"/>
              <w:bottom w:val="single" w:sz="4" w:space="0" w:color="auto"/>
              <w:right w:val="single" w:sz="4" w:space="0" w:color="auto"/>
            </w:tcBorders>
            <w:shd w:val="clear" w:color="auto" w:fill="auto"/>
            <w:vAlign w:val="center"/>
            <w:hideMark/>
          </w:tcPr>
          <w:p w14:paraId="3AB454F2"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332B9B1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AE9664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063A2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F14A5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BD246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2B2E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90D65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7BE31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FC372CD" w14:textId="77777777" w:rsidR="00572995" w:rsidRPr="00483EBE" w:rsidRDefault="00572995" w:rsidP="00E8324D">
            <w:pPr>
              <w:pStyle w:val="Tablas"/>
              <w:rPr>
                <w:sz w:val="12"/>
                <w:szCs w:val="12"/>
              </w:rPr>
            </w:pPr>
            <w:r w:rsidRPr="00483EBE">
              <w:rPr>
                <w:sz w:val="12"/>
                <w:szCs w:val="12"/>
              </w:rPr>
              <w:t> </w:t>
            </w:r>
          </w:p>
        </w:tc>
      </w:tr>
      <w:tr w:rsidR="00572995" w:rsidRPr="00483EBE" w14:paraId="106FAD0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D0E474" w14:textId="77777777" w:rsidR="00572995" w:rsidRPr="00483EBE" w:rsidRDefault="00572995" w:rsidP="00E8324D">
            <w:pPr>
              <w:pStyle w:val="Tablas"/>
              <w:rPr>
                <w:sz w:val="12"/>
                <w:szCs w:val="12"/>
              </w:rPr>
            </w:pPr>
            <w:r w:rsidRPr="00483EBE">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7CD8F201"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9C91596" w14:textId="77777777" w:rsidR="00572995" w:rsidRPr="00483EBE" w:rsidRDefault="00572995" w:rsidP="00E8324D">
            <w:pPr>
              <w:pStyle w:val="Tablas"/>
              <w:rPr>
                <w:sz w:val="12"/>
                <w:szCs w:val="12"/>
              </w:rPr>
            </w:pPr>
            <w:r w:rsidRPr="00483EBE">
              <w:rPr>
                <w:sz w:val="12"/>
                <w:szCs w:val="12"/>
              </w:rPr>
              <w:t>$8,792</w:t>
            </w:r>
          </w:p>
        </w:tc>
        <w:tc>
          <w:tcPr>
            <w:tcW w:w="0" w:type="auto"/>
            <w:tcBorders>
              <w:top w:val="nil"/>
              <w:left w:val="nil"/>
              <w:bottom w:val="single" w:sz="4" w:space="0" w:color="auto"/>
              <w:right w:val="single" w:sz="4" w:space="0" w:color="auto"/>
            </w:tcBorders>
            <w:shd w:val="clear" w:color="auto" w:fill="auto"/>
            <w:vAlign w:val="center"/>
            <w:hideMark/>
          </w:tcPr>
          <w:p w14:paraId="224DF3D6" w14:textId="77777777" w:rsidR="00572995" w:rsidRPr="00483EBE" w:rsidRDefault="00572995" w:rsidP="00E8324D">
            <w:pPr>
              <w:pStyle w:val="Tablas"/>
              <w:rPr>
                <w:sz w:val="12"/>
                <w:szCs w:val="12"/>
              </w:rPr>
            </w:pPr>
            <w:r w:rsidRPr="00483EBE">
              <w:rPr>
                <w:sz w:val="12"/>
                <w:szCs w:val="12"/>
              </w:rPr>
              <w:t>$1,256</w:t>
            </w:r>
          </w:p>
        </w:tc>
        <w:tc>
          <w:tcPr>
            <w:tcW w:w="0" w:type="auto"/>
            <w:tcBorders>
              <w:top w:val="nil"/>
              <w:left w:val="nil"/>
              <w:bottom w:val="single" w:sz="4" w:space="0" w:color="auto"/>
              <w:right w:val="single" w:sz="4" w:space="0" w:color="auto"/>
            </w:tcBorders>
            <w:shd w:val="clear" w:color="auto" w:fill="auto"/>
            <w:vAlign w:val="center"/>
            <w:hideMark/>
          </w:tcPr>
          <w:p w14:paraId="23901224" w14:textId="77777777" w:rsidR="00572995" w:rsidRPr="00483EBE" w:rsidRDefault="00572995" w:rsidP="00E8324D">
            <w:pPr>
              <w:pStyle w:val="Tablas"/>
              <w:rPr>
                <w:sz w:val="12"/>
                <w:szCs w:val="12"/>
              </w:rPr>
            </w:pPr>
            <w:r w:rsidRPr="00483EBE">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6914A7CC"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8762A3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83DF8B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7B469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4F0A7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5105E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5CD2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149DA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BF1A5BA" w14:textId="77777777" w:rsidR="00572995" w:rsidRPr="00483EBE" w:rsidRDefault="00572995" w:rsidP="00E8324D">
            <w:pPr>
              <w:pStyle w:val="Tablas"/>
              <w:rPr>
                <w:sz w:val="12"/>
                <w:szCs w:val="12"/>
              </w:rPr>
            </w:pPr>
            <w:r w:rsidRPr="00483EBE">
              <w:rPr>
                <w:sz w:val="12"/>
                <w:szCs w:val="12"/>
              </w:rPr>
              <w:t> </w:t>
            </w:r>
          </w:p>
        </w:tc>
      </w:tr>
      <w:tr w:rsidR="00572995" w:rsidRPr="00483EBE" w14:paraId="46DB77E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74DEB4B"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7348587C"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9778EC0" w14:textId="77777777" w:rsidR="00572995" w:rsidRPr="00483EBE" w:rsidRDefault="00572995" w:rsidP="00E8324D">
            <w:pPr>
              <w:pStyle w:val="Tablas"/>
              <w:rPr>
                <w:sz w:val="12"/>
                <w:szCs w:val="12"/>
              </w:rPr>
            </w:pPr>
            <w:r w:rsidRPr="00483EBE">
              <w:rPr>
                <w:sz w:val="12"/>
                <w:szCs w:val="12"/>
              </w:rPr>
              <w:t>$8,900</w:t>
            </w:r>
          </w:p>
        </w:tc>
        <w:tc>
          <w:tcPr>
            <w:tcW w:w="0" w:type="auto"/>
            <w:tcBorders>
              <w:top w:val="nil"/>
              <w:left w:val="nil"/>
              <w:bottom w:val="single" w:sz="4" w:space="0" w:color="auto"/>
              <w:right w:val="single" w:sz="4" w:space="0" w:color="auto"/>
            </w:tcBorders>
            <w:shd w:val="clear" w:color="auto" w:fill="auto"/>
            <w:vAlign w:val="center"/>
            <w:hideMark/>
          </w:tcPr>
          <w:p w14:paraId="3AAC1F69" w14:textId="77777777" w:rsidR="00572995" w:rsidRPr="00483EBE" w:rsidRDefault="00572995" w:rsidP="00E8324D">
            <w:pPr>
              <w:pStyle w:val="Tablas"/>
              <w:rPr>
                <w:sz w:val="12"/>
                <w:szCs w:val="12"/>
              </w:rPr>
            </w:pPr>
            <w:r w:rsidRPr="00483EBE">
              <w:rPr>
                <w:sz w:val="12"/>
                <w:szCs w:val="12"/>
              </w:rPr>
              <w:t>$1,271</w:t>
            </w:r>
          </w:p>
        </w:tc>
        <w:tc>
          <w:tcPr>
            <w:tcW w:w="0" w:type="auto"/>
            <w:tcBorders>
              <w:top w:val="nil"/>
              <w:left w:val="nil"/>
              <w:bottom w:val="single" w:sz="4" w:space="0" w:color="auto"/>
              <w:right w:val="single" w:sz="4" w:space="0" w:color="auto"/>
            </w:tcBorders>
            <w:shd w:val="clear" w:color="auto" w:fill="auto"/>
            <w:vAlign w:val="center"/>
            <w:hideMark/>
          </w:tcPr>
          <w:p w14:paraId="783DD9CE"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77D9ABC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4A0839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E5AAB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D2635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39603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2DCC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F896B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BA954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1FD20AD" w14:textId="77777777" w:rsidR="00572995" w:rsidRPr="00483EBE" w:rsidRDefault="00572995" w:rsidP="00E8324D">
            <w:pPr>
              <w:pStyle w:val="Tablas"/>
              <w:rPr>
                <w:sz w:val="12"/>
                <w:szCs w:val="12"/>
              </w:rPr>
            </w:pPr>
            <w:r w:rsidRPr="00483EBE">
              <w:rPr>
                <w:sz w:val="12"/>
                <w:szCs w:val="12"/>
              </w:rPr>
              <w:t> </w:t>
            </w:r>
          </w:p>
        </w:tc>
      </w:tr>
      <w:tr w:rsidR="00572995" w:rsidRPr="00483EBE" w14:paraId="4A07FC8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9461DD"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137B3FEB"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A4FCBBF" w14:textId="77777777" w:rsidR="00572995" w:rsidRPr="00483EBE" w:rsidRDefault="00572995" w:rsidP="00E8324D">
            <w:pPr>
              <w:pStyle w:val="Tablas"/>
              <w:rPr>
                <w:sz w:val="12"/>
                <w:szCs w:val="12"/>
              </w:rPr>
            </w:pPr>
            <w:r w:rsidRPr="00483EBE">
              <w:rPr>
                <w:sz w:val="12"/>
                <w:szCs w:val="12"/>
              </w:rPr>
              <w:t>$6,053</w:t>
            </w:r>
          </w:p>
        </w:tc>
        <w:tc>
          <w:tcPr>
            <w:tcW w:w="0" w:type="auto"/>
            <w:tcBorders>
              <w:top w:val="nil"/>
              <w:left w:val="nil"/>
              <w:bottom w:val="single" w:sz="4" w:space="0" w:color="auto"/>
              <w:right w:val="single" w:sz="4" w:space="0" w:color="auto"/>
            </w:tcBorders>
            <w:shd w:val="clear" w:color="auto" w:fill="auto"/>
            <w:vAlign w:val="center"/>
            <w:hideMark/>
          </w:tcPr>
          <w:p w14:paraId="62485320" w14:textId="77777777" w:rsidR="00572995" w:rsidRPr="00483EBE" w:rsidRDefault="00572995" w:rsidP="00E8324D">
            <w:pPr>
              <w:pStyle w:val="Tablas"/>
              <w:rPr>
                <w:sz w:val="12"/>
                <w:szCs w:val="12"/>
              </w:rPr>
            </w:pPr>
            <w:r w:rsidRPr="00483EBE">
              <w:rPr>
                <w:sz w:val="12"/>
                <w:szCs w:val="12"/>
              </w:rPr>
              <w:t>$1,211</w:t>
            </w:r>
          </w:p>
        </w:tc>
        <w:tc>
          <w:tcPr>
            <w:tcW w:w="0" w:type="auto"/>
            <w:tcBorders>
              <w:top w:val="nil"/>
              <w:left w:val="nil"/>
              <w:bottom w:val="single" w:sz="4" w:space="0" w:color="auto"/>
              <w:right w:val="single" w:sz="4" w:space="0" w:color="auto"/>
            </w:tcBorders>
            <w:shd w:val="clear" w:color="auto" w:fill="auto"/>
            <w:vAlign w:val="center"/>
            <w:hideMark/>
          </w:tcPr>
          <w:p w14:paraId="0BA9CC78"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0C15C2E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9E2F14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5031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981CD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97A32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5BAFD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76AC2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B7C34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2CAD2DB" w14:textId="77777777" w:rsidR="00572995" w:rsidRPr="00483EBE" w:rsidRDefault="00572995" w:rsidP="00E8324D">
            <w:pPr>
              <w:pStyle w:val="Tablas"/>
              <w:rPr>
                <w:sz w:val="12"/>
                <w:szCs w:val="12"/>
              </w:rPr>
            </w:pPr>
            <w:r w:rsidRPr="00483EBE">
              <w:rPr>
                <w:sz w:val="12"/>
                <w:szCs w:val="12"/>
              </w:rPr>
              <w:t> </w:t>
            </w:r>
          </w:p>
        </w:tc>
      </w:tr>
      <w:tr w:rsidR="00572995" w:rsidRPr="00483EBE" w14:paraId="6B93F9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6F2F71"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577BD39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447079DB" w14:textId="77777777" w:rsidR="00572995" w:rsidRPr="00483EBE" w:rsidRDefault="00572995" w:rsidP="00E8324D">
            <w:pPr>
              <w:pStyle w:val="Tablas"/>
              <w:rPr>
                <w:sz w:val="12"/>
                <w:szCs w:val="12"/>
              </w:rPr>
            </w:pPr>
            <w:r w:rsidRPr="00483EBE">
              <w:rPr>
                <w:sz w:val="12"/>
                <w:szCs w:val="12"/>
              </w:rPr>
              <w:t>$9,025</w:t>
            </w:r>
          </w:p>
        </w:tc>
        <w:tc>
          <w:tcPr>
            <w:tcW w:w="0" w:type="auto"/>
            <w:tcBorders>
              <w:top w:val="nil"/>
              <w:left w:val="nil"/>
              <w:bottom w:val="single" w:sz="4" w:space="0" w:color="auto"/>
              <w:right w:val="single" w:sz="4" w:space="0" w:color="auto"/>
            </w:tcBorders>
            <w:shd w:val="clear" w:color="auto" w:fill="auto"/>
            <w:vAlign w:val="center"/>
            <w:hideMark/>
          </w:tcPr>
          <w:p w14:paraId="29FF9D07" w14:textId="77777777" w:rsidR="00572995" w:rsidRPr="00483EBE" w:rsidRDefault="00572995" w:rsidP="00E8324D">
            <w:pPr>
              <w:pStyle w:val="Tablas"/>
              <w:rPr>
                <w:sz w:val="12"/>
                <w:szCs w:val="12"/>
              </w:rPr>
            </w:pPr>
            <w:r w:rsidRPr="00483EBE">
              <w:rPr>
                <w:sz w:val="12"/>
                <w:szCs w:val="12"/>
              </w:rPr>
              <w:t>$1,289</w:t>
            </w:r>
          </w:p>
        </w:tc>
        <w:tc>
          <w:tcPr>
            <w:tcW w:w="0" w:type="auto"/>
            <w:tcBorders>
              <w:top w:val="nil"/>
              <w:left w:val="nil"/>
              <w:bottom w:val="single" w:sz="4" w:space="0" w:color="auto"/>
              <w:right w:val="single" w:sz="4" w:space="0" w:color="auto"/>
            </w:tcBorders>
            <w:shd w:val="clear" w:color="auto" w:fill="auto"/>
            <w:vAlign w:val="center"/>
            <w:hideMark/>
          </w:tcPr>
          <w:p w14:paraId="4E37E08C" w14:textId="77777777" w:rsidR="00572995" w:rsidRPr="00483EBE" w:rsidRDefault="00572995" w:rsidP="00E8324D">
            <w:pPr>
              <w:pStyle w:val="Tablas"/>
              <w:rPr>
                <w:sz w:val="12"/>
                <w:szCs w:val="12"/>
              </w:rPr>
            </w:pPr>
            <w:r w:rsidRPr="00483EBE">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50AE2DE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522F47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9705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2898A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74CB4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A66A3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464FB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6E24F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C8CAB49" w14:textId="77777777" w:rsidR="00572995" w:rsidRPr="00483EBE" w:rsidRDefault="00572995" w:rsidP="00E8324D">
            <w:pPr>
              <w:pStyle w:val="Tablas"/>
              <w:rPr>
                <w:sz w:val="12"/>
                <w:szCs w:val="12"/>
              </w:rPr>
            </w:pPr>
            <w:r w:rsidRPr="00483EBE">
              <w:rPr>
                <w:sz w:val="12"/>
                <w:szCs w:val="12"/>
              </w:rPr>
              <w:t> </w:t>
            </w:r>
          </w:p>
        </w:tc>
      </w:tr>
      <w:tr w:rsidR="00572995" w:rsidRPr="00483EBE" w14:paraId="0B4CF2D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6C50511"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6F602554"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568504A5" w14:textId="77777777" w:rsidR="00572995" w:rsidRPr="00483EBE" w:rsidRDefault="00572995" w:rsidP="00E8324D">
            <w:pPr>
              <w:pStyle w:val="Tablas"/>
              <w:rPr>
                <w:sz w:val="12"/>
                <w:szCs w:val="12"/>
              </w:rPr>
            </w:pPr>
            <w:r w:rsidRPr="00483EBE">
              <w:rPr>
                <w:sz w:val="12"/>
                <w:szCs w:val="12"/>
              </w:rPr>
              <w:t>$10,962</w:t>
            </w:r>
          </w:p>
        </w:tc>
        <w:tc>
          <w:tcPr>
            <w:tcW w:w="0" w:type="auto"/>
            <w:tcBorders>
              <w:top w:val="nil"/>
              <w:left w:val="nil"/>
              <w:bottom w:val="single" w:sz="4" w:space="0" w:color="auto"/>
              <w:right w:val="single" w:sz="4" w:space="0" w:color="auto"/>
            </w:tcBorders>
            <w:shd w:val="clear" w:color="auto" w:fill="auto"/>
            <w:vAlign w:val="center"/>
            <w:hideMark/>
          </w:tcPr>
          <w:p w14:paraId="481014F8" w14:textId="77777777" w:rsidR="00572995" w:rsidRPr="00483EBE" w:rsidRDefault="00572995" w:rsidP="00E8324D">
            <w:pPr>
              <w:pStyle w:val="Tablas"/>
              <w:rPr>
                <w:sz w:val="12"/>
                <w:szCs w:val="12"/>
              </w:rPr>
            </w:pPr>
            <w:r w:rsidRPr="00483EBE">
              <w:rPr>
                <w:sz w:val="12"/>
                <w:szCs w:val="12"/>
              </w:rPr>
              <w:t>$1,370</w:t>
            </w:r>
          </w:p>
        </w:tc>
        <w:tc>
          <w:tcPr>
            <w:tcW w:w="0" w:type="auto"/>
            <w:tcBorders>
              <w:top w:val="nil"/>
              <w:left w:val="nil"/>
              <w:bottom w:val="single" w:sz="4" w:space="0" w:color="auto"/>
              <w:right w:val="single" w:sz="4" w:space="0" w:color="auto"/>
            </w:tcBorders>
            <w:shd w:val="clear" w:color="auto" w:fill="auto"/>
            <w:vAlign w:val="center"/>
            <w:hideMark/>
          </w:tcPr>
          <w:p w14:paraId="2C013E91" w14:textId="77777777" w:rsidR="00572995" w:rsidRPr="00483EBE" w:rsidRDefault="00572995" w:rsidP="00E8324D">
            <w:pPr>
              <w:pStyle w:val="Tablas"/>
              <w:rPr>
                <w:sz w:val="12"/>
                <w:szCs w:val="12"/>
              </w:rPr>
            </w:pPr>
            <w:r w:rsidRPr="00483EBE">
              <w:rPr>
                <w:sz w:val="12"/>
                <w:szCs w:val="12"/>
              </w:rPr>
              <w:t>$114</w:t>
            </w:r>
          </w:p>
        </w:tc>
        <w:tc>
          <w:tcPr>
            <w:tcW w:w="0" w:type="auto"/>
            <w:tcBorders>
              <w:top w:val="nil"/>
              <w:left w:val="nil"/>
              <w:bottom w:val="single" w:sz="4" w:space="0" w:color="auto"/>
              <w:right w:val="single" w:sz="4" w:space="0" w:color="auto"/>
            </w:tcBorders>
            <w:shd w:val="clear" w:color="auto" w:fill="auto"/>
            <w:vAlign w:val="center"/>
            <w:hideMark/>
          </w:tcPr>
          <w:p w14:paraId="46CA1DA9"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2E0C63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42031E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2808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E265F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6E6B4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16659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45750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CA6851A" w14:textId="77777777" w:rsidR="00572995" w:rsidRPr="00483EBE" w:rsidRDefault="00572995" w:rsidP="00E8324D">
            <w:pPr>
              <w:pStyle w:val="Tablas"/>
              <w:rPr>
                <w:sz w:val="12"/>
                <w:szCs w:val="12"/>
              </w:rPr>
            </w:pPr>
            <w:r w:rsidRPr="00483EBE">
              <w:rPr>
                <w:sz w:val="12"/>
                <w:szCs w:val="12"/>
              </w:rPr>
              <w:t> </w:t>
            </w:r>
          </w:p>
        </w:tc>
      </w:tr>
      <w:tr w:rsidR="00572995" w:rsidRPr="00483EBE" w14:paraId="50AA198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20CE505"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63BAAC28"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0B6B7558" w14:textId="77777777" w:rsidR="00572995" w:rsidRPr="00483EBE" w:rsidRDefault="00572995" w:rsidP="00E8324D">
            <w:pPr>
              <w:pStyle w:val="Tablas"/>
              <w:rPr>
                <w:sz w:val="12"/>
                <w:szCs w:val="12"/>
              </w:rPr>
            </w:pPr>
            <w:r w:rsidRPr="00483EBE">
              <w:rPr>
                <w:sz w:val="12"/>
                <w:szCs w:val="12"/>
              </w:rPr>
              <w:t>$6,363</w:t>
            </w:r>
          </w:p>
        </w:tc>
        <w:tc>
          <w:tcPr>
            <w:tcW w:w="0" w:type="auto"/>
            <w:tcBorders>
              <w:top w:val="nil"/>
              <w:left w:val="nil"/>
              <w:bottom w:val="single" w:sz="4" w:space="0" w:color="auto"/>
              <w:right w:val="single" w:sz="4" w:space="0" w:color="auto"/>
            </w:tcBorders>
            <w:shd w:val="clear" w:color="auto" w:fill="auto"/>
            <w:vAlign w:val="center"/>
            <w:hideMark/>
          </w:tcPr>
          <w:p w14:paraId="34815948" w14:textId="77777777" w:rsidR="00572995" w:rsidRPr="00483EBE" w:rsidRDefault="00572995" w:rsidP="00E8324D">
            <w:pPr>
              <w:pStyle w:val="Tablas"/>
              <w:rPr>
                <w:sz w:val="12"/>
                <w:szCs w:val="12"/>
              </w:rPr>
            </w:pPr>
            <w:r w:rsidRPr="00483EBE">
              <w:rPr>
                <w:sz w:val="12"/>
                <w:szCs w:val="12"/>
              </w:rPr>
              <w:t>$1,273</w:t>
            </w:r>
          </w:p>
        </w:tc>
        <w:tc>
          <w:tcPr>
            <w:tcW w:w="0" w:type="auto"/>
            <w:tcBorders>
              <w:top w:val="nil"/>
              <w:left w:val="nil"/>
              <w:bottom w:val="single" w:sz="4" w:space="0" w:color="auto"/>
              <w:right w:val="single" w:sz="4" w:space="0" w:color="auto"/>
            </w:tcBorders>
            <w:shd w:val="clear" w:color="auto" w:fill="auto"/>
            <w:vAlign w:val="center"/>
            <w:hideMark/>
          </w:tcPr>
          <w:p w14:paraId="614AEE5B"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12A6F2A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9B8939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03D3C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E0B97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38A05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6CF33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BB603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680D8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8DAE5AF" w14:textId="77777777" w:rsidR="00572995" w:rsidRPr="00483EBE" w:rsidRDefault="00572995" w:rsidP="00E8324D">
            <w:pPr>
              <w:pStyle w:val="Tablas"/>
              <w:rPr>
                <w:sz w:val="12"/>
                <w:szCs w:val="12"/>
              </w:rPr>
            </w:pPr>
            <w:r w:rsidRPr="00483EBE">
              <w:rPr>
                <w:sz w:val="12"/>
                <w:szCs w:val="12"/>
              </w:rPr>
              <w:t> </w:t>
            </w:r>
          </w:p>
        </w:tc>
      </w:tr>
      <w:tr w:rsidR="00572995" w:rsidRPr="00483EBE" w14:paraId="1000197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8A33228"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17C7ECA5"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BCE2DB0" w14:textId="77777777" w:rsidR="00572995" w:rsidRPr="00483EBE" w:rsidRDefault="00572995" w:rsidP="00E8324D">
            <w:pPr>
              <w:pStyle w:val="Tablas"/>
              <w:rPr>
                <w:sz w:val="12"/>
                <w:szCs w:val="12"/>
              </w:rPr>
            </w:pPr>
            <w:r w:rsidRPr="00483EBE">
              <w:rPr>
                <w:sz w:val="12"/>
                <w:szCs w:val="12"/>
              </w:rPr>
              <w:t>$5,697</w:t>
            </w:r>
          </w:p>
        </w:tc>
        <w:tc>
          <w:tcPr>
            <w:tcW w:w="0" w:type="auto"/>
            <w:tcBorders>
              <w:top w:val="nil"/>
              <w:left w:val="nil"/>
              <w:bottom w:val="single" w:sz="4" w:space="0" w:color="auto"/>
              <w:right w:val="single" w:sz="4" w:space="0" w:color="auto"/>
            </w:tcBorders>
            <w:shd w:val="clear" w:color="auto" w:fill="auto"/>
            <w:vAlign w:val="center"/>
            <w:hideMark/>
          </w:tcPr>
          <w:p w14:paraId="5FBB982B" w14:textId="77777777" w:rsidR="00572995" w:rsidRPr="00483EBE" w:rsidRDefault="00572995" w:rsidP="00E8324D">
            <w:pPr>
              <w:pStyle w:val="Tablas"/>
              <w:rPr>
                <w:sz w:val="12"/>
                <w:szCs w:val="12"/>
              </w:rPr>
            </w:pPr>
            <w:r w:rsidRPr="00483EBE">
              <w:rPr>
                <w:sz w:val="12"/>
                <w:szCs w:val="12"/>
              </w:rPr>
              <w:t>$1,424</w:t>
            </w:r>
          </w:p>
        </w:tc>
        <w:tc>
          <w:tcPr>
            <w:tcW w:w="0" w:type="auto"/>
            <w:tcBorders>
              <w:top w:val="nil"/>
              <w:left w:val="nil"/>
              <w:bottom w:val="single" w:sz="4" w:space="0" w:color="auto"/>
              <w:right w:val="single" w:sz="4" w:space="0" w:color="auto"/>
            </w:tcBorders>
            <w:shd w:val="clear" w:color="auto" w:fill="auto"/>
            <w:vAlign w:val="center"/>
            <w:hideMark/>
          </w:tcPr>
          <w:p w14:paraId="3AC9A4BB" w14:textId="77777777" w:rsidR="00572995" w:rsidRPr="00483EBE" w:rsidRDefault="00572995" w:rsidP="00E8324D">
            <w:pPr>
              <w:pStyle w:val="Tablas"/>
              <w:rPr>
                <w:sz w:val="12"/>
                <w:szCs w:val="12"/>
              </w:rPr>
            </w:pPr>
            <w:r w:rsidRPr="00483EBE">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64C15E1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94489F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6E16F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72A3D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055BB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9C037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3F09B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6363C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4F89886" w14:textId="77777777" w:rsidR="00572995" w:rsidRPr="00483EBE" w:rsidRDefault="00572995" w:rsidP="00E8324D">
            <w:pPr>
              <w:pStyle w:val="Tablas"/>
              <w:rPr>
                <w:sz w:val="12"/>
                <w:szCs w:val="12"/>
              </w:rPr>
            </w:pPr>
            <w:r w:rsidRPr="00483EBE">
              <w:rPr>
                <w:sz w:val="12"/>
                <w:szCs w:val="12"/>
              </w:rPr>
              <w:t> </w:t>
            </w:r>
          </w:p>
        </w:tc>
      </w:tr>
      <w:tr w:rsidR="00572995" w:rsidRPr="00483EBE" w14:paraId="18EB9CB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EDE647D"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64C20353"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020660FF" w14:textId="77777777" w:rsidR="00572995" w:rsidRPr="00483EBE" w:rsidRDefault="00572995" w:rsidP="00E8324D">
            <w:pPr>
              <w:pStyle w:val="Tablas"/>
              <w:rPr>
                <w:sz w:val="12"/>
                <w:szCs w:val="12"/>
              </w:rPr>
            </w:pPr>
            <w:r w:rsidRPr="00483EBE">
              <w:rPr>
                <w:sz w:val="12"/>
                <w:szCs w:val="12"/>
              </w:rPr>
              <w:t>$3,985</w:t>
            </w:r>
          </w:p>
        </w:tc>
        <w:tc>
          <w:tcPr>
            <w:tcW w:w="0" w:type="auto"/>
            <w:tcBorders>
              <w:top w:val="nil"/>
              <w:left w:val="nil"/>
              <w:bottom w:val="single" w:sz="4" w:space="0" w:color="auto"/>
              <w:right w:val="single" w:sz="4" w:space="0" w:color="auto"/>
            </w:tcBorders>
            <w:shd w:val="clear" w:color="auto" w:fill="auto"/>
            <w:vAlign w:val="center"/>
            <w:hideMark/>
          </w:tcPr>
          <w:p w14:paraId="49C3C1F2" w14:textId="77777777" w:rsidR="00572995" w:rsidRPr="00483EBE" w:rsidRDefault="00572995" w:rsidP="00E8324D">
            <w:pPr>
              <w:pStyle w:val="Tablas"/>
              <w:rPr>
                <w:sz w:val="12"/>
                <w:szCs w:val="12"/>
              </w:rPr>
            </w:pPr>
            <w:r w:rsidRPr="00483EBE">
              <w:rPr>
                <w:sz w:val="12"/>
                <w:szCs w:val="12"/>
              </w:rPr>
              <w:t>$996</w:t>
            </w:r>
          </w:p>
        </w:tc>
        <w:tc>
          <w:tcPr>
            <w:tcW w:w="0" w:type="auto"/>
            <w:tcBorders>
              <w:top w:val="nil"/>
              <w:left w:val="nil"/>
              <w:bottom w:val="single" w:sz="4" w:space="0" w:color="auto"/>
              <w:right w:val="single" w:sz="4" w:space="0" w:color="auto"/>
            </w:tcBorders>
            <w:shd w:val="clear" w:color="auto" w:fill="auto"/>
            <w:vAlign w:val="center"/>
            <w:hideMark/>
          </w:tcPr>
          <w:p w14:paraId="75F43A4E"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356DA79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AC2287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96247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01793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931AB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7527D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85330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034C9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49D12EC" w14:textId="77777777" w:rsidR="00572995" w:rsidRPr="00483EBE" w:rsidRDefault="00572995" w:rsidP="00E8324D">
            <w:pPr>
              <w:pStyle w:val="Tablas"/>
              <w:rPr>
                <w:sz w:val="12"/>
                <w:szCs w:val="12"/>
              </w:rPr>
            </w:pPr>
            <w:r w:rsidRPr="00483EBE">
              <w:rPr>
                <w:sz w:val="12"/>
                <w:szCs w:val="12"/>
              </w:rPr>
              <w:t> </w:t>
            </w:r>
          </w:p>
        </w:tc>
      </w:tr>
      <w:tr w:rsidR="00572995" w:rsidRPr="00483EBE" w14:paraId="090E0EC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1E7B5B4"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51328E1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1B81B7B6" w14:textId="77777777" w:rsidR="00572995" w:rsidRPr="00483EBE" w:rsidRDefault="00572995" w:rsidP="00E8324D">
            <w:pPr>
              <w:pStyle w:val="Tablas"/>
              <w:rPr>
                <w:sz w:val="12"/>
                <w:szCs w:val="12"/>
              </w:rPr>
            </w:pPr>
            <w:r w:rsidRPr="00483EBE">
              <w:rPr>
                <w:sz w:val="12"/>
                <w:szCs w:val="12"/>
              </w:rPr>
              <w:t>$3,696</w:t>
            </w:r>
          </w:p>
        </w:tc>
        <w:tc>
          <w:tcPr>
            <w:tcW w:w="0" w:type="auto"/>
            <w:tcBorders>
              <w:top w:val="nil"/>
              <w:left w:val="nil"/>
              <w:bottom w:val="single" w:sz="4" w:space="0" w:color="auto"/>
              <w:right w:val="single" w:sz="4" w:space="0" w:color="auto"/>
            </w:tcBorders>
            <w:shd w:val="clear" w:color="auto" w:fill="auto"/>
            <w:vAlign w:val="center"/>
            <w:hideMark/>
          </w:tcPr>
          <w:p w14:paraId="5A71932A" w14:textId="77777777" w:rsidR="00572995" w:rsidRPr="00483EBE" w:rsidRDefault="00572995" w:rsidP="00E8324D">
            <w:pPr>
              <w:pStyle w:val="Tablas"/>
              <w:rPr>
                <w:sz w:val="12"/>
                <w:szCs w:val="12"/>
              </w:rPr>
            </w:pPr>
            <w:r w:rsidRPr="00483EBE">
              <w:rPr>
                <w:sz w:val="12"/>
                <w:szCs w:val="12"/>
              </w:rPr>
              <w:t>$924</w:t>
            </w:r>
          </w:p>
        </w:tc>
        <w:tc>
          <w:tcPr>
            <w:tcW w:w="0" w:type="auto"/>
            <w:tcBorders>
              <w:top w:val="nil"/>
              <w:left w:val="nil"/>
              <w:bottom w:val="single" w:sz="4" w:space="0" w:color="auto"/>
              <w:right w:val="single" w:sz="4" w:space="0" w:color="auto"/>
            </w:tcBorders>
            <w:shd w:val="clear" w:color="auto" w:fill="auto"/>
            <w:vAlign w:val="center"/>
            <w:hideMark/>
          </w:tcPr>
          <w:p w14:paraId="52278820"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519E139B"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863154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34E55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4F278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AD2A1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353E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AB958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9464D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2EE3FB1" w14:textId="77777777" w:rsidR="00572995" w:rsidRPr="00483EBE" w:rsidRDefault="00572995" w:rsidP="00E8324D">
            <w:pPr>
              <w:pStyle w:val="Tablas"/>
              <w:rPr>
                <w:sz w:val="12"/>
                <w:szCs w:val="12"/>
              </w:rPr>
            </w:pPr>
            <w:r w:rsidRPr="00483EBE">
              <w:rPr>
                <w:sz w:val="12"/>
                <w:szCs w:val="12"/>
              </w:rPr>
              <w:t> </w:t>
            </w:r>
          </w:p>
        </w:tc>
      </w:tr>
      <w:tr w:rsidR="00572995" w:rsidRPr="00483EBE" w14:paraId="7562B01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B594826"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2B31CD90" w14:textId="77777777" w:rsidR="00572995" w:rsidRPr="00483EBE" w:rsidRDefault="00572995" w:rsidP="00E8324D">
            <w:pPr>
              <w:pStyle w:val="Tablas"/>
              <w:rPr>
                <w:sz w:val="12"/>
                <w:szCs w:val="12"/>
              </w:rPr>
            </w:pPr>
            <w:r w:rsidRPr="00483EBE">
              <w:rPr>
                <w:sz w:val="12"/>
                <w:szCs w:val="12"/>
              </w:rPr>
              <w:t xml:space="preserve">8 </w:t>
            </w:r>
          </w:p>
        </w:tc>
        <w:tc>
          <w:tcPr>
            <w:tcW w:w="0" w:type="auto"/>
            <w:tcBorders>
              <w:top w:val="nil"/>
              <w:left w:val="nil"/>
              <w:bottom w:val="single" w:sz="4" w:space="0" w:color="auto"/>
              <w:right w:val="single" w:sz="4" w:space="0" w:color="auto"/>
            </w:tcBorders>
            <w:shd w:val="clear" w:color="auto" w:fill="auto"/>
            <w:vAlign w:val="center"/>
            <w:hideMark/>
          </w:tcPr>
          <w:p w14:paraId="30A7C9EE" w14:textId="77777777" w:rsidR="00572995" w:rsidRPr="00483EBE" w:rsidRDefault="00572995" w:rsidP="00E8324D">
            <w:pPr>
              <w:pStyle w:val="Tablas"/>
              <w:rPr>
                <w:sz w:val="12"/>
                <w:szCs w:val="12"/>
              </w:rPr>
            </w:pPr>
            <w:r w:rsidRPr="00483EBE">
              <w:rPr>
                <w:sz w:val="12"/>
                <w:szCs w:val="12"/>
              </w:rPr>
              <w:t>$8,914</w:t>
            </w:r>
          </w:p>
        </w:tc>
        <w:tc>
          <w:tcPr>
            <w:tcW w:w="0" w:type="auto"/>
            <w:tcBorders>
              <w:top w:val="nil"/>
              <w:left w:val="nil"/>
              <w:bottom w:val="single" w:sz="4" w:space="0" w:color="auto"/>
              <w:right w:val="single" w:sz="4" w:space="0" w:color="auto"/>
            </w:tcBorders>
            <w:shd w:val="clear" w:color="auto" w:fill="auto"/>
            <w:vAlign w:val="center"/>
            <w:hideMark/>
          </w:tcPr>
          <w:p w14:paraId="2FFA8747" w14:textId="77777777" w:rsidR="00572995" w:rsidRPr="00483EBE" w:rsidRDefault="00572995" w:rsidP="00E8324D">
            <w:pPr>
              <w:pStyle w:val="Tablas"/>
              <w:rPr>
                <w:sz w:val="12"/>
                <w:szCs w:val="12"/>
              </w:rPr>
            </w:pPr>
            <w:r w:rsidRPr="00483EBE">
              <w:rPr>
                <w:sz w:val="12"/>
                <w:szCs w:val="12"/>
              </w:rPr>
              <w:t>$1,114</w:t>
            </w:r>
          </w:p>
        </w:tc>
        <w:tc>
          <w:tcPr>
            <w:tcW w:w="0" w:type="auto"/>
            <w:tcBorders>
              <w:top w:val="nil"/>
              <w:left w:val="nil"/>
              <w:bottom w:val="single" w:sz="4" w:space="0" w:color="auto"/>
              <w:right w:val="single" w:sz="4" w:space="0" w:color="auto"/>
            </w:tcBorders>
            <w:shd w:val="clear" w:color="auto" w:fill="auto"/>
            <w:vAlign w:val="center"/>
            <w:hideMark/>
          </w:tcPr>
          <w:p w14:paraId="39248423"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48EE084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EC09CA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E45AA9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AE8ED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A9BCA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B7D6A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B35A3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984EF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E19230F" w14:textId="77777777" w:rsidR="00572995" w:rsidRPr="00483EBE" w:rsidRDefault="00572995" w:rsidP="00E8324D">
            <w:pPr>
              <w:pStyle w:val="Tablas"/>
              <w:rPr>
                <w:sz w:val="12"/>
                <w:szCs w:val="12"/>
              </w:rPr>
            </w:pPr>
            <w:r w:rsidRPr="00483EBE">
              <w:rPr>
                <w:sz w:val="12"/>
                <w:szCs w:val="12"/>
              </w:rPr>
              <w:t> </w:t>
            </w:r>
          </w:p>
        </w:tc>
      </w:tr>
      <w:tr w:rsidR="00572995" w:rsidRPr="00483EBE" w14:paraId="29FA340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609702A"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1320DBFE"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EA465DA" w14:textId="77777777" w:rsidR="00572995" w:rsidRPr="00483EBE" w:rsidRDefault="00572995" w:rsidP="00E8324D">
            <w:pPr>
              <w:pStyle w:val="Tablas"/>
              <w:rPr>
                <w:sz w:val="12"/>
                <w:szCs w:val="12"/>
              </w:rPr>
            </w:pPr>
            <w:r w:rsidRPr="00483EBE">
              <w:rPr>
                <w:sz w:val="12"/>
                <w:szCs w:val="12"/>
              </w:rPr>
              <w:t>$3,832</w:t>
            </w:r>
          </w:p>
        </w:tc>
        <w:tc>
          <w:tcPr>
            <w:tcW w:w="0" w:type="auto"/>
            <w:tcBorders>
              <w:top w:val="nil"/>
              <w:left w:val="nil"/>
              <w:bottom w:val="single" w:sz="4" w:space="0" w:color="auto"/>
              <w:right w:val="single" w:sz="4" w:space="0" w:color="auto"/>
            </w:tcBorders>
            <w:shd w:val="clear" w:color="auto" w:fill="auto"/>
            <w:vAlign w:val="center"/>
            <w:hideMark/>
          </w:tcPr>
          <w:p w14:paraId="33E46072" w14:textId="77777777" w:rsidR="00572995" w:rsidRPr="00483EBE" w:rsidRDefault="00572995" w:rsidP="00E8324D">
            <w:pPr>
              <w:pStyle w:val="Tablas"/>
              <w:rPr>
                <w:sz w:val="12"/>
                <w:szCs w:val="12"/>
              </w:rPr>
            </w:pPr>
            <w:r w:rsidRPr="00483EBE">
              <w:rPr>
                <w:sz w:val="12"/>
                <w:szCs w:val="12"/>
              </w:rPr>
              <w:t>$1,277</w:t>
            </w:r>
          </w:p>
        </w:tc>
        <w:tc>
          <w:tcPr>
            <w:tcW w:w="0" w:type="auto"/>
            <w:tcBorders>
              <w:top w:val="nil"/>
              <w:left w:val="nil"/>
              <w:bottom w:val="single" w:sz="4" w:space="0" w:color="auto"/>
              <w:right w:val="single" w:sz="4" w:space="0" w:color="auto"/>
            </w:tcBorders>
            <w:shd w:val="clear" w:color="auto" w:fill="auto"/>
            <w:vAlign w:val="center"/>
            <w:hideMark/>
          </w:tcPr>
          <w:p w14:paraId="5B54BFD1" w14:textId="77777777" w:rsidR="00572995" w:rsidRPr="00483EBE" w:rsidRDefault="00572995" w:rsidP="00E8324D">
            <w:pPr>
              <w:pStyle w:val="Tablas"/>
              <w:rPr>
                <w:sz w:val="12"/>
                <w:szCs w:val="12"/>
              </w:rPr>
            </w:pPr>
            <w:r w:rsidRPr="00483EBE">
              <w:rPr>
                <w:sz w:val="12"/>
                <w:szCs w:val="12"/>
              </w:rPr>
              <w:t>$106</w:t>
            </w:r>
          </w:p>
        </w:tc>
        <w:tc>
          <w:tcPr>
            <w:tcW w:w="0" w:type="auto"/>
            <w:tcBorders>
              <w:top w:val="nil"/>
              <w:left w:val="nil"/>
              <w:bottom w:val="single" w:sz="4" w:space="0" w:color="auto"/>
              <w:right w:val="single" w:sz="4" w:space="0" w:color="auto"/>
            </w:tcBorders>
            <w:shd w:val="clear" w:color="auto" w:fill="auto"/>
            <w:vAlign w:val="center"/>
            <w:hideMark/>
          </w:tcPr>
          <w:p w14:paraId="5D4F9CE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2440E6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EA861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275BC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F7B97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9275C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BD16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180A1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8485539" w14:textId="77777777" w:rsidR="00572995" w:rsidRPr="00483EBE" w:rsidRDefault="00572995" w:rsidP="00E8324D">
            <w:pPr>
              <w:pStyle w:val="Tablas"/>
              <w:rPr>
                <w:sz w:val="12"/>
                <w:szCs w:val="12"/>
              </w:rPr>
            </w:pPr>
            <w:r w:rsidRPr="00483EBE">
              <w:rPr>
                <w:sz w:val="12"/>
                <w:szCs w:val="12"/>
              </w:rPr>
              <w:t> </w:t>
            </w:r>
          </w:p>
        </w:tc>
      </w:tr>
      <w:tr w:rsidR="00572995" w:rsidRPr="00483EBE" w14:paraId="3626AB3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EAA3BCA"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63C4B961"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D08A7F7" w14:textId="77777777" w:rsidR="00572995" w:rsidRPr="00483EBE" w:rsidRDefault="00572995" w:rsidP="00E8324D">
            <w:pPr>
              <w:pStyle w:val="Tablas"/>
              <w:rPr>
                <w:sz w:val="12"/>
                <w:szCs w:val="12"/>
              </w:rPr>
            </w:pPr>
            <w:r w:rsidRPr="00483EBE">
              <w:rPr>
                <w:sz w:val="12"/>
                <w:szCs w:val="12"/>
              </w:rPr>
              <w:t>$3,230</w:t>
            </w:r>
          </w:p>
        </w:tc>
        <w:tc>
          <w:tcPr>
            <w:tcW w:w="0" w:type="auto"/>
            <w:tcBorders>
              <w:top w:val="nil"/>
              <w:left w:val="nil"/>
              <w:bottom w:val="single" w:sz="4" w:space="0" w:color="auto"/>
              <w:right w:val="single" w:sz="4" w:space="0" w:color="auto"/>
            </w:tcBorders>
            <w:shd w:val="clear" w:color="auto" w:fill="auto"/>
            <w:vAlign w:val="center"/>
            <w:hideMark/>
          </w:tcPr>
          <w:p w14:paraId="20206D86" w14:textId="77777777" w:rsidR="00572995" w:rsidRPr="00483EBE" w:rsidRDefault="00572995" w:rsidP="00E8324D">
            <w:pPr>
              <w:pStyle w:val="Tablas"/>
              <w:rPr>
                <w:sz w:val="12"/>
                <w:szCs w:val="12"/>
              </w:rPr>
            </w:pPr>
            <w:r w:rsidRPr="00483EBE">
              <w:rPr>
                <w:sz w:val="12"/>
                <w:szCs w:val="12"/>
              </w:rPr>
              <w:t>$1,077</w:t>
            </w:r>
          </w:p>
        </w:tc>
        <w:tc>
          <w:tcPr>
            <w:tcW w:w="0" w:type="auto"/>
            <w:tcBorders>
              <w:top w:val="nil"/>
              <w:left w:val="nil"/>
              <w:bottom w:val="single" w:sz="4" w:space="0" w:color="auto"/>
              <w:right w:val="single" w:sz="4" w:space="0" w:color="auto"/>
            </w:tcBorders>
            <w:shd w:val="clear" w:color="auto" w:fill="auto"/>
            <w:vAlign w:val="center"/>
            <w:hideMark/>
          </w:tcPr>
          <w:p w14:paraId="17166966"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51D63EF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33ADD4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446D7B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CD42F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8E06B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A5962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7DCB4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ED3C3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72BCB66" w14:textId="77777777" w:rsidR="00572995" w:rsidRPr="00483EBE" w:rsidRDefault="00572995" w:rsidP="00E8324D">
            <w:pPr>
              <w:pStyle w:val="Tablas"/>
              <w:rPr>
                <w:sz w:val="12"/>
                <w:szCs w:val="12"/>
              </w:rPr>
            </w:pPr>
            <w:r w:rsidRPr="00483EBE">
              <w:rPr>
                <w:sz w:val="12"/>
                <w:szCs w:val="12"/>
              </w:rPr>
              <w:t> </w:t>
            </w:r>
          </w:p>
        </w:tc>
      </w:tr>
      <w:tr w:rsidR="00572995" w:rsidRPr="00483EBE" w14:paraId="675E89C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4827E46"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1D33067E"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98CD90E" w14:textId="77777777" w:rsidR="00572995" w:rsidRPr="00483EBE" w:rsidRDefault="00572995" w:rsidP="00E8324D">
            <w:pPr>
              <w:pStyle w:val="Tablas"/>
              <w:rPr>
                <w:sz w:val="12"/>
                <w:szCs w:val="12"/>
              </w:rPr>
            </w:pPr>
            <w:r w:rsidRPr="00483EBE">
              <w:rPr>
                <w:sz w:val="12"/>
                <w:szCs w:val="12"/>
              </w:rPr>
              <w:t>$3,869</w:t>
            </w:r>
          </w:p>
        </w:tc>
        <w:tc>
          <w:tcPr>
            <w:tcW w:w="0" w:type="auto"/>
            <w:tcBorders>
              <w:top w:val="nil"/>
              <w:left w:val="nil"/>
              <w:bottom w:val="single" w:sz="4" w:space="0" w:color="auto"/>
              <w:right w:val="single" w:sz="4" w:space="0" w:color="auto"/>
            </w:tcBorders>
            <w:shd w:val="clear" w:color="auto" w:fill="auto"/>
            <w:vAlign w:val="center"/>
            <w:hideMark/>
          </w:tcPr>
          <w:p w14:paraId="3B6FBA4A" w14:textId="77777777" w:rsidR="00572995" w:rsidRPr="00483EBE" w:rsidRDefault="00572995" w:rsidP="00E8324D">
            <w:pPr>
              <w:pStyle w:val="Tablas"/>
              <w:rPr>
                <w:sz w:val="12"/>
                <w:szCs w:val="12"/>
              </w:rPr>
            </w:pPr>
            <w:r w:rsidRPr="00483EBE">
              <w:rPr>
                <w:sz w:val="12"/>
                <w:szCs w:val="12"/>
              </w:rPr>
              <w:t>$967</w:t>
            </w:r>
          </w:p>
        </w:tc>
        <w:tc>
          <w:tcPr>
            <w:tcW w:w="0" w:type="auto"/>
            <w:tcBorders>
              <w:top w:val="nil"/>
              <w:left w:val="nil"/>
              <w:bottom w:val="single" w:sz="4" w:space="0" w:color="auto"/>
              <w:right w:val="single" w:sz="4" w:space="0" w:color="auto"/>
            </w:tcBorders>
            <w:shd w:val="clear" w:color="auto" w:fill="auto"/>
            <w:vAlign w:val="center"/>
            <w:hideMark/>
          </w:tcPr>
          <w:p w14:paraId="484A784E"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6BF636D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FA3465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5CDC52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12463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1B560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C1673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A2C8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DFD2A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FA27B3D" w14:textId="77777777" w:rsidR="00572995" w:rsidRPr="00483EBE" w:rsidRDefault="00572995" w:rsidP="00E8324D">
            <w:pPr>
              <w:pStyle w:val="Tablas"/>
              <w:rPr>
                <w:sz w:val="12"/>
                <w:szCs w:val="12"/>
              </w:rPr>
            </w:pPr>
            <w:r w:rsidRPr="00483EBE">
              <w:rPr>
                <w:sz w:val="12"/>
                <w:szCs w:val="12"/>
              </w:rPr>
              <w:t> </w:t>
            </w:r>
          </w:p>
        </w:tc>
      </w:tr>
      <w:tr w:rsidR="00572995" w:rsidRPr="00483EBE" w14:paraId="701BC42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0D8A775"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029CF944" w14:textId="77777777" w:rsidR="00572995" w:rsidRPr="00483EBE" w:rsidRDefault="00572995" w:rsidP="00E8324D">
            <w:pPr>
              <w:pStyle w:val="Tablas"/>
              <w:rPr>
                <w:sz w:val="12"/>
                <w:szCs w:val="12"/>
              </w:rPr>
            </w:pPr>
            <w:r w:rsidRPr="00483EBE">
              <w:rPr>
                <w:sz w:val="12"/>
                <w:szCs w:val="12"/>
              </w:rPr>
              <w:t xml:space="preserve">6 </w:t>
            </w:r>
          </w:p>
        </w:tc>
        <w:tc>
          <w:tcPr>
            <w:tcW w:w="0" w:type="auto"/>
            <w:tcBorders>
              <w:top w:val="nil"/>
              <w:left w:val="nil"/>
              <w:bottom w:val="single" w:sz="4" w:space="0" w:color="auto"/>
              <w:right w:val="single" w:sz="4" w:space="0" w:color="auto"/>
            </w:tcBorders>
            <w:shd w:val="clear" w:color="auto" w:fill="auto"/>
            <w:vAlign w:val="center"/>
            <w:hideMark/>
          </w:tcPr>
          <w:p w14:paraId="5B135D4C" w14:textId="77777777" w:rsidR="00572995" w:rsidRPr="00483EBE" w:rsidRDefault="00572995" w:rsidP="00E8324D">
            <w:pPr>
              <w:pStyle w:val="Tablas"/>
              <w:rPr>
                <w:sz w:val="12"/>
                <w:szCs w:val="12"/>
              </w:rPr>
            </w:pPr>
            <w:r w:rsidRPr="00483EBE">
              <w:rPr>
                <w:sz w:val="12"/>
                <w:szCs w:val="12"/>
              </w:rPr>
              <w:t>$5,811</w:t>
            </w:r>
          </w:p>
        </w:tc>
        <w:tc>
          <w:tcPr>
            <w:tcW w:w="0" w:type="auto"/>
            <w:tcBorders>
              <w:top w:val="nil"/>
              <w:left w:val="nil"/>
              <w:bottom w:val="single" w:sz="4" w:space="0" w:color="auto"/>
              <w:right w:val="single" w:sz="4" w:space="0" w:color="auto"/>
            </w:tcBorders>
            <w:shd w:val="clear" w:color="auto" w:fill="auto"/>
            <w:vAlign w:val="center"/>
            <w:hideMark/>
          </w:tcPr>
          <w:p w14:paraId="10EF2447" w14:textId="77777777" w:rsidR="00572995" w:rsidRPr="00483EBE" w:rsidRDefault="00572995" w:rsidP="00E8324D">
            <w:pPr>
              <w:pStyle w:val="Tablas"/>
              <w:rPr>
                <w:sz w:val="12"/>
                <w:szCs w:val="12"/>
              </w:rPr>
            </w:pPr>
            <w:r w:rsidRPr="00483EBE">
              <w:rPr>
                <w:sz w:val="12"/>
                <w:szCs w:val="12"/>
              </w:rPr>
              <w:t>$968</w:t>
            </w:r>
          </w:p>
        </w:tc>
        <w:tc>
          <w:tcPr>
            <w:tcW w:w="0" w:type="auto"/>
            <w:tcBorders>
              <w:top w:val="nil"/>
              <w:left w:val="nil"/>
              <w:bottom w:val="single" w:sz="4" w:space="0" w:color="auto"/>
              <w:right w:val="single" w:sz="4" w:space="0" w:color="auto"/>
            </w:tcBorders>
            <w:shd w:val="clear" w:color="auto" w:fill="auto"/>
            <w:vAlign w:val="center"/>
            <w:hideMark/>
          </w:tcPr>
          <w:p w14:paraId="414F5EFB"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1CFB9CF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BC0E0F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83DA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69AC8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0C133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4A78A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037D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F93BF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D7EAF67" w14:textId="77777777" w:rsidR="00572995" w:rsidRPr="00483EBE" w:rsidRDefault="00572995" w:rsidP="00E8324D">
            <w:pPr>
              <w:pStyle w:val="Tablas"/>
              <w:rPr>
                <w:sz w:val="12"/>
                <w:szCs w:val="12"/>
              </w:rPr>
            </w:pPr>
            <w:r w:rsidRPr="00483EBE">
              <w:rPr>
                <w:sz w:val="12"/>
                <w:szCs w:val="12"/>
              </w:rPr>
              <w:t> </w:t>
            </w:r>
          </w:p>
        </w:tc>
      </w:tr>
      <w:tr w:rsidR="00572995" w:rsidRPr="00483EBE" w14:paraId="6466182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400B4A"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57FE05E6"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73537AC" w14:textId="77777777" w:rsidR="00572995" w:rsidRPr="00483EBE" w:rsidRDefault="00572995" w:rsidP="00E8324D">
            <w:pPr>
              <w:pStyle w:val="Tablas"/>
              <w:rPr>
                <w:sz w:val="12"/>
                <w:szCs w:val="12"/>
              </w:rPr>
            </w:pPr>
            <w:r w:rsidRPr="00483EBE">
              <w:rPr>
                <w:sz w:val="12"/>
                <w:szCs w:val="12"/>
              </w:rPr>
              <w:t>$4,487</w:t>
            </w:r>
          </w:p>
        </w:tc>
        <w:tc>
          <w:tcPr>
            <w:tcW w:w="0" w:type="auto"/>
            <w:tcBorders>
              <w:top w:val="nil"/>
              <w:left w:val="nil"/>
              <w:bottom w:val="single" w:sz="4" w:space="0" w:color="auto"/>
              <w:right w:val="single" w:sz="4" w:space="0" w:color="auto"/>
            </w:tcBorders>
            <w:shd w:val="clear" w:color="auto" w:fill="auto"/>
            <w:vAlign w:val="center"/>
            <w:hideMark/>
          </w:tcPr>
          <w:p w14:paraId="5FA5A9A2" w14:textId="77777777" w:rsidR="00572995" w:rsidRPr="00483EBE" w:rsidRDefault="00572995" w:rsidP="00E8324D">
            <w:pPr>
              <w:pStyle w:val="Tablas"/>
              <w:rPr>
                <w:sz w:val="12"/>
                <w:szCs w:val="12"/>
              </w:rPr>
            </w:pPr>
            <w:r w:rsidRPr="00483EBE">
              <w:rPr>
                <w:sz w:val="12"/>
                <w:szCs w:val="12"/>
              </w:rPr>
              <w:t>$1,122</w:t>
            </w:r>
          </w:p>
        </w:tc>
        <w:tc>
          <w:tcPr>
            <w:tcW w:w="0" w:type="auto"/>
            <w:tcBorders>
              <w:top w:val="nil"/>
              <w:left w:val="nil"/>
              <w:bottom w:val="single" w:sz="4" w:space="0" w:color="auto"/>
              <w:right w:val="single" w:sz="4" w:space="0" w:color="auto"/>
            </w:tcBorders>
            <w:shd w:val="clear" w:color="auto" w:fill="auto"/>
            <w:vAlign w:val="center"/>
            <w:hideMark/>
          </w:tcPr>
          <w:p w14:paraId="7169981F" w14:textId="77777777" w:rsidR="00572995" w:rsidRPr="00483EBE" w:rsidRDefault="00572995" w:rsidP="00E8324D">
            <w:pPr>
              <w:pStyle w:val="Tablas"/>
              <w:rPr>
                <w:sz w:val="12"/>
                <w:szCs w:val="12"/>
              </w:rPr>
            </w:pPr>
            <w:r w:rsidRPr="00483EBE">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7AFDC92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51AF2F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E7320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767F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164A9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39469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5716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0A1D4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B12341D" w14:textId="77777777" w:rsidR="00572995" w:rsidRPr="00483EBE" w:rsidRDefault="00572995" w:rsidP="00E8324D">
            <w:pPr>
              <w:pStyle w:val="Tablas"/>
              <w:rPr>
                <w:sz w:val="12"/>
                <w:szCs w:val="12"/>
              </w:rPr>
            </w:pPr>
            <w:r w:rsidRPr="00483EBE">
              <w:rPr>
                <w:sz w:val="12"/>
                <w:szCs w:val="12"/>
              </w:rPr>
              <w:t> </w:t>
            </w:r>
          </w:p>
        </w:tc>
      </w:tr>
      <w:tr w:rsidR="00572995" w:rsidRPr="00483EBE" w14:paraId="18131AA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BBA2F72"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70BAEB9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DEE3057" w14:textId="77777777" w:rsidR="00572995" w:rsidRPr="00483EBE" w:rsidRDefault="00572995" w:rsidP="00E8324D">
            <w:pPr>
              <w:pStyle w:val="Tablas"/>
              <w:rPr>
                <w:sz w:val="12"/>
                <w:szCs w:val="12"/>
              </w:rPr>
            </w:pPr>
            <w:r w:rsidRPr="00483EBE">
              <w:rPr>
                <w:sz w:val="12"/>
                <w:szCs w:val="12"/>
              </w:rPr>
              <w:t>$846</w:t>
            </w:r>
          </w:p>
        </w:tc>
        <w:tc>
          <w:tcPr>
            <w:tcW w:w="0" w:type="auto"/>
            <w:tcBorders>
              <w:top w:val="nil"/>
              <w:left w:val="nil"/>
              <w:bottom w:val="single" w:sz="4" w:space="0" w:color="auto"/>
              <w:right w:val="single" w:sz="4" w:space="0" w:color="auto"/>
            </w:tcBorders>
            <w:shd w:val="clear" w:color="auto" w:fill="auto"/>
            <w:vAlign w:val="center"/>
            <w:hideMark/>
          </w:tcPr>
          <w:p w14:paraId="45C163EE" w14:textId="77777777" w:rsidR="00572995" w:rsidRPr="00483EBE" w:rsidRDefault="00572995" w:rsidP="00E8324D">
            <w:pPr>
              <w:pStyle w:val="Tablas"/>
              <w:rPr>
                <w:sz w:val="12"/>
                <w:szCs w:val="12"/>
              </w:rPr>
            </w:pPr>
            <w:r w:rsidRPr="00483EBE">
              <w:rPr>
                <w:sz w:val="12"/>
                <w:szCs w:val="12"/>
              </w:rPr>
              <w:t>$846</w:t>
            </w:r>
          </w:p>
        </w:tc>
        <w:tc>
          <w:tcPr>
            <w:tcW w:w="0" w:type="auto"/>
            <w:tcBorders>
              <w:top w:val="nil"/>
              <w:left w:val="nil"/>
              <w:bottom w:val="single" w:sz="4" w:space="0" w:color="auto"/>
              <w:right w:val="single" w:sz="4" w:space="0" w:color="auto"/>
            </w:tcBorders>
            <w:shd w:val="clear" w:color="auto" w:fill="auto"/>
            <w:vAlign w:val="center"/>
            <w:hideMark/>
          </w:tcPr>
          <w:p w14:paraId="272371A3"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15CB3B5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30AFD97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53561F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FB6CF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8FF05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04CED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7FEAA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597BE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4F437F2" w14:textId="77777777" w:rsidR="00572995" w:rsidRPr="00483EBE" w:rsidRDefault="00572995" w:rsidP="00E8324D">
            <w:pPr>
              <w:pStyle w:val="Tablas"/>
              <w:rPr>
                <w:sz w:val="12"/>
                <w:szCs w:val="12"/>
              </w:rPr>
            </w:pPr>
            <w:r w:rsidRPr="00483EBE">
              <w:rPr>
                <w:sz w:val="12"/>
                <w:szCs w:val="12"/>
              </w:rPr>
              <w:t> </w:t>
            </w:r>
          </w:p>
        </w:tc>
      </w:tr>
      <w:tr w:rsidR="00572995" w:rsidRPr="00483EBE" w14:paraId="005B2DC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FF1528E"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57F8D0AD"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F6A546F" w14:textId="77777777" w:rsidR="00572995" w:rsidRPr="00483EBE" w:rsidRDefault="00572995" w:rsidP="00E8324D">
            <w:pPr>
              <w:pStyle w:val="Tablas"/>
              <w:rPr>
                <w:sz w:val="12"/>
                <w:szCs w:val="12"/>
              </w:rPr>
            </w:pPr>
            <w:r w:rsidRPr="00483EBE">
              <w:rPr>
                <w:sz w:val="12"/>
                <w:szCs w:val="12"/>
              </w:rPr>
              <w:t>$3,597</w:t>
            </w:r>
          </w:p>
        </w:tc>
        <w:tc>
          <w:tcPr>
            <w:tcW w:w="0" w:type="auto"/>
            <w:tcBorders>
              <w:top w:val="nil"/>
              <w:left w:val="nil"/>
              <w:bottom w:val="single" w:sz="4" w:space="0" w:color="auto"/>
              <w:right w:val="single" w:sz="4" w:space="0" w:color="auto"/>
            </w:tcBorders>
            <w:shd w:val="clear" w:color="auto" w:fill="auto"/>
            <w:vAlign w:val="center"/>
            <w:hideMark/>
          </w:tcPr>
          <w:p w14:paraId="2D36337E" w14:textId="77777777" w:rsidR="00572995" w:rsidRPr="00483EBE" w:rsidRDefault="00572995" w:rsidP="00E8324D">
            <w:pPr>
              <w:pStyle w:val="Tablas"/>
              <w:rPr>
                <w:sz w:val="12"/>
                <w:szCs w:val="12"/>
              </w:rPr>
            </w:pPr>
            <w:r w:rsidRPr="00483EBE">
              <w:rPr>
                <w:sz w:val="12"/>
                <w:szCs w:val="12"/>
              </w:rPr>
              <w:t>$719</w:t>
            </w:r>
          </w:p>
        </w:tc>
        <w:tc>
          <w:tcPr>
            <w:tcW w:w="0" w:type="auto"/>
            <w:tcBorders>
              <w:top w:val="nil"/>
              <w:left w:val="nil"/>
              <w:bottom w:val="single" w:sz="4" w:space="0" w:color="auto"/>
              <w:right w:val="single" w:sz="4" w:space="0" w:color="auto"/>
            </w:tcBorders>
            <w:shd w:val="clear" w:color="auto" w:fill="auto"/>
            <w:vAlign w:val="center"/>
            <w:hideMark/>
          </w:tcPr>
          <w:p w14:paraId="13622458"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371906F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562CA75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A1B9EC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A5FAC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93562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5CDB2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51325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057AD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D466346" w14:textId="77777777" w:rsidR="00572995" w:rsidRPr="00483EBE" w:rsidRDefault="00572995" w:rsidP="00E8324D">
            <w:pPr>
              <w:pStyle w:val="Tablas"/>
              <w:rPr>
                <w:sz w:val="12"/>
                <w:szCs w:val="12"/>
              </w:rPr>
            </w:pPr>
            <w:r w:rsidRPr="00483EBE">
              <w:rPr>
                <w:sz w:val="12"/>
                <w:szCs w:val="12"/>
              </w:rPr>
              <w:t> </w:t>
            </w:r>
          </w:p>
        </w:tc>
      </w:tr>
      <w:tr w:rsidR="00572995" w:rsidRPr="00483EBE" w14:paraId="692A144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4F6F6DE"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51696D8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49AC155" w14:textId="77777777" w:rsidR="00572995" w:rsidRPr="00483EBE" w:rsidRDefault="00572995" w:rsidP="00E8324D">
            <w:pPr>
              <w:pStyle w:val="Tablas"/>
              <w:rPr>
                <w:sz w:val="12"/>
                <w:szCs w:val="12"/>
              </w:rPr>
            </w:pPr>
            <w:r w:rsidRPr="00483EBE">
              <w:rPr>
                <w:sz w:val="12"/>
                <w:szCs w:val="12"/>
              </w:rPr>
              <w:t>$1,800</w:t>
            </w:r>
          </w:p>
        </w:tc>
        <w:tc>
          <w:tcPr>
            <w:tcW w:w="0" w:type="auto"/>
            <w:tcBorders>
              <w:top w:val="nil"/>
              <w:left w:val="nil"/>
              <w:bottom w:val="single" w:sz="4" w:space="0" w:color="auto"/>
              <w:right w:val="single" w:sz="4" w:space="0" w:color="auto"/>
            </w:tcBorders>
            <w:shd w:val="clear" w:color="auto" w:fill="auto"/>
            <w:vAlign w:val="center"/>
            <w:hideMark/>
          </w:tcPr>
          <w:p w14:paraId="4FF7C10E" w14:textId="77777777" w:rsidR="00572995" w:rsidRPr="00483EBE" w:rsidRDefault="00572995" w:rsidP="00E8324D">
            <w:pPr>
              <w:pStyle w:val="Tablas"/>
              <w:rPr>
                <w:sz w:val="12"/>
                <w:szCs w:val="12"/>
              </w:rPr>
            </w:pPr>
            <w:r w:rsidRPr="00483EBE">
              <w:rPr>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14:paraId="6EB6147E"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5A3D20E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7623425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1B5AF7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1965B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60C0A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CB9B1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0A763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65C4D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A3C5F8B" w14:textId="77777777" w:rsidR="00572995" w:rsidRPr="00483EBE" w:rsidRDefault="00572995" w:rsidP="00E8324D">
            <w:pPr>
              <w:pStyle w:val="Tablas"/>
              <w:rPr>
                <w:sz w:val="12"/>
                <w:szCs w:val="12"/>
              </w:rPr>
            </w:pPr>
            <w:r w:rsidRPr="00483EBE">
              <w:rPr>
                <w:sz w:val="12"/>
                <w:szCs w:val="12"/>
              </w:rPr>
              <w:t> </w:t>
            </w:r>
          </w:p>
        </w:tc>
      </w:tr>
      <w:tr w:rsidR="00572995" w:rsidRPr="00483EBE" w14:paraId="7D2705C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E583419"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68D349D1"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CC3D39C" w14:textId="77777777" w:rsidR="00572995" w:rsidRPr="00483EBE" w:rsidRDefault="00572995" w:rsidP="00E8324D">
            <w:pPr>
              <w:pStyle w:val="Tablas"/>
              <w:rPr>
                <w:sz w:val="12"/>
                <w:szCs w:val="12"/>
              </w:rPr>
            </w:pPr>
            <w:r w:rsidRPr="00483EBE">
              <w:rPr>
                <w:sz w:val="12"/>
                <w:szCs w:val="12"/>
              </w:rPr>
              <w:t>$1,674</w:t>
            </w:r>
          </w:p>
        </w:tc>
        <w:tc>
          <w:tcPr>
            <w:tcW w:w="0" w:type="auto"/>
            <w:tcBorders>
              <w:top w:val="nil"/>
              <w:left w:val="nil"/>
              <w:bottom w:val="single" w:sz="4" w:space="0" w:color="auto"/>
              <w:right w:val="single" w:sz="4" w:space="0" w:color="auto"/>
            </w:tcBorders>
            <w:shd w:val="clear" w:color="auto" w:fill="auto"/>
            <w:vAlign w:val="center"/>
            <w:hideMark/>
          </w:tcPr>
          <w:p w14:paraId="4F99C4BD" w14:textId="77777777" w:rsidR="00572995" w:rsidRPr="00483EBE" w:rsidRDefault="00572995" w:rsidP="00E8324D">
            <w:pPr>
              <w:pStyle w:val="Tablas"/>
              <w:rPr>
                <w:sz w:val="12"/>
                <w:szCs w:val="12"/>
              </w:rPr>
            </w:pPr>
            <w:r w:rsidRPr="00483EBE">
              <w:rPr>
                <w:sz w:val="12"/>
                <w:szCs w:val="12"/>
              </w:rPr>
              <w:t>$837</w:t>
            </w:r>
          </w:p>
        </w:tc>
        <w:tc>
          <w:tcPr>
            <w:tcW w:w="0" w:type="auto"/>
            <w:tcBorders>
              <w:top w:val="nil"/>
              <w:left w:val="nil"/>
              <w:bottom w:val="single" w:sz="4" w:space="0" w:color="auto"/>
              <w:right w:val="single" w:sz="4" w:space="0" w:color="auto"/>
            </w:tcBorders>
            <w:shd w:val="clear" w:color="auto" w:fill="auto"/>
            <w:vAlign w:val="center"/>
            <w:hideMark/>
          </w:tcPr>
          <w:p w14:paraId="591D61EC"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57427DB7"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CDDAD4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4E11F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13933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0342B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23B7A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4A78E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0D4F4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9A80079" w14:textId="77777777" w:rsidR="00572995" w:rsidRPr="00483EBE" w:rsidRDefault="00572995" w:rsidP="00E8324D">
            <w:pPr>
              <w:pStyle w:val="Tablas"/>
              <w:rPr>
                <w:sz w:val="12"/>
                <w:szCs w:val="12"/>
              </w:rPr>
            </w:pPr>
            <w:r w:rsidRPr="00483EBE">
              <w:rPr>
                <w:sz w:val="12"/>
                <w:szCs w:val="12"/>
              </w:rPr>
              <w:t> </w:t>
            </w:r>
          </w:p>
        </w:tc>
      </w:tr>
      <w:tr w:rsidR="00572995" w:rsidRPr="00483EBE" w14:paraId="58BB183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D16518D"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3C438489"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5404E58" w14:textId="77777777" w:rsidR="00572995" w:rsidRPr="00483EBE" w:rsidRDefault="00572995" w:rsidP="00E8324D">
            <w:pPr>
              <w:pStyle w:val="Tablas"/>
              <w:rPr>
                <w:sz w:val="12"/>
                <w:szCs w:val="12"/>
              </w:rPr>
            </w:pPr>
            <w:r w:rsidRPr="00483EBE">
              <w:rPr>
                <w:sz w:val="12"/>
                <w:szCs w:val="12"/>
              </w:rPr>
              <w:t>$1,948</w:t>
            </w:r>
          </w:p>
        </w:tc>
        <w:tc>
          <w:tcPr>
            <w:tcW w:w="0" w:type="auto"/>
            <w:tcBorders>
              <w:top w:val="nil"/>
              <w:left w:val="nil"/>
              <w:bottom w:val="single" w:sz="4" w:space="0" w:color="auto"/>
              <w:right w:val="single" w:sz="4" w:space="0" w:color="auto"/>
            </w:tcBorders>
            <w:shd w:val="clear" w:color="auto" w:fill="auto"/>
            <w:vAlign w:val="center"/>
            <w:hideMark/>
          </w:tcPr>
          <w:p w14:paraId="0F0A3FE4" w14:textId="77777777" w:rsidR="00572995" w:rsidRPr="00483EBE" w:rsidRDefault="00572995" w:rsidP="00E8324D">
            <w:pPr>
              <w:pStyle w:val="Tablas"/>
              <w:rPr>
                <w:sz w:val="12"/>
                <w:szCs w:val="12"/>
              </w:rPr>
            </w:pPr>
            <w:r w:rsidRPr="00483EBE">
              <w:rPr>
                <w:sz w:val="12"/>
                <w:szCs w:val="12"/>
              </w:rPr>
              <w:t>$649</w:t>
            </w:r>
          </w:p>
        </w:tc>
        <w:tc>
          <w:tcPr>
            <w:tcW w:w="0" w:type="auto"/>
            <w:tcBorders>
              <w:top w:val="nil"/>
              <w:left w:val="nil"/>
              <w:bottom w:val="single" w:sz="4" w:space="0" w:color="auto"/>
              <w:right w:val="single" w:sz="4" w:space="0" w:color="auto"/>
            </w:tcBorders>
            <w:shd w:val="clear" w:color="auto" w:fill="auto"/>
            <w:vAlign w:val="center"/>
            <w:hideMark/>
          </w:tcPr>
          <w:p w14:paraId="1741D0F7"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52FA63F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ADA5C4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6126C8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D9559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B4B18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0B930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14980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18797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7F8A412" w14:textId="77777777" w:rsidR="00572995" w:rsidRPr="00483EBE" w:rsidRDefault="00572995" w:rsidP="00E8324D">
            <w:pPr>
              <w:pStyle w:val="Tablas"/>
              <w:rPr>
                <w:sz w:val="12"/>
                <w:szCs w:val="12"/>
              </w:rPr>
            </w:pPr>
            <w:r w:rsidRPr="00483EBE">
              <w:rPr>
                <w:sz w:val="12"/>
                <w:szCs w:val="12"/>
              </w:rPr>
              <w:t> </w:t>
            </w:r>
          </w:p>
        </w:tc>
      </w:tr>
      <w:tr w:rsidR="00572995" w:rsidRPr="00483EBE" w14:paraId="4A48F65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C9CA902"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410C7FF4"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17957F65" w14:textId="77777777" w:rsidR="00572995" w:rsidRPr="00483EBE" w:rsidRDefault="00572995" w:rsidP="00E8324D">
            <w:pPr>
              <w:pStyle w:val="Tablas"/>
              <w:rPr>
                <w:sz w:val="12"/>
                <w:szCs w:val="12"/>
              </w:rPr>
            </w:pPr>
            <w:r w:rsidRPr="00483EBE">
              <w:rPr>
                <w:sz w:val="12"/>
                <w:szCs w:val="12"/>
              </w:rPr>
              <w:t>$1,816</w:t>
            </w:r>
          </w:p>
        </w:tc>
        <w:tc>
          <w:tcPr>
            <w:tcW w:w="0" w:type="auto"/>
            <w:tcBorders>
              <w:top w:val="nil"/>
              <w:left w:val="nil"/>
              <w:bottom w:val="single" w:sz="4" w:space="0" w:color="auto"/>
              <w:right w:val="single" w:sz="4" w:space="0" w:color="auto"/>
            </w:tcBorders>
            <w:shd w:val="clear" w:color="auto" w:fill="auto"/>
            <w:vAlign w:val="center"/>
            <w:hideMark/>
          </w:tcPr>
          <w:p w14:paraId="5D4511AB" w14:textId="77777777" w:rsidR="00572995" w:rsidRPr="00483EBE" w:rsidRDefault="00572995" w:rsidP="00E8324D">
            <w:pPr>
              <w:pStyle w:val="Tablas"/>
              <w:rPr>
                <w:sz w:val="12"/>
                <w:szCs w:val="12"/>
              </w:rPr>
            </w:pPr>
            <w:r w:rsidRPr="00483EBE">
              <w:rPr>
                <w:sz w:val="12"/>
                <w:szCs w:val="12"/>
              </w:rPr>
              <w:t>$908</w:t>
            </w:r>
          </w:p>
        </w:tc>
        <w:tc>
          <w:tcPr>
            <w:tcW w:w="0" w:type="auto"/>
            <w:tcBorders>
              <w:top w:val="nil"/>
              <w:left w:val="nil"/>
              <w:bottom w:val="single" w:sz="4" w:space="0" w:color="auto"/>
              <w:right w:val="single" w:sz="4" w:space="0" w:color="auto"/>
            </w:tcBorders>
            <w:shd w:val="clear" w:color="auto" w:fill="auto"/>
            <w:vAlign w:val="center"/>
            <w:hideMark/>
          </w:tcPr>
          <w:p w14:paraId="3DC3AE01"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6F730E3"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41B23B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3721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0BAC3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DABFF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02C4C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44485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98B62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78FFF7B" w14:textId="77777777" w:rsidR="00572995" w:rsidRPr="00483EBE" w:rsidRDefault="00572995" w:rsidP="00E8324D">
            <w:pPr>
              <w:pStyle w:val="Tablas"/>
              <w:rPr>
                <w:sz w:val="12"/>
                <w:szCs w:val="12"/>
              </w:rPr>
            </w:pPr>
            <w:r w:rsidRPr="00483EBE">
              <w:rPr>
                <w:sz w:val="12"/>
                <w:szCs w:val="12"/>
              </w:rPr>
              <w:t> </w:t>
            </w:r>
          </w:p>
        </w:tc>
      </w:tr>
      <w:tr w:rsidR="00572995" w:rsidRPr="00483EBE" w14:paraId="18DD2C4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1E32BA"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5D8CF75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03F9A27F"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1ADB861B"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72B4747A"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0FE54EC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B0BF5D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4E3393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177DA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3C34C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C095B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3CAA3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5B72F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456969F" w14:textId="77777777" w:rsidR="00572995" w:rsidRPr="00483EBE" w:rsidRDefault="00572995" w:rsidP="00E8324D">
            <w:pPr>
              <w:pStyle w:val="Tablas"/>
              <w:rPr>
                <w:sz w:val="12"/>
                <w:szCs w:val="12"/>
              </w:rPr>
            </w:pPr>
            <w:r w:rsidRPr="00483EBE">
              <w:rPr>
                <w:sz w:val="12"/>
                <w:szCs w:val="12"/>
              </w:rPr>
              <w:t> </w:t>
            </w:r>
          </w:p>
        </w:tc>
      </w:tr>
      <w:tr w:rsidR="00572995" w:rsidRPr="00483EBE" w14:paraId="4C755A0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F86373"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0F0C33CF"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22C3795" w14:textId="77777777" w:rsidR="00572995" w:rsidRPr="00483EBE" w:rsidRDefault="00572995" w:rsidP="00E8324D">
            <w:pPr>
              <w:pStyle w:val="Tablas"/>
              <w:rPr>
                <w:sz w:val="12"/>
                <w:szCs w:val="12"/>
              </w:rPr>
            </w:pPr>
            <w:r w:rsidRPr="00483EBE">
              <w:rPr>
                <w:sz w:val="12"/>
                <w:szCs w:val="12"/>
              </w:rPr>
              <w:t>$836</w:t>
            </w:r>
          </w:p>
        </w:tc>
        <w:tc>
          <w:tcPr>
            <w:tcW w:w="0" w:type="auto"/>
            <w:tcBorders>
              <w:top w:val="nil"/>
              <w:left w:val="nil"/>
              <w:bottom w:val="single" w:sz="4" w:space="0" w:color="auto"/>
              <w:right w:val="single" w:sz="4" w:space="0" w:color="auto"/>
            </w:tcBorders>
            <w:shd w:val="clear" w:color="auto" w:fill="auto"/>
            <w:vAlign w:val="center"/>
            <w:hideMark/>
          </w:tcPr>
          <w:p w14:paraId="555D2F7C" w14:textId="77777777" w:rsidR="00572995" w:rsidRPr="00483EBE" w:rsidRDefault="00572995" w:rsidP="00E8324D">
            <w:pPr>
              <w:pStyle w:val="Tablas"/>
              <w:rPr>
                <w:sz w:val="12"/>
                <w:szCs w:val="12"/>
              </w:rPr>
            </w:pPr>
            <w:r w:rsidRPr="00483EBE">
              <w:rPr>
                <w:sz w:val="12"/>
                <w:szCs w:val="12"/>
              </w:rPr>
              <w:t>$836</w:t>
            </w:r>
          </w:p>
        </w:tc>
        <w:tc>
          <w:tcPr>
            <w:tcW w:w="0" w:type="auto"/>
            <w:tcBorders>
              <w:top w:val="nil"/>
              <w:left w:val="nil"/>
              <w:bottom w:val="single" w:sz="4" w:space="0" w:color="auto"/>
              <w:right w:val="single" w:sz="4" w:space="0" w:color="auto"/>
            </w:tcBorders>
            <w:shd w:val="clear" w:color="auto" w:fill="auto"/>
            <w:vAlign w:val="center"/>
            <w:hideMark/>
          </w:tcPr>
          <w:p w14:paraId="72F39883"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062ECC16"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C580A1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87BA4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01BF7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1AD5E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8CD60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FCE0E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4BF30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9B629FB" w14:textId="77777777" w:rsidR="00572995" w:rsidRPr="00483EBE" w:rsidRDefault="00572995" w:rsidP="00E8324D">
            <w:pPr>
              <w:pStyle w:val="Tablas"/>
              <w:rPr>
                <w:sz w:val="12"/>
                <w:szCs w:val="12"/>
              </w:rPr>
            </w:pPr>
            <w:r w:rsidRPr="00483EBE">
              <w:rPr>
                <w:sz w:val="12"/>
                <w:szCs w:val="12"/>
              </w:rPr>
              <w:t> </w:t>
            </w:r>
          </w:p>
        </w:tc>
      </w:tr>
      <w:tr w:rsidR="00572995" w:rsidRPr="00483EBE" w14:paraId="0CD5752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D0A8758"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27F7108A"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4C42423E" w14:textId="77777777" w:rsidR="00572995" w:rsidRPr="00483EBE" w:rsidRDefault="00572995" w:rsidP="00E8324D">
            <w:pPr>
              <w:pStyle w:val="Tablas"/>
              <w:rPr>
                <w:sz w:val="12"/>
                <w:szCs w:val="12"/>
              </w:rPr>
            </w:pPr>
            <w:r w:rsidRPr="00483EBE">
              <w:rPr>
                <w:sz w:val="12"/>
                <w:szCs w:val="12"/>
              </w:rPr>
              <w:t>$3,416</w:t>
            </w:r>
          </w:p>
        </w:tc>
        <w:tc>
          <w:tcPr>
            <w:tcW w:w="0" w:type="auto"/>
            <w:tcBorders>
              <w:top w:val="nil"/>
              <w:left w:val="nil"/>
              <w:bottom w:val="single" w:sz="4" w:space="0" w:color="auto"/>
              <w:right w:val="single" w:sz="4" w:space="0" w:color="auto"/>
            </w:tcBorders>
            <w:shd w:val="clear" w:color="auto" w:fill="auto"/>
            <w:vAlign w:val="center"/>
            <w:hideMark/>
          </w:tcPr>
          <w:p w14:paraId="24F422A3" w14:textId="77777777" w:rsidR="00572995" w:rsidRPr="00483EBE" w:rsidRDefault="00572995" w:rsidP="00E8324D">
            <w:pPr>
              <w:pStyle w:val="Tablas"/>
              <w:rPr>
                <w:sz w:val="12"/>
                <w:szCs w:val="12"/>
              </w:rPr>
            </w:pPr>
            <w:r w:rsidRPr="00483EBE">
              <w:rPr>
                <w:sz w:val="12"/>
                <w:szCs w:val="12"/>
              </w:rPr>
              <w:t>$854</w:t>
            </w:r>
          </w:p>
        </w:tc>
        <w:tc>
          <w:tcPr>
            <w:tcW w:w="0" w:type="auto"/>
            <w:tcBorders>
              <w:top w:val="nil"/>
              <w:left w:val="nil"/>
              <w:bottom w:val="single" w:sz="4" w:space="0" w:color="auto"/>
              <w:right w:val="single" w:sz="4" w:space="0" w:color="auto"/>
            </w:tcBorders>
            <w:shd w:val="clear" w:color="auto" w:fill="auto"/>
            <w:vAlign w:val="center"/>
            <w:hideMark/>
          </w:tcPr>
          <w:p w14:paraId="44E18016"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19FBA0AA"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54F56F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C877A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A342C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45582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52DEA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347F6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07E72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A3CE2CB" w14:textId="77777777" w:rsidR="00572995" w:rsidRPr="00483EBE" w:rsidRDefault="00572995" w:rsidP="00E8324D">
            <w:pPr>
              <w:pStyle w:val="Tablas"/>
              <w:rPr>
                <w:sz w:val="12"/>
                <w:szCs w:val="12"/>
              </w:rPr>
            </w:pPr>
            <w:r w:rsidRPr="00483EBE">
              <w:rPr>
                <w:sz w:val="12"/>
                <w:szCs w:val="12"/>
              </w:rPr>
              <w:t> </w:t>
            </w:r>
          </w:p>
        </w:tc>
      </w:tr>
      <w:tr w:rsidR="00572995" w:rsidRPr="00483EBE" w14:paraId="152EABF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FCA9FE"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3F125808"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3DC7EDF8" w14:textId="77777777" w:rsidR="00572995" w:rsidRPr="00483EBE" w:rsidRDefault="00572995" w:rsidP="00E8324D">
            <w:pPr>
              <w:pStyle w:val="Tablas"/>
              <w:rPr>
                <w:sz w:val="12"/>
                <w:szCs w:val="12"/>
              </w:rPr>
            </w:pPr>
            <w:r w:rsidRPr="00483EBE">
              <w:rPr>
                <w:sz w:val="12"/>
                <w:szCs w:val="12"/>
              </w:rPr>
              <w:t>$2,214</w:t>
            </w:r>
          </w:p>
        </w:tc>
        <w:tc>
          <w:tcPr>
            <w:tcW w:w="0" w:type="auto"/>
            <w:tcBorders>
              <w:top w:val="nil"/>
              <w:left w:val="nil"/>
              <w:bottom w:val="single" w:sz="4" w:space="0" w:color="auto"/>
              <w:right w:val="single" w:sz="4" w:space="0" w:color="auto"/>
            </w:tcBorders>
            <w:shd w:val="clear" w:color="auto" w:fill="auto"/>
            <w:vAlign w:val="center"/>
            <w:hideMark/>
          </w:tcPr>
          <w:p w14:paraId="3A010C60" w14:textId="77777777" w:rsidR="00572995" w:rsidRPr="00483EBE" w:rsidRDefault="00572995" w:rsidP="00E8324D">
            <w:pPr>
              <w:pStyle w:val="Tablas"/>
              <w:rPr>
                <w:sz w:val="12"/>
                <w:szCs w:val="12"/>
              </w:rPr>
            </w:pPr>
            <w:r w:rsidRPr="00483EBE">
              <w:rPr>
                <w:sz w:val="12"/>
                <w:szCs w:val="12"/>
              </w:rPr>
              <w:t>$738</w:t>
            </w:r>
          </w:p>
        </w:tc>
        <w:tc>
          <w:tcPr>
            <w:tcW w:w="0" w:type="auto"/>
            <w:tcBorders>
              <w:top w:val="nil"/>
              <w:left w:val="nil"/>
              <w:bottom w:val="single" w:sz="4" w:space="0" w:color="auto"/>
              <w:right w:val="single" w:sz="4" w:space="0" w:color="auto"/>
            </w:tcBorders>
            <w:shd w:val="clear" w:color="auto" w:fill="auto"/>
            <w:vAlign w:val="center"/>
            <w:hideMark/>
          </w:tcPr>
          <w:p w14:paraId="55448B13"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41984DB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AE9477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2672A4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CD7FF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B229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ED060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0C3D7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9FB82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3699965" w14:textId="77777777" w:rsidR="00572995" w:rsidRPr="00483EBE" w:rsidRDefault="00572995" w:rsidP="00E8324D">
            <w:pPr>
              <w:pStyle w:val="Tablas"/>
              <w:rPr>
                <w:sz w:val="12"/>
                <w:szCs w:val="12"/>
              </w:rPr>
            </w:pPr>
            <w:r w:rsidRPr="00483EBE">
              <w:rPr>
                <w:sz w:val="12"/>
                <w:szCs w:val="12"/>
              </w:rPr>
              <w:t> </w:t>
            </w:r>
          </w:p>
        </w:tc>
      </w:tr>
      <w:tr w:rsidR="00572995" w:rsidRPr="00483EBE" w14:paraId="1BDA904E"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88926D" w14:textId="77777777" w:rsidR="00572995" w:rsidRPr="00483EBE" w:rsidRDefault="00572995" w:rsidP="00E8324D">
            <w:pPr>
              <w:pStyle w:val="Tablas"/>
              <w:rPr>
                <w:sz w:val="12"/>
                <w:szCs w:val="12"/>
              </w:rPr>
            </w:pPr>
            <w:r w:rsidRPr="00483EBE">
              <w:rPr>
                <w:sz w:val="12"/>
                <w:szCs w:val="12"/>
              </w:rPr>
              <w:lastRenderedPageBreak/>
              <w:t>64</w:t>
            </w:r>
          </w:p>
        </w:tc>
        <w:tc>
          <w:tcPr>
            <w:tcW w:w="0" w:type="auto"/>
            <w:tcBorders>
              <w:top w:val="nil"/>
              <w:left w:val="nil"/>
              <w:bottom w:val="single" w:sz="4" w:space="0" w:color="auto"/>
              <w:right w:val="single" w:sz="4" w:space="0" w:color="auto"/>
            </w:tcBorders>
            <w:shd w:val="clear" w:color="auto" w:fill="auto"/>
            <w:vAlign w:val="center"/>
            <w:hideMark/>
          </w:tcPr>
          <w:p w14:paraId="24663C10"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011AEAD6" w14:textId="77777777" w:rsidR="00572995" w:rsidRPr="00483EBE" w:rsidRDefault="00572995" w:rsidP="00E8324D">
            <w:pPr>
              <w:pStyle w:val="Tablas"/>
              <w:rPr>
                <w:sz w:val="12"/>
                <w:szCs w:val="12"/>
              </w:rPr>
            </w:pPr>
            <w:r w:rsidRPr="00483EBE">
              <w:rPr>
                <w:sz w:val="12"/>
                <w:szCs w:val="12"/>
              </w:rPr>
              <w:t>$2,815</w:t>
            </w:r>
          </w:p>
        </w:tc>
        <w:tc>
          <w:tcPr>
            <w:tcW w:w="0" w:type="auto"/>
            <w:tcBorders>
              <w:top w:val="nil"/>
              <w:left w:val="nil"/>
              <w:bottom w:val="single" w:sz="4" w:space="0" w:color="auto"/>
              <w:right w:val="single" w:sz="4" w:space="0" w:color="auto"/>
            </w:tcBorders>
            <w:shd w:val="clear" w:color="auto" w:fill="auto"/>
            <w:vAlign w:val="center"/>
            <w:hideMark/>
          </w:tcPr>
          <w:p w14:paraId="00AFCFFD" w14:textId="77777777" w:rsidR="00572995" w:rsidRPr="00483EBE" w:rsidRDefault="00572995" w:rsidP="00E8324D">
            <w:pPr>
              <w:pStyle w:val="Tablas"/>
              <w:rPr>
                <w:sz w:val="12"/>
                <w:szCs w:val="12"/>
              </w:rPr>
            </w:pPr>
            <w:r w:rsidRPr="00483EBE">
              <w:rPr>
                <w:sz w:val="12"/>
                <w:szCs w:val="12"/>
              </w:rPr>
              <w:t>$938</w:t>
            </w:r>
          </w:p>
        </w:tc>
        <w:tc>
          <w:tcPr>
            <w:tcW w:w="0" w:type="auto"/>
            <w:tcBorders>
              <w:top w:val="nil"/>
              <w:left w:val="nil"/>
              <w:bottom w:val="single" w:sz="4" w:space="0" w:color="auto"/>
              <w:right w:val="single" w:sz="4" w:space="0" w:color="auto"/>
            </w:tcBorders>
            <w:shd w:val="clear" w:color="auto" w:fill="auto"/>
            <w:vAlign w:val="center"/>
            <w:hideMark/>
          </w:tcPr>
          <w:p w14:paraId="73CAD1E2" w14:textId="77777777" w:rsidR="00572995" w:rsidRPr="00483EBE" w:rsidRDefault="00572995" w:rsidP="00E8324D">
            <w:pPr>
              <w:pStyle w:val="Tablas"/>
              <w:rPr>
                <w:sz w:val="12"/>
                <w:szCs w:val="12"/>
              </w:rPr>
            </w:pPr>
            <w:r w:rsidRPr="00483EBE">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46E2C08D"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401ACA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4A3F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6BD16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4E3BF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5FEFE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83B4C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BB2F2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30CC47D" w14:textId="77777777" w:rsidR="00572995" w:rsidRPr="00483EBE" w:rsidRDefault="00572995" w:rsidP="00E8324D">
            <w:pPr>
              <w:pStyle w:val="Tablas"/>
              <w:rPr>
                <w:sz w:val="12"/>
                <w:szCs w:val="12"/>
              </w:rPr>
            </w:pPr>
            <w:r w:rsidRPr="00483EBE">
              <w:rPr>
                <w:sz w:val="12"/>
                <w:szCs w:val="12"/>
              </w:rPr>
              <w:t> </w:t>
            </w:r>
          </w:p>
        </w:tc>
      </w:tr>
      <w:tr w:rsidR="00572995" w:rsidRPr="00483EBE" w14:paraId="4F473C6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ADED037"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40E68A39"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6751880B" w14:textId="77777777" w:rsidR="00572995" w:rsidRPr="00483EBE" w:rsidRDefault="00572995" w:rsidP="00E8324D">
            <w:pPr>
              <w:pStyle w:val="Tablas"/>
              <w:rPr>
                <w:sz w:val="12"/>
                <w:szCs w:val="12"/>
              </w:rPr>
            </w:pPr>
            <w:r w:rsidRPr="00483EBE">
              <w:rPr>
                <w:sz w:val="12"/>
                <w:szCs w:val="12"/>
              </w:rPr>
              <w:t>$2,535</w:t>
            </w:r>
          </w:p>
        </w:tc>
        <w:tc>
          <w:tcPr>
            <w:tcW w:w="0" w:type="auto"/>
            <w:tcBorders>
              <w:top w:val="nil"/>
              <w:left w:val="nil"/>
              <w:bottom w:val="single" w:sz="4" w:space="0" w:color="auto"/>
              <w:right w:val="single" w:sz="4" w:space="0" w:color="auto"/>
            </w:tcBorders>
            <w:shd w:val="clear" w:color="auto" w:fill="auto"/>
            <w:vAlign w:val="center"/>
            <w:hideMark/>
          </w:tcPr>
          <w:p w14:paraId="3DDCF7F2" w14:textId="77777777" w:rsidR="00572995" w:rsidRPr="00483EBE" w:rsidRDefault="00572995" w:rsidP="00E8324D">
            <w:pPr>
              <w:pStyle w:val="Tablas"/>
              <w:rPr>
                <w:sz w:val="12"/>
                <w:szCs w:val="12"/>
              </w:rPr>
            </w:pPr>
            <w:r w:rsidRPr="00483EBE">
              <w:rPr>
                <w:sz w:val="12"/>
                <w:szCs w:val="12"/>
              </w:rPr>
              <w:t>$845</w:t>
            </w:r>
          </w:p>
        </w:tc>
        <w:tc>
          <w:tcPr>
            <w:tcW w:w="0" w:type="auto"/>
            <w:tcBorders>
              <w:top w:val="nil"/>
              <w:left w:val="nil"/>
              <w:bottom w:val="single" w:sz="4" w:space="0" w:color="auto"/>
              <w:right w:val="single" w:sz="4" w:space="0" w:color="auto"/>
            </w:tcBorders>
            <w:shd w:val="clear" w:color="auto" w:fill="auto"/>
            <w:vAlign w:val="center"/>
            <w:hideMark/>
          </w:tcPr>
          <w:p w14:paraId="6120D29B"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433C8064"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3164E6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9C98EB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75EF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5F045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3692C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A8ABB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D0C3C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BF48961" w14:textId="77777777" w:rsidR="00572995" w:rsidRPr="00483EBE" w:rsidRDefault="00572995" w:rsidP="00E8324D">
            <w:pPr>
              <w:pStyle w:val="Tablas"/>
              <w:rPr>
                <w:sz w:val="12"/>
                <w:szCs w:val="12"/>
              </w:rPr>
            </w:pPr>
            <w:r w:rsidRPr="00483EBE">
              <w:rPr>
                <w:sz w:val="12"/>
                <w:szCs w:val="12"/>
              </w:rPr>
              <w:t> </w:t>
            </w:r>
          </w:p>
        </w:tc>
      </w:tr>
      <w:tr w:rsidR="00572995" w:rsidRPr="00483EBE" w14:paraId="6CB85D5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AE455E3"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24BFE0F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0258AF0" w14:textId="77777777" w:rsidR="00572995" w:rsidRPr="00483EBE" w:rsidRDefault="00572995" w:rsidP="00E8324D">
            <w:pPr>
              <w:pStyle w:val="Tablas"/>
              <w:rPr>
                <w:sz w:val="12"/>
                <w:szCs w:val="12"/>
              </w:rPr>
            </w:pPr>
            <w:r w:rsidRPr="00483EBE">
              <w:rPr>
                <w:sz w:val="12"/>
                <w:szCs w:val="12"/>
              </w:rPr>
              <w:t>$822</w:t>
            </w:r>
          </w:p>
        </w:tc>
        <w:tc>
          <w:tcPr>
            <w:tcW w:w="0" w:type="auto"/>
            <w:tcBorders>
              <w:top w:val="nil"/>
              <w:left w:val="nil"/>
              <w:bottom w:val="single" w:sz="4" w:space="0" w:color="auto"/>
              <w:right w:val="single" w:sz="4" w:space="0" w:color="auto"/>
            </w:tcBorders>
            <w:shd w:val="clear" w:color="auto" w:fill="auto"/>
            <w:vAlign w:val="center"/>
            <w:hideMark/>
          </w:tcPr>
          <w:p w14:paraId="6B501005" w14:textId="77777777" w:rsidR="00572995" w:rsidRPr="00483EBE" w:rsidRDefault="00572995" w:rsidP="00E8324D">
            <w:pPr>
              <w:pStyle w:val="Tablas"/>
              <w:rPr>
                <w:sz w:val="12"/>
                <w:szCs w:val="12"/>
              </w:rPr>
            </w:pPr>
            <w:r w:rsidRPr="00483EBE">
              <w:rPr>
                <w:sz w:val="12"/>
                <w:szCs w:val="12"/>
              </w:rPr>
              <w:t>$822</w:t>
            </w:r>
          </w:p>
        </w:tc>
        <w:tc>
          <w:tcPr>
            <w:tcW w:w="0" w:type="auto"/>
            <w:tcBorders>
              <w:top w:val="nil"/>
              <w:left w:val="nil"/>
              <w:bottom w:val="single" w:sz="4" w:space="0" w:color="auto"/>
              <w:right w:val="single" w:sz="4" w:space="0" w:color="auto"/>
            </w:tcBorders>
            <w:shd w:val="clear" w:color="auto" w:fill="auto"/>
            <w:vAlign w:val="center"/>
            <w:hideMark/>
          </w:tcPr>
          <w:p w14:paraId="79839350"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47B75BDF"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04C64E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DC9066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06A41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D29D2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E429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1FAE6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71CBF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5AA2E21" w14:textId="77777777" w:rsidR="00572995" w:rsidRPr="00483EBE" w:rsidRDefault="00572995" w:rsidP="00E8324D">
            <w:pPr>
              <w:pStyle w:val="Tablas"/>
              <w:rPr>
                <w:sz w:val="12"/>
                <w:szCs w:val="12"/>
              </w:rPr>
            </w:pPr>
            <w:r w:rsidRPr="00483EBE">
              <w:rPr>
                <w:sz w:val="12"/>
                <w:szCs w:val="12"/>
              </w:rPr>
              <w:t> </w:t>
            </w:r>
          </w:p>
        </w:tc>
      </w:tr>
      <w:tr w:rsidR="00572995" w:rsidRPr="00483EBE" w14:paraId="3211EA4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7E19E2A"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257D9DD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5F1CAF7F" w14:textId="77777777" w:rsidR="00572995" w:rsidRPr="00483EBE" w:rsidRDefault="00572995" w:rsidP="00E8324D">
            <w:pPr>
              <w:pStyle w:val="Tablas"/>
              <w:rPr>
                <w:sz w:val="12"/>
                <w:szCs w:val="12"/>
              </w:rPr>
            </w:pPr>
            <w:r w:rsidRPr="00483EBE">
              <w:rPr>
                <w:sz w:val="12"/>
                <w:szCs w:val="12"/>
              </w:rPr>
              <w:t>$1,761</w:t>
            </w:r>
          </w:p>
        </w:tc>
        <w:tc>
          <w:tcPr>
            <w:tcW w:w="0" w:type="auto"/>
            <w:tcBorders>
              <w:top w:val="nil"/>
              <w:left w:val="nil"/>
              <w:bottom w:val="single" w:sz="4" w:space="0" w:color="auto"/>
              <w:right w:val="single" w:sz="4" w:space="0" w:color="auto"/>
            </w:tcBorders>
            <w:shd w:val="clear" w:color="auto" w:fill="auto"/>
            <w:vAlign w:val="center"/>
            <w:hideMark/>
          </w:tcPr>
          <w:p w14:paraId="6A858109" w14:textId="77777777" w:rsidR="00572995" w:rsidRPr="00483EBE" w:rsidRDefault="00572995" w:rsidP="00E8324D">
            <w:pPr>
              <w:pStyle w:val="Tablas"/>
              <w:rPr>
                <w:sz w:val="12"/>
                <w:szCs w:val="12"/>
              </w:rPr>
            </w:pPr>
            <w:r w:rsidRPr="00483EBE">
              <w:rPr>
                <w:sz w:val="12"/>
                <w:szCs w:val="12"/>
              </w:rPr>
              <w:t>$881</w:t>
            </w:r>
          </w:p>
        </w:tc>
        <w:tc>
          <w:tcPr>
            <w:tcW w:w="0" w:type="auto"/>
            <w:tcBorders>
              <w:top w:val="nil"/>
              <w:left w:val="nil"/>
              <w:bottom w:val="single" w:sz="4" w:space="0" w:color="auto"/>
              <w:right w:val="single" w:sz="4" w:space="0" w:color="auto"/>
            </w:tcBorders>
            <w:shd w:val="clear" w:color="auto" w:fill="auto"/>
            <w:vAlign w:val="center"/>
            <w:hideMark/>
          </w:tcPr>
          <w:p w14:paraId="1EB437AC"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02C88F90"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6338452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0C0D73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0D036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47E5D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48B4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401E9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E3174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101832C" w14:textId="77777777" w:rsidR="00572995" w:rsidRPr="00483EBE" w:rsidRDefault="00572995" w:rsidP="00E8324D">
            <w:pPr>
              <w:pStyle w:val="Tablas"/>
              <w:rPr>
                <w:sz w:val="12"/>
                <w:szCs w:val="12"/>
              </w:rPr>
            </w:pPr>
            <w:r w:rsidRPr="00483EBE">
              <w:rPr>
                <w:sz w:val="12"/>
                <w:szCs w:val="12"/>
              </w:rPr>
              <w:t> </w:t>
            </w:r>
          </w:p>
        </w:tc>
      </w:tr>
      <w:tr w:rsidR="00572995" w:rsidRPr="00483EBE" w14:paraId="50FAA3D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4548D16"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6AB589A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16EA941" w14:textId="77777777" w:rsidR="00572995" w:rsidRPr="00483EBE" w:rsidRDefault="00572995" w:rsidP="00E8324D">
            <w:pPr>
              <w:pStyle w:val="Tablas"/>
              <w:rPr>
                <w:sz w:val="12"/>
                <w:szCs w:val="12"/>
              </w:rPr>
            </w:pPr>
            <w:r w:rsidRPr="00483EBE">
              <w:rPr>
                <w:sz w:val="12"/>
                <w:szCs w:val="12"/>
              </w:rPr>
              <w:t>$1,299</w:t>
            </w:r>
          </w:p>
        </w:tc>
        <w:tc>
          <w:tcPr>
            <w:tcW w:w="0" w:type="auto"/>
            <w:tcBorders>
              <w:top w:val="nil"/>
              <w:left w:val="nil"/>
              <w:bottom w:val="single" w:sz="4" w:space="0" w:color="auto"/>
              <w:right w:val="single" w:sz="4" w:space="0" w:color="auto"/>
            </w:tcBorders>
            <w:shd w:val="clear" w:color="auto" w:fill="auto"/>
            <w:vAlign w:val="center"/>
            <w:hideMark/>
          </w:tcPr>
          <w:p w14:paraId="1D5FF76F" w14:textId="77777777" w:rsidR="00572995" w:rsidRPr="00483EBE" w:rsidRDefault="00572995" w:rsidP="00E8324D">
            <w:pPr>
              <w:pStyle w:val="Tablas"/>
              <w:rPr>
                <w:sz w:val="12"/>
                <w:szCs w:val="12"/>
              </w:rPr>
            </w:pPr>
            <w:r w:rsidRPr="00483EBE">
              <w:rPr>
                <w:sz w:val="12"/>
                <w:szCs w:val="12"/>
              </w:rPr>
              <w:t>$1,299</w:t>
            </w:r>
          </w:p>
        </w:tc>
        <w:tc>
          <w:tcPr>
            <w:tcW w:w="0" w:type="auto"/>
            <w:tcBorders>
              <w:top w:val="nil"/>
              <w:left w:val="nil"/>
              <w:bottom w:val="single" w:sz="4" w:space="0" w:color="auto"/>
              <w:right w:val="single" w:sz="4" w:space="0" w:color="auto"/>
            </w:tcBorders>
            <w:shd w:val="clear" w:color="auto" w:fill="auto"/>
            <w:vAlign w:val="center"/>
            <w:hideMark/>
          </w:tcPr>
          <w:p w14:paraId="05A4287B"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05B1B148"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CEACC4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ABB7A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B259A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26A53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9D6D1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6E44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56F57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413A702" w14:textId="77777777" w:rsidR="00572995" w:rsidRPr="00483EBE" w:rsidRDefault="00572995" w:rsidP="00E8324D">
            <w:pPr>
              <w:pStyle w:val="Tablas"/>
              <w:rPr>
                <w:sz w:val="12"/>
                <w:szCs w:val="12"/>
              </w:rPr>
            </w:pPr>
            <w:r w:rsidRPr="00483EBE">
              <w:rPr>
                <w:sz w:val="12"/>
                <w:szCs w:val="12"/>
              </w:rPr>
              <w:t> </w:t>
            </w:r>
          </w:p>
        </w:tc>
      </w:tr>
      <w:tr w:rsidR="00572995" w:rsidRPr="00483EBE" w14:paraId="2F553B7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A6D083D" w14:textId="77777777" w:rsidR="00572995" w:rsidRPr="00483EBE" w:rsidRDefault="00572995" w:rsidP="00E8324D">
            <w:pPr>
              <w:pStyle w:val="Tablas"/>
              <w:rPr>
                <w:sz w:val="12"/>
                <w:szCs w:val="12"/>
              </w:rPr>
            </w:pPr>
            <w:r w:rsidRPr="00483EBE">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03E1D36C"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9787FC0" w14:textId="77777777" w:rsidR="00572995" w:rsidRPr="00483EBE" w:rsidRDefault="00572995" w:rsidP="00E8324D">
            <w:pPr>
              <w:pStyle w:val="Tablas"/>
              <w:rPr>
                <w:sz w:val="12"/>
                <w:szCs w:val="12"/>
              </w:rPr>
            </w:pPr>
            <w:r w:rsidRPr="00483EBE">
              <w:rPr>
                <w:sz w:val="12"/>
                <w:szCs w:val="12"/>
              </w:rPr>
              <w:t>$1,499</w:t>
            </w:r>
          </w:p>
        </w:tc>
        <w:tc>
          <w:tcPr>
            <w:tcW w:w="0" w:type="auto"/>
            <w:tcBorders>
              <w:top w:val="nil"/>
              <w:left w:val="nil"/>
              <w:bottom w:val="single" w:sz="4" w:space="0" w:color="auto"/>
              <w:right w:val="single" w:sz="4" w:space="0" w:color="auto"/>
            </w:tcBorders>
            <w:shd w:val="clear" w:color="auto" w:fill="auto"/>
            <w:vAlign w:val="center"/>
            <w:hideMark/>
          </w:tcPr>
          <w:p w14:paraId="6EC98DFD" w14:textId="77777777" w:rsidR="00572995" w:rsidRPr="00483EBE" w:rsidRDefault="00572995" w:rsidP="00E8324D">
            <w:pPr>
              <w:pStyle w:val="Tablas"/>
              <w:rPr>
                <w:sz w:val="12"/>
                <w:szCs w:val="12"/>
              </w:rPr>
            </w:pPr>
            <w:r w:rsidRPr="00483EBE">
              <w:rPr>
                <w:sz w:val="12"/>
                <w:szCs w:val="12"/>
              </w:rPr>
              <w:t>$750</w:t>
            </w:r>
          </w:p>
        </w:tc>
        <w:tc>
          <w:tcPr>
            <w:tcW w:w="0" w:type="auto"/>
            <w:tcBorders>
              <w:top w:val="nil"/>
              <w:left w:val="nil"/>
              <w:bottom w:val="single" w:sz="4" w:space="0" w:color="auto"/>
              <w:right w:val="single" w:sz="4" w:space="0" w:color="auto"/>
            </w:tcBorders>
            <w:shd w:val="clear" w:color="auto" w:fill="auto"/>
            <w:vAlign w:val="center"/>
            <w:hideMark/>
          </w:tcPr>
          <w:p w14:paraId="45590750"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37A7131"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0B55123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A857F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42867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2DCC9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0D8CC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DE674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2E4AA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CF35D75" w14:textId="77777777" w:rsidR="00572995" w:rsidRPr="00483EBE" w:rsidRDefault="00572995" w:rsidP="00E8324D">
            <w:pPr>
              <w:pStyle w:val="Tablas"/>
              <w:rPr>
                <w:sz w:val="12"/>
                <w:szCs w:val="12"/>
              </w:rPr>
            </w:pPr>
            <w:r w:rsidRPr="00483EBE">
              <w:rPr>
                <w:sz w:val="12"/>
                <w:szCs w:val="12"/>
              </w:rPr>
              <w:t> </w:t>
            </w:r>
          </w:p>
        </w:tc>
      </w:tr>
      <w:tr w:rsidR="00572995" w:rsidRPr="00483EBE" w14:paraId="3F16C63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3D6A4D5"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0C7E7B77"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6B532FE9" w14:textId="77777777" w:rsidR="00572995" w:rsidRPr="00483EBE" w:rsidRDefault="00572995" w:rsidP="00E8324D">
            <w:pPr>
              <w:pStyle w:val="Tablas"/>
              <w:rPr>
                <w:sz w:val="12"/>
                <w:szCs w:val="12"/>
              </w:rPr>
            </w:pPr>
            <w:r w:rsidRPr="00483EBE">
              <w:rPr>
                <w:sz w:val="12"/>
                <w:szCs w:val="12"/>
              </w:rPr>
              <w:t>$1,575</w:t>
            </w:r>
          </w:p>
        </w:tc>
        <w:tc>
          <w:tcPr>
            <w:tcW w:w="0" w:type="auto"/>
            <w:tcBorders>
              <w:top w:val="nil"/>
              <w:left w:val="nil"/>
              <w:bottom w:val="single" w:sz="4" w:space="0" w:color="auto"/>
              <w:right w:val="single" w:sz="4" w:space="0" w:color="auto"/>
            </w:tcBorders>
            <w:shd w:val="clear" w:color="auto" w:fill="auto"/>
            <w:vAlign w:val="center"/>
            <w:hideMark/>
          </w:tcPr>
          <w:p w14:paraId="7161F9DF" w14:textId="77777777" w:rsidR="00572995" w:rsidRPr="00483EBE" w:rsidRDefault="00572995" w:rsidP="00E8324D">
            <w:pPr>
              <w:pStyle w:val="Tablas"/>
              <w:rPr>
                <w:sz w:val="12"/>
                <w:szCs w:val="12"/>
              </w:rPr>
            </w:pPr>
            <w:r w:rsidRPr="00483EBE">
              <w:rPr>
                <w:sz w:val="12"/>
                <w:szCs w:val="12"/>
              </w:rPr>
              <w:t>$787</w:t>
            </w:r>
          </w:p>
        </w:tc>
        <w:tc>
          <w:tcPr>
            <w:tcW w:w="0" w:type="auto"/>
            <w:tcBorders>
              <w:top w:val="nil"/>
              <w:left w:val="nil"/>
              <w:bottom w:val="single" w:sz="4" w:space="0" w:color="auto"/>
              <w:right w:val="single" w:sz="4" w:space="0" w:color="auto"/>
            </w:tcBorders>
            <w:shd w:val="clear" w:color="auto" w:fill="auto"/>
            <w:vAlign w:val="center"/>
            <w:hideMark/>
          </w:tcPr>
          <w:p w14:paraId="56BBE682"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0186E4DE"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2F06D1B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3A94F9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5F834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3CF3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596BB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862B3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35A23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49E119F" w14:textId="77777777" w:rsidR="00572995" w:rsidRPr="00483EBE" w:rsidRDefault="00572995" w:rsidP="00E8324D">
            <w:pPr>
              <w:pStyle w:val="Tablas"/>
              <w:rPr>
                <w:sz w:val="12"/>
                <w:szCs w:val="12"/>
              </w:rPr>
            </w:pPr>
            <w:r w:rsidRPr="00483EBE">
              <w:rPr>
                <w:sz w:val="12"/>
                <w:szCs w:val="12"/>
              </w:rPr>
              <w:t> </w:t>
            </w:r>
          </w:p>
        </w:tc>
      </w:tr>
      <w:tr w:rsidR="00572995" w:rsidRPr="00483EBE" w14:paraId="56018E1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BF3ACB"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2E3F5F87"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0409974"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594BE80E" w14:textId="77777777" w:rsidR="00572995" w:rsidRPr="00483EBE" w:rsidRDefault="00572995" w:rsidP="00E8324D">
            <w:pPr>
              <w:pStyle w:val="Tablas"/>
              <w:rPr>
                <w:sz w:val="12"/>
                <w:szCs w:val="12"/>
              </w:rPr>
            </w:pPr>
            <w:r w:rsidRPr="00483EBE">
              <w:rPr>
                <w:sz w:val="12"/>
                <w:szCs w:val="12"/>
              </w:rPr>
              <w:t>$615</w:t>
            </w:r>
          </w:p>
        </w:tc>
        <w:tc>
          <w:tcPr>
            <w:tcW w:w="0" w:type="auto"/>
            <w:tcBorders>
              <w:top w:val="nil"/>
              <w:left w:val="nil"/>
              <w:bottom w:val="single" w:sz="4" w:space="0" w:color="auto"/>
              <w:right w:val="single" w:sz="4" w:space="0" w:color="auto"/>
            </w:tcBorders>
            <w:shd w:val="clear" w:color="auto" w:fill="auto"/>
            <w:vAlign w:val="center"/>
            <w:hideMark/>
          </w:tcPr>
          <w:p w14:paraId="50125706"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6AA15745" w14:textId="77777777" w:rsidR="00572995" w:rsidRPr="00483EBE" w:rsidRDefault="00572995" w:rsidP="00E8324D">
            <w:pPr>
              <w:pStyle w:val="Tablas"/>
              <w:rPr>
                <w:sz w:val="12"/>
                <w:szCs w:val="12"/>
              </w:rPr>
            </w:pPr>
            <w:r w:rsidRPr="00483EBE">
              <w:rPr>
                <w:sz w:val="12"/>
                <w:szCs w:val="12"/>
              </w:rPr>
              <w:t>VIUDEZ</w:t>
            </w:r>
          </w:p>
        </w:tc>
        <w:tc>
          <w:tcPr>
            <w:tcW w:w="0" w:type="auto"/>
            <w:tcBorders>
              <w:top w:val="nil"/>
              <w:left w:val="nil"/>
              <w:bottom w:val="single" w:sz="4" w:space="0" w:color="auto"/>
              <w:right w:val="nil"/>
            </w:tcBorders>
            <w:shd w:val="clear" w:color="auto" w:fill="auto"/>
            <w:vAlign w:val="center"/>
            <w:hideMark/>
          </w:tcPr>
          <w:p w14:paraId="4A9DE6F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6B2064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A7409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64905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01D35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14740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B369A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FE958D4" w14:textId="77777777" w:rsidR="00572995" w:rsidRPr="00483EBE" w:rsidRDefault="00572995" w:rsidP="00E8324D">
            <w:pPr>
              <w:pStyle w:val="Tablas"/>
              <w:rPr>
                <w:sz w:val="12"/>
                <w:szCs w:val="12"/>
              </w:rPr>
            </w:pPr>
            <w:r w:rsidRPr="00483EBE">
              <w:rPr>
                <w:sz w:val="12"/>
                <w:szCs w:val="12"/>
              </w:rPr>
              <w:t> </w:t>
            </w:r>
          </w:p>
        </w:tc>
      </w:tr>
      <w:tr w:rsidR="00572995" w:rsidRPr="00483EBE" w14:paraId="0F0DB87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4B4D05D" w14:textId="77777777" w:rsidR="00572995" w:rsidRPr="00483EBE" w:rsidRDefault="00572995" w:rsidP="00E8324D">
            <w:pPr>
              <w:pStyle w:val="Tablas"/>
              <w:rPr>
                <w:sz w:val="12"/>
                <w:szCs w:val="12"/>
              </w:rPr>
            </w:pPr>
            <w:r w:rsidRPr="00483EBE">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77AA489D"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AB09E27" w14:textId="77777777" w:rsidR="00572995" w:rsidRPr="00483EBE" w:rsidRDefault="00572995" w:rsidP="00E8324D">
            <w:pPr>
              <w:pStyle w:val="Tablas"/>
              <w:rPr>
                <w:sz w:val="12"/>
                <w:szCs w:val="12"/>
              </w:rPr>
            </w:pPr>
            <w:r w:rsidRPr="00483EBE">
              <w:rPr>
                <w:sz w:val="12"/>
                <w:szCs w:val="12"/>
              </w:rPr>
              <w:t>$1,566</w:t>
            </w:r>
          </w:p>
        </w:tc>
        <w:tc>
          <w:tcPr>
            <w:tcW w:w="0" w:type="auto"/>
            <w:tcBorders>
              <w:top w:val="nil"/>
              <w:left w:val="nil"/>
              <w:bottom w:val="single" w:sz="4" w:space="0" w:color="auto"/>
              <w:right w:val="single" w:sz="4" w:space="0" w:color="auto"/>
            </w:tcBorders>
            <w:shd w:val="clear" w:color="auto" w:fill="auto"/>
            <w:vAlign w:val="center"/>
            <w:hideMark/>
          </w:tcPr>
          <w:p w14:paraId="44B02665" w14:textId="77777777" w:rsidR="00572995" w:rsidRPr="00483EBE" w:rsidRDefault="00572995" w:rsidP="00E8324D">
            <w:pPr>
              <w:pStyle w:val="Tablas"/>
              <w:rPr>
                <w:sz w:val="12"/>
                <w:szCs w:val="12"/>
              </w:rPr>
            </w:pPr>
            <w:r w:rsidRPr="00483EBE">
              <w:rPr>
                <w:sz w:val="12"/>
                <w:szCs w:val="12"/>
              </w:rPr>
              <w:t>$1,566</w:t>
            </w:r>
          </w:p>
        </w:tc>
        <w:tc>
          <w:tcPr>
            <w:tcW w:w="0" w:type="auto"/>
            <w:tcBorders>
              <w:top w:val="nil"/>
              <w:left w:val="nil"/>
              <w:bottom w:val="single" w:sz="4" w:space="0" w:color="auto"/>
              <w:right w:val="single" w:sz="4" w:space="0" w:color="auto"/>
            </w:tcBorders>
            <w:shd w:val="clear" w:color="auto" w:fill="auto"/>
            <w:vAlign w:val="center"/>
            <w:hideMark/>
          </w:tcPr>
          <w:p w14:paraId="34BDBD92" w14:textId="77777777" w:rsidR="00572995" w:rsidRPr="00483EBE" w:rsidRDefault="00572995" w:rsidP="00E8324D">
            <w:pPr>
              <w:pStyle w:val="Tablas"/>
              <w:rPr>
                <w:sz w:val="12"/>
                <w:szCs w:val="12"/>
              </w:rPr>
            </w:pPr>
            <w:r w:rsidRPr="00483EBE">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6E1E4B73"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1B416A9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23D2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11D4E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211E1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8C74C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69E6D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CA990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55CAAB5" w14:textId="77777777" w:rsidR="00572995" w:rsidRPr="00483EBE" w:rsidRDefault="00572995" w:rsidP="00E8324D">
            <w:pPr>
              <w:pStyle w:val="Tablas"/>
              <w:rPr>
                <w:sz w:val="12"/>
                <w:szCs w:val="12"/>
              </w:rPr>
            </w:pPr>
            <w:r w:rsidRPr="00483EBE">
              <w:rPr>
                <w:sz w:val="12"/>
                <w:szCs w:val="12"/>
              </w:rPr>
              <w:t> </w:t>
            </w:r>
          </w:p>
        </w:tc>
      </w:tr>
      <w:tr w:rsidR="00572995" w:rsidRPr="00483EBE" w14:paraId="25E82A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C69CD53" w14:textId="77777777" w:rsidR="00572995" w:rsidRPr="00483EBE" w:rsidRDefault="00572995" w:rsidP="00E8324D">
            <w:pPr>
              <w:pStyle w:val="Tablas"/>
              <w:rPr>
                <w:sz w:val="12"/>
                <w:szCs w:val="12"/>
              </w:rPr>
            </w:pPr>
            <w:r w:rsidRPr="00483EBE">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21F6AFD0"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0FC37D0E" w14:textId="77777777" w:rsidR="00572995" w:rsidRPr="00483EBE" w:rsidRDefault="00572995" w:rsidP="00E8324D">
            <w:pPr>
              <w:pStyle w:val="Tablas"/>
              <w:rPr>
                <w:sz w:val="12"/>
                <w:szCs w:val="12"/>
              </w:rPr>
            </w:pPr>
            <w:r w:rsidRPr="00483EBE">
              <w:rPr>
                <w:sz w:val="12"/>
                <w:szCs w:val="12"/>
              </w:rPr>
              <w:t>$8,483</w:t>
            </w:r>
          </w:p>
        </w:tc>
        <w:tc>
          <w:tcPr>
            <w:tcW w:w="0" w:type="auto"/>
            <w:tcBorders>
              <w:top w:val="nil"/>
              <w:left w:val="nil"/>
              <w:bottom w:val="single" w:sz="4" w:space="0" w:color="auto"/>
              <w:right w:val="single" w:sz="4" w:space="0" w:color="auto"/>
            </w:tcBorders>
            <w:shd w:val="clear" w:color="auto" w:fill="auto"/>
            <w:vAlign w:val="center"/>
            <w:hideMark/>
          </w:tcPr>
          <w:p w14:paraId="59A1484B" w14:textId="77777777" w:rsidR="00572995" w:rsidRPr="00483EBE" w:rsidRDefault="00572995" w:rsidP="00E8324D">
            <w:pPr>
              <w:pStyle w:val="Tablas"/>
              <w:rPr>
                <w:sz w:val="12"/>
                <w:szCs w:val="12"/>
              </w:rPr>
            </w:pPr>
            <w:r w:rsidRPr="00483EBE">
              <w:rPr>
                <w:sz w:val="12"/>
                <w:szCs w:val="12"/>
              </w:rPr>
              <w:t>$1,212</w:t>
            </w:r>
          </w:p>
        </w:tc>
        <w:tc>
          <w:tcPr>
            <w:tcW w:w="0" w:type="auto"/>
            <w:tcBorders>
              <w:top w:val="nil"/>
              <w:left w:val="nil"/>
              <w:bottom w:val="single" w:sz="4" w:space="0" w:color="auto"/>
              <w:right w:val="single" w:sz="4" w:space="0" w:color="auto"/>
            </w:tcBorders>
            <w:shd w:val="clear" w:color="auto" w:fill="auto"/>
            <w:vAlign w:val="center"/>
            <w:hideMark/>
          </w:tcPr>
          <w:p w14:paraId="1B5F46A8" w14:textId="77777777" w:rsidR="00572995" w:rsidRPr="00483EBE" w:rsidRDefault="00572995" w:rsidP="00E8324D">
            <w:pPr>
              <w:pStyle w:val="Tablas"/>
              <w:rPr>
                <w:sz w:val="12"/>
                <w:szCs w:val="12"/>
              </w:rPr>
            </w:pPr>
            <w:r w:rsidRPr="00483EBE">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3126539A"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26621A1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C904B8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ADA1E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29E9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FFE0F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675D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78AAD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B3EDE70" w14:textId="77777777" w:rsidR="00572995" w:rsidRPr="00483EBE" w:rsidRDefault="00572995" w:rsidP="00E8324D">
            <w:pPr>
              <w:pStyle w:val="Tablas"/>
              <w:rPr>
                <w:sz w:val="12"/>
                <w:szCs w:val="12"/>
              </w:rPr>
            </w:pPr>
            <w:r w:rsidRPr="00483EBE">
              <w:rPr>
                <w:sz w:val="12"/>
                <w:szCs w:val="12"/>
              </w:rPr>
              <w:t> </w:t>
            </w:r>
          </w:p>
        </w:tc>
      </w:tr>
      <w:tr w:rsidR="00572995" w:rsidRPr="00483EBE" w14:paraId="2BED5FF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6B28893" w14:textId="77777777" w:rsidR="00572995" w:rsidRPr="00483EBE" w:rsidRDefault="00572995" w:rsidP="00E8324D">
            <w:pPr>
              <w:pStyle w:val="Tablas"/>
              <w:rPr>
                <w:sz w:val="12"/>
                <w:szCs w:val="12"/>
              </w:rPr>
            </w:pPr>
            <w:r w:rsidRPr="00483EBE">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1A2E4BB7"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7D1B7CED" w14:textId="77777777" w:rsidR="00572995" w:rsidRPr="00483EBE" w:rsidRDefault="00572995" w:rsidP="00E8324D">
            <w:pPr>
              <w:pStyle w:val="Tablas"/>
              <w:rPr>
                <w:sz w:val="12"/>
                <w:szCs w:val="12"/>
              </w:rPr>
            </w:pPr>
            <w:r w:rsidRPr="00483EBE">
              <w:rPr>
                <w:sz w:val="12"/>
                <w:szCs w:val="12"/>
              </w:rPr>
              <w:t>$10,912</w:t>
            </w:r>
          </w:p>
        </w:tc>
        <w:tc>
          <w:tcPr>
            <w:tcW w:w="0" w:type="auto"/>
            <w:tcBorders>
              <w:top w:val="nil"/>
              <w:left w:val="nil"/>
              <w:bottom w:val="single" w:sz="4" w:space="0" w:color="auto"/>
              <w:right w:val="single" w:sz="4" w:space="0" w:color="auto"/>
            </w:tcBorders>
            <w:shd w:val="clear" w:color="auto" w:fill="auto"/>
            <w:vAlign w:val="center"/>
            <w:hideMark/>
          </w:tcPr>
          <w:p w14:paraId="22947AF3" w14:textId="77777777" w:rsidR="00572995" w:rsidRPr="00483EBE" w:rsidRDefault="00572995" w:rsidP="00E8324D">
            <w:pPr>
              <w:pStyle w:val="Tablas"/>
              <w:rPr>
                <w:sz w:val="12"/>
                <w:szCs w:val="12"/>
              </w:rPr>
            </w:pPr>
            <w:r w:rsidRPr="00483EBE">
              <w:rPr>
                <w:sz w:val="12"/>
                <w:szCs w:val="12"/>
              </w:rPr>
              <w:t>$992</w:t>
            </w:r>
          </w:p>
        </w:tc>
        <w:tc>
          <w:tcPr>
            <w:tcW w:w="0" w:type="auto"/>
            <w:tcBorders>
              <w:top w:val="nil"/>
              <w:left w:val="nil"/>
              <w:bottom w:val="single" w:sz="4" w:space="0" w:color="auto"/>
              <w:right w:val="single" w:sz="4" w:space="0" w:color="auto"/>
            </w:tcBorders>
            <w:shd w:val="clear" w:color="auto" w:fill="auto"/>
            <w:vAlign w:val="center"/>
            <w:hideMark/>
          </w:tcPr>
          <w:p w14:paraId="353D70A7"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11178F3D"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FDEBF1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F55F4C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9D4A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47498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DDC3F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B302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6CAA6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CD113B1" w14:textId="77777777" w:rsidR="00572995" w:rsidRPr="00483EBE" w:rsidRDefault="00572995" w:rsidP="00E8324D">
            <w:pPr>
              <w:pStyle w:val="Tablas"/>
              <w:rPr>
                <w:sz w:val="12"/>
                <w:szCs w:val="12"/>
              </w:rPr>
            </w:pPr>
            <w:r w:rsidRPr="00483EBE">
              <w:rPr>
                <w:sz w:val="12"/>
                <w:szCs w:val="12"/>
              </w:rPr>
              <w:t> </w:t>
            </w:r>
          </w:p>
        </w:tc>
      </w:tr>
      <w:tr w:rsidR="00572995" w:rsidRPr="00483EBE" w14:paraId="102DE9E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867718" w14:textId="77777777" w:rsidR="00572995" w:rsidRPr="00483EBE" w:rsidRDefault="00572995" w:rsidP="00E8324D">
            <w:pPr>
              <w:pStyle w:val="Tablas"/>
              <w:rPr>
                <w:sz w:val="12"/>
                <w:szCs w:val="12"/>
              </w:rPr>
            </w:pPr>
            <w:r w:rsidRPr="00483EBE">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5D93A5B0" w14:textId="77777777" w:rsidR="00572995" w:rsidRPr="00483EBE" w:rsidRDefault="00572995" w:rsidP="00E8324D">
            <w:pPr>
              <w:pStyle w:val="Tablas"/>
              <w:rPr>
                <w:sz w:val="12"/>
                <w:szCs w:val="12"/>
              </w:rPr>
            </w:pPr>
            <w:r w:rsidRPr="00483EBE">
              <w:rPr>
                <w:sz w:val="12"/>
                <w:szCs w:val="12"/>
              </w:rPr>
              <w:t xml:space="preserve">16 </w:t>
            </w:r>
          </w:p>
        </w:tc>
        <w:tc>
          <w:tcPr>
            <w:tcW w:w="0" w:type="auto"/>
            <w:tcBorders>
              <w:top w:val="nil"/>
              <w:left w:val="nil"/>
              <w:bottom w:val="single" w:sz="4" w:space="0" w:color="auto"/>
              <w:right w:val="single" w:sz="4" w:space="0" w:color="auto"/>
            </w:tcBorders>
            <w:shd w:val="clear" w:color="auto" w:fill="auto"/>
            <w:vAlign w:val="center"/>
            <w:hideMark/>
          </w:tcPr>
          <w:p w14:paraId="04484634" w14:textId="77777777" w:rsidR="00572995" w:rsidRPr="00483EBE" w:rsidRDefault="00572995" w:rsidP="00E8324D">
            <w:pPr>
              <w:pStyle w:val="Tablas"/>
              <w:rPr>
                <w:sz w:val="12"/>
                <w:szCs w:val="12"/>
              </w:rPr>
            </w:pPr>
            <w:r w:rsidRPr="00483EBE">
              <w:rPr>
                <w:sz w:val="12"/>
                <w:szCs w:val="12"/>
              </w:rPr>
              <w:t>$13,734</w:t>
            </w:r>
          </w:p>
        </w:tc>
        <w:tc>
          <w:tcPr>
            <w:tcW w:w="0" w:type="auto"/>
            <w:tcBorders>
              <w:top w:val="nil"/>
              <w:left w:val="nil"/>
              <w:bottom w:val="single" w:sz="4" w:space="0" w:color="auto"/>
              <w:right w:val="single" w:sz="4" w:space="0" w:color="auto"/>
            </w:tcBorders>
            <w:shd w:val="clear" w:color="auto" w:fill="auto"/>
            <w:vAlign w:val="center"/>
            <w:hideMark/>
          </w:tcPr>
          <w:p w14:paraId="63B9F6A1" w14:textId="77777777" w:rsidR="00572995" w:rsidRPr="00483EBE" w:rsidRDefault="00572995" w:rsidP="00E8324D">
            <w:pPr>
              <w:pStyle w:val="Tablas"/>
              <w:rPr>
                <w:sz w:val="12"/>
                <w:szCs w:val="12"/>
              </w:rPr>
            </w:pPr>
            <w:r w:rsidRPr="00483EBE">
              <w:rPr>
                <w:sz w:val="12"/>
                <w:szCs w:val="12"/>
              </w:rPr>
              <w:t>$858</w:t>
            </w:r>
          </w:p>
        </w:tc>
        <w:tc>
          <w:tcPr>
            <w:tcW w:w="0" w:type="auto"/>
            <w:tcBorders>
              <w:top w:val="nil"/>
              <w:left w:val="nil"/>
              <w:bottom w:val="single" w:sz="4" w:space="0" w:color="auto"/>
              <w:right w:val="single" w:sz="4" w:space="0" w:color="auto"/>
            </w:tcBorders>
            <w:shd w:val="clear" w:color="auto" w:fill="auto"/>
            <w:vAlign w:val="center"/>
            <w:hideMark/>
          </w:tcPr>
          <w:p w14:paraId="7037721A"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1A2133B4"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6C9355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0111AB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3B71F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90F31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C9AC3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DFA58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DECC3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04D4A72" w14:textId="77777777" w:rsidR="00572995" w:rsidRPr="00483EBE" w:rsidRDefault="00572995" w:rsidP="00E8324D">
            <w:pPr>
              <w:pStyle w:val="Tablas"/>
              <w:rPr>
                <w:sz w:val="12"/>
                <w:szCs w:val="12"/>
              </w:rPr>
            </w:pPr>
            <w:r w:rsidRPr="00483EBE">
              <w:rPr>
                <w:sz w:val="12"/>
                <w:szCs w:val="12"/>
              </w:rPr>
              <w:t> </w:t>
            </w:r>
          </w:p>
        </w:tc>
      </w:tr>
      <w:tr w:rsidR="00572995" w:rsidRPr="00483EBE" w14:paraId="2CFA2E4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C7331BD" w14:textId="77777777" w:rsidR="00572995" w:rsidRPr="00483EBE" w:rsidRDefault="00572995" w:rsidP="00E8324D">
            <w:pPr>
              <w:pStyle w:val="Tablas"/>
              <w:rPr>
                <w:sz w:val="12"/>
                <w:szCs w:val="12"/>
              </w:rPr>
            </w:pPr>
            <w:r w:rsidRPr="00483EBE">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7A47EBEF" w14:textId="77777777" w:rsidR="00572995" w:rsidRPr="00483EBE" w:rsidRDefault="00572995" w:rsidP="00E8324D">
            <w:pPr>
              <w:pStyle w:val="Tablas"/>
              <w:rPr>
                <w:sz w:val="12"/>
                <w:szCs w:val="12"/>
              </w:rPr>
            </w:pPr>
            <w:r w:rsidRPr="00483EBE">
              <w:rPr>
                <w:sz w:val="12"/>
                <w:szCs w:val="12"/>
              </w:rPr>
              <w:t xml:space="preserve">21 </w:t>
            </w:r>
          </w:p>
        </w:tc>
        <w:tc>
          <w:tcPr>
            <w:tcW w:w="0" w:type="auto"/>
            <w:tcBorders>
              <w:top w:val="nil"/>
              <w:left w:val="nil"/>
              <w:bottom w:val="single" w:sz="4" w:space="0" w:color="auto"/>
              <w:right w:val="single" w:sz="4" w:space="0" w:color="auto"/>
            </w:tcBorders>
            <w:shd w:val="clear" w:color="auto" w:fill="auto"/>
            <w:vAlign w:val="center"/>
            <w:hideMark/>
          </w:tcPr>
          <w:p w14:paraId="34332C95" w14:textId="77777777" w:rsidR="00572995" w:rsidRPr="00483EBE" w:rsidRDefault="00572995" w:rsidP="00E8324D">
            <w:pPr>
              <w:pStyle w:val="Tablas"/>
              <w:rPr>
                <w:sz w:val="12"/>
                <w:szCs w:val="12"/>
              </w:rPr>
            </w:pPr>
            <w:r w:rsidRPr="00483EBE">
              <w:rPr>
                <w:sz w:val="12"/>
                <w:szCs w:val="12"/>
              </w:rPr>
              <w:t>$23,841</w:t>
            </w:r>
          </w:p>
        </w:tc>
        <w:tc>
          <w:tcPr>
            <w:tcW w:w="0" w:type="auto"/>
            <w:tcBorders>
              <w:top w:val="nil"/>
              <w:left w:val="nil"/>
              <w:bottom w:val="single" w:sz="4" w:space="0" w:color="auto"/>
              <w:right w:val="single" w:sz="4" w:space="0" w:color="auto"/>
            </w:tcBorders>
            <w:shd w:val="clear" w:color="auto" w:fill="auto"/>
            <w:vAlign w:val="center"/>
            <w:hideMark/>
          </w:tcPr>
          <w:p w14:paraId="2A42143E" w14:textId="77777777" w:rsidR="00572995" w:rsidRPr="00483EBE" w:rsidRDefault="00572995" w:rsidP="00E8324D">
            <w:pPr>
              <w:pStyle w:val="Tablas"/>
              <w:rPr>
                <w:sz w:val="12"/>
                <w:szCs w:val="12"/>
              </w:rPr>
            </w:pPr>
            <w:r w:rsidRPr="00483EBE">
              <w:rPr>
                <w:sz w:val="12"/>
                <w:szCs w:val="12"/>
              </w:rPr>
              <w:t>$1,135</w:t>
            </w:r>
          </w:p>
        </w:tc>
        <w:tc>
          <w:tcPr>
            <w:tcW w:w="0" w:type="auto"/>
            <w:tcBorders>
              <w:top w:val="nil"/>
              <w:left w:val="nil"/>
              <w:bottom w:val="single" w:sz="4" w:space="0" w:color="auto"/>
              <w:right w:val="single" w:sz="4" w:space="0" w:color="auto"/>
            </w:tcBorders>
            <w:shd w:val="clear" w:color="auto" w:fill="auto"/>
            <w:vAlign w:val="center"/>
            <w:hideMark/>
          </w:tcPr>
          <w:p w14:paraId="440F4645"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1907A44E"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536F2A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07612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2724B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B8F4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8F430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0C180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0270E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AB215C6" w14:textId="77777777" w:rsidR="00572995" w:rsidRPr="00483EBE" w:rsidRDefault="00572995" w:rsidP="00E8324D">
            <w:pPr>
              <w:pStyle w:val="Tablas"/>
              <w:rPr>
                <w:sz w:val="12"/>
                <w:szCs w:val="12"/>
              </w:rPr>
            </w:pPr>
            <w:r w:rsidRPr="00483EBE">
              <w:rPr>
                <w:sz w:val="12"/>
                <w:szCs w:val="12"/>
              </w:rPr>
              <w:t> </w:t>
            </w:r>
          </w:p>
        </w:tc>
      </w:tr>
      <w:tr w:rsidR="00572995" w:rsidRPr="00483EBE" w14:paraId="417CD2D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4CD984F" w14:textId="77777777" w:rsidR="00572995" w:rsidRPr="00483EBE" w:rsidRDefault="00572995" w:rsidP="00E8324D">
            <w:pPr>
              <w:pStyle w:val="Tablas"/>
              <w:rPr>
                <w:sz w:val="12"/>
                <w:szCs w:val="12"/>
              </w:rPr>
            </w:pPr>
            <w:r w:rsidRPr="00483EBE">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2E58CB9E"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1F8839BA" w14:textId="77777777" w:rsidR="00572995" w:rsidRPr="00483EBE" w:rsidRDefault="00572995" w:rsidP="00E8324D">
            <w:pPr>
              <w:pStyle w:val="Tablas"/>
              <w:rPr>
                <w:sz w:val="12"/>
                <w:szCs w:val="12"/>
              </w:rPr>
            </w:pPr>
            <w:r w:rsidRPr="00483EBE">
              <w:rPr>
                <w:sz w:val="12"/>
                <w:szCs w:val="12"/>
              </w:rPr>
              <w:t>$27,047</w:t>
            </w:r>
          </w:p>
        </w:tc>
        <w:tc>
          <w:tcPr>
            <w:tcW w:w="0" w:type="auto"/>
            <w:tcBorders>
              <w:top w:val="nil"/>
              <w:left w:val="nil"/>
              <w:bottom w:val="single" w:sz="4" w:space="0" w:color="auto"/>
              <w:right w:val="single" w:sz="4" w:space="0" w:color="auto"/>
            </w:tcBorders>
            <w:shd w:val="clear" w:color="auto" w:fill="auto"/>
            <w:vAlign w:val="center"/>
            <w:hideMark/>
          </w:tcPr>
          <w:p w14:paraId="481B596E" w14:textId="77777777" w:rsidR="00572995" w:rsidRPr="00483EBE" w:rsidRDefault="00572995" w:rsidP="00E8324D">
            <w:pPr>
              <w:pStyle w:val="Tablas"/>
              <w:rPr>
                <w:sz w:val="12"/>
                <w:szCs w:val="12"/>
              </w:rPr>
            </w:pPr>
            <w:r w:rsidRPr="00483EBE">
              <w:rPr>
                <w:sz w:val="12"/>
                <w:szCs w:val="12"/>
              </w:rPr>
              <w:t>$1,229</w:t>
            </w:r>
          </w:p>
        </w:tc>
        <w:tc>
          <w:tcPr>
            <w:tcW w:w="0" w:type="auto"/>
            <w:tcBorders>
              <w:top w:val="nil"/>
              <w:left w:val="nil"/>
              <w:bottom w:val="single" w:sz="4" w:space="0" w:color="auto"/>
              <w:right w:val="single" w:sz="4" w:space="0" w:color="auto"/>
            </w:tcBorders>
            <w:shd w:val="clear" w:color="auto" w:fill="auto"/>
            <w:vAlign w:val="center"/>
            <w:hideMark/>
          </w:tcPr>
          <w:p w14:paraId="5C42A807" w14:textId="77777777" w:rsidR="00572995" w:rsidRPr="00483EBE" w:rsidRDefault="00572995" w:rsidP="00E8324D">
            <w:pPr>
              <w:pStyle w:val="Tablas"/>
              <w:rPr>
                <w:sz w:val="12"/>
                <w:szCs w:val="12"/>
              </w:rPr>
            </w:pPr>
            <w:r w:rsidRPr="00483EBE">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0434F0EF"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7E0BB2D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DA221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5B1A7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13D51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E3EA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A5C54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8DC83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F462816" w14:textId="77777777" w:rsidR="00572995" w:rsidRPr="00483EBE" w:rsidRDefault="00572995" w:rsidP="00E8324D">
            <w:pPr>
              <w:pStyle w:val="Tablas"/>
              <w:rPr>
                <w:sz w:val="12"/>
                <w:szCs w:val="12"/>
              </w:rPr>
            </w:pPr>
            <w:r w:rsidRPr="00483EBE">
              <w:rPr>
                <w:sz w:val="12"/>
                <w:szCs w:val="12"/>
              </w:rPr>
              <w:t> </w:t>
            </w:r>
          </w:p>
        </w:tc>
      </w:tr>
      <w:tr w:rsidR="00572995" w:rsidRPr="00483EBE" w14:paraId="6C5350B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CB1963C" w14:textId="77777777" w:rsidR="00572995" w:rsidRPr="00483EBE" w:rsidRDefault="00572995" w:rsidP="00E8324D">
            <w:pPr>
              <w:pStyle w:val="Tablas"/>
              <w:rPr>
                <w:sz w:val="12"/>
                <w:szCs w:val="12"/>
              </w:rPr>
            </w:pPr>
            <w:r w:rsidRPr="00483EBE">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73DD7FF8" w14:textId="77777777" w:rsidR="00572995" w:rsidRPr="00483EBE" w:rsidRDefault="00572995" w:rsidP="00E8324D">
            <w:pPr>
              <w:pStyle w:val="Tablas"/>
              <w:rPr>
                <w:sz w:val="12"/>
                <w:szCs w:val="12"/>
              </w:rPr>
            </w:pPr>
            <w:r w:rsidRPr="00483EBE">
              <w:rPr>
                <w:sz w:val="12"/>
                <w:szCs w:val="12"/>
              </w:rPr>
              <w:t xml:space="preserve">30 </w:t>
            </w:r>
          </w:p>
        </w:tc>
        <w:tc>
          <w:tcPr>
            <w:tcW w:w="0" w:type="auto"/>
            <w:tcBorders>
              <w:top w:val="nil"/>
              <w:left w:val="nil"/>
              <w:bottom w:val="single" w:sz="4" w:space="0" w:color="auto"/>
              <w:right w:val="single" w:sz="4" w:space="0" w:color="auto"/>
            </w:tcBorders>
            <w:shd w:val="clear" w:color="auto" w:fill="auto"/>
            <w:vAlign w:val="center"/>
            <w:hideMark/>
          </w:tcPr>
          <w:p w14:paraId="138336D2" w14:textId="77777777" w:rsidR="00572995" w:rsidRPr="00483EBE" w:rsidRDefault="00572995" w:rsidP="00E8324D">
            <w:pPr>
              <w:pStyle w:val="Tablas"/>
              <w:rPr>
                <w:sz w:val="12"/>
                <w:szCs w:val="12"/>
              </w:rPr>
            </w:pPr>
            <w:r w:rsidRPr="00483EBE">
              <w:rPr>
                <w:sz w:val="12"/>
                <w:szCs w:val="12"/>
              </w:rPr>
              <w:t>$34,376</w:t>
            </w:r>
          </w:p>
        </w:tc>
        <w:tc>
          <w:tcPr>
            <w:tcW w:w="0" w:type="auto"/>
            <w:tcBorders>
              <w:top w:val="nil"/>
              <w:left w:val="nil"/>
              <w:bottom w:val="single" w:sz="4" w:space="0" w:color="auto"/>
              <w:right w:val="single" w:sz="4" w:space="0" w:color="auto"/>
            </w:tcBorders>
            <w:shd w:val="clear" w:color="auto" w:fill="auto"/>
            <w:vAlign w:val="center"/>
            <w:hideMark/>
          </w:tcPr>
          <w:p w14:paraId="2BDAD528" w14:textId="77777777" w:rsidR="00572995" w:rsidRPr="00483EBE" w:rsidRDefault="00572995" w:rsidP="00E8324D">
            <w:pPr>
              <w:pStyle w:val="Tablas"/>
              <w:rPr>
                <w:sz w:val="12"/>
                <w:szCs w:val="12"/>
              </w:rPr>
            </w:pPr>
            <w:r w:rsidRPr="00483EBE">
              <w:rPr>
                <w:sz w:val="12"/>
                <w:szCs w:val="12"/>
              </w:rPr>
              <w:t>$1,146</w:t>
            </w:r>
          </w:p>
        </w:tc>
        <w:tc>
          <w:tcPr>
            <w:tcW w:w="0" w:type="auto"/>
            <w:tcBorders>
              <w:top w:val="nil"/>
              <w:left w:val="nil"/>
              <w:bottom w:val="single" w:sz="4" w:space="0" w:color="auto"/>
              <w:right w:val="single" w:sz="4" w:space="0" w:color="auto"/>
            </w:tcBorders>
            <w:shd w:val="clear" w:color="auto" w:fill="auto"/>
            <w:vAlign w:val="center"/>
            <w:hideMark/>
          </w:tcPr>
          <w:p w14:paraId="05302239" w14:textId="77777777" w:rsidR="00572995" w:rsidRPr="00483EBE" w:rsidRDefault="00572995" w:rsidP="00E8324D">
            <w:pPr>
              <w:pStyle w:val="Tablas"/>
              <w:rPr>
                <w:sz w:val="12"/>
                <w:szCs w:val="12"/>
              </w:rPr>
            </w:pPr>
            <w:r w:rsidRPr="00483EBE">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229D8B26"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10EFEB4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F20C3C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04693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4613D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74E2C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2D79F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ACA1A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5C1F150" w14:textId="77777777" w:rsidR="00572995" w:rsidRPr="00483EBE" w:rsidRDefault="00572995" w:rsidP="00E8324D">
            <w:pPr>
              <w:pStyle w:val="Tablas"/>
              <w:rPr>
                <w:sz w:val="12"/>
                <w:szCs w:val="12"/>
              </w:rPr>
            </w:pPr>
            <w:r w:rsidRPr="00483EBE">
              <w:rPr>
                <w:sz w:val="12"/>
                <w:szCs w:val="12"/>
              </w:rPr>
              <w:t> </w:t>
            </w:r>
          </w:p>
        </w:tc>
      </w:tr>
      <w:tr w:rsidR="00572995" w:rsidRPr="00483EBE" w14:paraId="49190F7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34C87B2" w14:textId="77777777" w:rsidR="00572995" w:rsidRPr="00483EBE" w:rsidRDefault="00572995" w:rsidP="00E8324D">
            <w:pPr>
              <w:pStyle w:val="Tablas"/>
              <w:rPr>
                <w:sz w:val="12"/>
                <w:szCs w:val="12"/>
              </w:rPr>
            </w:pPr>
            <w:r w:rsidRPr="00483EBE">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39FEA463" w14:textId="77777777" w:rsidR="00572995" w:rsidRPr="00483EBE" w:rsidRDefault="00572995" w:rsidP="00E8324D">
            <w:pPr>
              <w:pStyle w:val="Tablas"/>
              <w:rPr>
                <w:sz w:val="12"/>
                <w:szCs w:val="12"/>
              </w:rPr>
            </w:pPr>
            <w:r w:rsidRPr="00483EBE">
              <w:rPr>
                <w:sz w:val="12"/>
                <w:szCs w:val="12"/>
              </w:rPr>
              <w:t xml:space="preserve">40 </w:t>
            </w:r>
          </w:p>
        </w:tc>
        <w:tc>
          <w:tcPr>
            <w:tcW w:w="0" w:type="auto"/>
            <w:tcBorders>
              <w:top w:val="nil"/>
              <w:left w:val="nil"/>
              <w:bottom w:val="single" w:sz="4" w:space="0" w:color="auto"/>
              <w:right w:val="single" w:sz="4" w:space="0" w:color="auto"/>
            </w:tcBorders>
            <w:shd w:val="clear" w:color="auto" w:fill="auto"/>
            <w:vAlign w:val="center"/>
            <w:hideMark/>
          </w:tcPr>
          <w:p w14:paraId="78F532F1" w14:textId="77777777" w:rsidR="00572995" w:rsidRPr="00483EBE" w:rsidRDefault="00572995" w:rsidP="00E8324D">
            <w:pPr>
              <w:pStyle w:val="Tablas"/>
              <w:rPr>
                <w:sz w:val="12"/>
                <w:szCs w:val="12"/>
              </w:rPr>
            </w:pPr>
            <w:r w:rsidRPr="00483EBE">
              <w:rPr>
                <w:sz w:val="12"/>
                <w:szCs w:val="12"/>
              </w:rPr>
              <w:t>$42,667</w:t>
            </w:r>
          </w:p>
        </w:tc>
        <w:tc>
          <w:tcPr>
            <w:tcW w:w="0" w:type="auto"/>
            <w:tcBorders>
              <w:top w:val="nil"/>
              <w:left w:val="nil"/>
              <w:bottom w:val="single" w:sz="4" w:space="0" w:color="auto"/>
              <w:right w:val="single" w:sz="4" w:space="0" w:color="auto"/>
            </w:tcBorders>
            <w:shd w:val="clear" w:color="auto" w:fill="auto"/>
            <w:vAlign w:val="center"/>
            <w:hideMark/>
          </w:tcPr>
          <w:p w14:paraId="71B0449A" w14:textId="77777777" w:rsidR="00572995" w:rsidRPr="00483EBE" w:rsidRDefault="00572995" w:rsidP="00E8324D">
            <w:pPr>
              <w:pStyle w:val="Tablas"/>
              <w:rPr>
                <w:sz w:val="12"/>
                <w:szCs w:val="12"/>
              </w:rPr>
            </w:pPr>
            <w:r w:rsidRPr="00483EBE">
              <w:rPr>
                <w:sz w:val="12"/>
                <w:szCs w:val="12"/>
              </w:rPr>
              <w:t>$1,067</w:t>
            </w:r>
          </w:p>
        </w:tc>
        <w:tc>
          <w:tcPr>
            <w:tcW w:w="0" w:type="auto"/>
            <w:tcBorders>
              <w:top w:val="nil"/>
              <w:left w:val="nil"/>
              <w:bottom w:val="single" w:sz="4" w:space="0" w:color="auto"/>
              <w:right w:val="single" w:sz="4" w:space="0" w:color="auto"/>
            </w:tcBorders>
            <w:shd w:val="clear" w:color="auto" w:fill="auto"/>
            <w:vAlign w:val="center"/>
            <w:hideMark/>
          </w:tcPr>
          <w:p w14:paraId="1244CE4B"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74AAE0F2"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A848B9D"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ECEED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944C3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3B6DE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F3438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281E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ED38D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0AAF22A" w14:textId="77777777" w:rsidR="00572995" w:rsidRPr="00483EBE" w:rsidRDefault="00572995" w:rsidP="00E8324D">
            <w:pPr>
              <w:pStyle w:val="Tablas"/>
              <w:rPr>
                <w:sz w:val="12"/>
                <w:szCs w:val="12"/>
              </w:rPr>
            </w:pPr>
            <w:r w:rsidRPr="00483EBE">
              <w:rPr>
                <w:sz w:val="12"/>
                <w:szCs w:val="12"/>
              </w:rPr>
              <w:t> </w:t>
            </w:r>
          </w:p>
        </w:tc>
      </w:tr>
      <w:tr w:rsidR="00572995" w:rsidRPr="00483EBE" w14:paraId="20DC44B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173631B" w14:textId="77777777" w:rsidR="00572995" w:rsidRPr="00483EBE" w:rsidRDefault="00572995" w:rsidP="00E8324D">
            <w:pPr>
              <w:pStyle w:val="Tablas"/>
              <w:rPr>
                <w:sz w:val="12"/>
                <w:szCs w:val="12"/>
              </w:rPr>
            </w:pPr>
            <w:r w:rsidRPr="00483EBE">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22ADEDF5"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058EA01B" w14:textId="77777777" w:rsidR="00572995" w:rsidRPr="00483EBE" w:rsidRDefault="00572995" w:rsidP="00E8324D">
            <w:pPr>
              <w:pStyle w:val="Tablas"/>
              <w:rPr>
                <w:sz w:val="12"/>
                <w:szCs w:val="12"/>
              </w:rPr>
            </w:pPr>
            <w:r w:rsidRPr="00483EBE">
              <w:rPr>
                <w:sz w:val="12"/>
                <w:szCs w:val="12"/>
              </w:rPr>
              <w:t>$26,767</w:t>
            </w:r>
          </w:p>
        </w:tc>
        <w:tc>
          <w:tcPr>
            <w:tcW w:w="0" w:type="auto"/>
            <w:tcBorders>
              <w:top w:val="nil"/>
              <w:left w:val="nil"/>
              <w:bottom w:val="single" w:sz="4" w:space="0" w:color="auto"/>
              <w:right w:val="single" w:sz="4" w:space="0" w:color="auto"/>
            </w:tcBorders>
            <w:shd w:val="clear" w:color="auto" w:fill="auto"/>
            <w:vAlign w:val="center"/>
            <w:hideMark/>
          </w:tcPr>
          <w:p w14:paraId="4BA0E5F4" w14:textId="77777777" w:rsidR="00572995" w:rsidRPr="00483EBE" w:rsidRDefault="00572995" w:rsidP="00E8324D">
            <w:pPr>
              <w:pStyle w:val="Tablas"/>
              <w:rPr>
                <w:sz w:val="12"/>
                <w:szCs w:val="12"/>
              </w:rPr>
            </w:pPr>
            <w:r w:rsidRPr="00483EBE">
              <w:rPr>
                <w:sz w:val="12"/>
                <w:szCs w:val="12"/>
              </w:rPr>
              <w:t>$1,071</w:t>
            </w:r>
          </w:p>
        </w:tc>
        <w:tc>
          <w:tcPr>
            <w:tcW w:w="0" w:type="auto"/>
            <w:tcBorders>
              <w:top w:val="nil"/>
              <w:left w:val="nil"/>
              <w:bottom w:val="single" w:sz="4" w:space="0" w:color="auto"/>
              <w:right w:val="single" w:sz="4" w:space="0" w:color="auto"/>
            </w:tcBorders>
            <w:shd w:val="clear" w:color="auto" w:fill="auto"/>
            <w:vAlign w:val="center"/>
            <w:hideMark/>
          </w:tcPr>
          <w:p w14:paraId="76A299AE" w14:textId="77777777" w:rsidR="00572995" w:rsidRPr="00483EBE" w:rsidRDefault="00572995" w:rsidP="00E8324D">
            <w:pPr>
              <w:pStyle w:val="Tablas"/>
              <w:rPr>
                <w:sz w:val="12"/>
                <w:szCs w:val="12"/>
              </w:rPr>
            </w:pPr>
            <w:r w:rsidRPr="00483EBE">
              <w:rPr>
                <w:sz w:val="12"/>
                <w:szCs w:val="12"/>
              </w:rPr>
              <w:t>$89</w:t>
            </w:r>
          </w:p>
        </w:tc>
        <w:tc>
          <w:tcPr>
            <w:tcW w:w="0" w:type="auto"/>
            <w:tcBorders>
              <w:top w:val="nil"/>
              <w:left w:val="nil"/>
              <w:bottom w:val="single" w:sz="4" w:space="0" w:color="auto"/>
              <w:right w:val="single" w:sz="4" w:space="0" w:color="auto"/>
            </w:tcBorders>
            <w:shd w:val="clear" w:color="auto" w:fill="auto"/>
            <w:vAlign w:val="center"/>
            <w:hideMark/>
          </w:tcPr>
          <w:p w14:paraId="56EE9275"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1975823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1197E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FC5E0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B0948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3ED24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16332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B549F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EE2762D" w14:textId="77777777" w:rsidR="00572995" w:rsidRPr="00483EBE" w:rsidRDefault="00572995" w:rsidP="00E8324D">
            <w:pPr>
              <w:pStyle w:val="Tablas"/>
              <w:rPr>
                <w:sz w:val="12"/>
                <w:szCs w:val="12"/>
              </w:rPr>
            </w:pPr>
            <w:r w:rsidRPr="00483EBE">
              <w:rPr>
                <w:sz w:val="12"/>
                <w:szCs w:val="12"/>
              </w:rPr>
              <w:t> </w:t>
            </w:r>
          </w:p>
        </w:tc>
      </w:tr>
      <w:tr w:rsidR="00572995" w:rsidRPr="00483EBE" w14:paraId="1150814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D45B677" w14:textId="77777777" w:rsidR="00572995" w:rsidRPr="00483EBE" w:rsidRDefault="00572995" w:rsidP="00E8324D">
            <w:pPr>
              <w:pStyle w:val="Tablas"/>
              <w:rPr>
                <w:sz w:val="12"/>
                <w:szCs w:val="12"/>
              </w:rPr>
            </w:pPr>
            <w:r w:rsidRPr="00483EBE">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3675C8B9" w14:textId="77777777" w:rsidR="00572995" w:rsidRPr="00483EBE" w:rsidRDefault="00572995" w:rsidP="00E8324D">
            <w:pPr>
              <w:pStyle w:val="Tablas"/>
              <w:rPr>
                <w:sz w:val="12"/>
                <w:szCs w:val="12"/>
              </w:rPr>
            </w:pPr>
            <w:r w:rsidRPr="00483EBE">
              <w:rPr>
                <w:sz w:val="12"/>
                <w:szCs w:val="12"/>
              </w:rPr>
              <w:t xml:space="preserve">47 </w:t>
            </w:r>
          </w:p>
        </w:tc>
        <w:tc>
          <w:tcPr>
            <w:tcW w:w="0" w:type="auto"/>
            <w:tcBorders>
              <w:top w:val="nil"/>
              <w:left w:val="nil"/>
              <w:bottom w:val="single" w:sz="4" w:space="0" w:color="auto"/>
              <w:right w:val="single" w:sz="4" w:space="0" w:color="auto"/>
            </w:tcBorders>
            <w:shd w:val="clear" w:color="auto" w:fill="auto"/>
            <w:vAlign w:val="center"/>
            <w:hideMark/>
          </w:tcPr>
          <w:p w14:paraId="5FA244B6" w14:textId="77777777" w:rsidR="00572995" w:rsidRPr="00483EBE" w:rsidRDefault="00572995" w:rsidP="00E8324D">
            <w:pPr>
              <w:pStyle w:val="Tablas"/>
              <w:rPr>
                <w:sz w:val="12"/>
                <w:szCs w:val="12"/>
              </w:rPr>
            </w:pPr>
            <w:r w:rsidRPr="00483EBE">
              <w:rPr>
                <w:sz w:val="12"/>
                <w:szCs w:val="12"/>
              </w:rPr>
              <w:t>$48,331</w:t>
            </w:r>
          </w:p>
        </w:tc>
        <w:tc>
          <w:tcPr>
            <w:tcW w:w="0" w:type="auto"/>
            <w:tcBorders>
              <w:top w:val="nil"/>
              <w:left w:val="nil"/>
              <w:bottom w:val="single" w:sz="4" w:space="0" w:color="auto"/>
              <w:right w:val="single" w:sz="4" w:space="0" w:color="auto"/>
            </w:tcBorders>
            <w:shd w:val="clear" w:color="auto" w:fill="auto"/>
            <w:vAlign w:val="center"/>
            <w:hideMark/>
          </w:tcPr>
          <w:p w14:paraId="6F32DC58" w14:textId="77777777" w:rsidR="00572995" w:rsidRPr="00483EBE" w:rsidRDefault="00572995" w:rsidP="00E8324D">
            <w:pPr>
              <w:pStyle w:val="Tablas"/>
              <w:rPr>
                <w:sz w:val="12"/>
                <w:szCs w:val="12"/>
              </w:rPr>
            </w:pPr>
            <w:r w:rsidRPr="00483EBE">
              <w:rPr>
                <w:sz w:val="12"/>
                <w:szCs w:val="12"/>
              </w:rPr>
              <w:t>$1,028</w:t>
            </w:r>
          </w:p>
        </w:tc>
        <w:tc>
          <w:tcPr>
            <w:tcW w:w="0" w:type="auto"/>
            <w:tcBorders>
              <w:top w:val="nil"/>
              <w:left w:val="nil"/>
              <w:bottom w:val="single" w:sz="4" w:space="0" w:color="auto"/>
              <w:right w:val="single" w:sz="4" w:space="0" w:color="auto"/>
            </w:tcBorders>
            <w:shd w:val="clear" w:color="auto" w:fill="auto"/>
            <w:vAlign w:val="center"/>
            <w:hideMark/>
          </w:tcPr>
          <w:p w14:paraId="0D3C2132" w14:textId="77777777" w:rsidR="00572995" w:rsidRPr="00483EBE" w:rsidRDefault="00572995" w:rsidP="00E8324D">
            <w:pPr>
              <w:pStyle w:val="Tablas"/>
              <w:rPr>
                <w:sz w:val="12"/>
                <w:szCs w:val="12"/>
              </w:rPr>
            </w:pPr>
            <w:r w:rsidRPr="00483EBE">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56D22D24"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581A9DD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025F9D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EE00C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9F8B3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AC58B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D3D32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591A6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B56859D" w14:textId="77777777" w:rsidR="00572995" w:rsidRPr="00483EBE" w:rsidRDefault="00572995" w:rsidP="00E8324D">
            <w:pPr>
              <w:pStyle w:val="Tablas"/>
              <w:rPr>
                <w:sz w:val="12"/>
                <w:szCs w:val="12"/>
              </w:rPr>
            </w:pPr>
            <w:r w:rsidRPr="00483EBE">
              <w:rPr>
                <w:sz w:val="12"/>
                <w:szCs w:val="12"/>
              </w:rPr>
              <w:t> </w:t>
            </w:r>
          </w:p>
        </w:tc>
      </w:tr>
      <w:tr w:rsidR="00572995" w:rsidRPr="00483EBE" w14:paraId="133CF16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87B23FA" w14:textId="77777777" w:rsidR="00572995" w:rsidRPr="00483EBE" w:rsidRDefault="00572995" w:rsidP="00E8324D">
            <w:pPr>
              <w:pStyle w:val="Tablas"/>
              <w:rPr>
                <w:sz w:val="12"/>
                <w:szCs w:val="12"/>
              </w:rPr>
            </w:pPr>
            <w:r w:rsidRPr="00483EBE">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072022B6" w14:textId="77777777" w:rsidR="00572995" w:rsidRPr="00483EBE" w:rsidRDefault="00572995" w:rsidP="00E8324D">
            <w:pPr>
              <w:pStyle w:val="Tablas"/>
              <w:rPr>
                <w:sz w:val="12"/>
                <w:szCs w:val="12"/>
              </w:rPr>
            </w:pPr>
            <w:r w:rsidRPr="00483EBE">
              <w:rPr>
                <w:sz w:val="12"/>
                <w:szCs w:val="12"/>
              </w:rPr>
              <w:t xml:space="preserve">29 </w:t>
            </w:r>
          </w:p>
        </w:tc>
        <w:tc>
          <w:tcPr>
            <w:tcW w:w="0" w:type="auto"/>
            <w:tcBorders>
              <w:top w:val="nil"/>
              <w:left w:val="nil"/>
              <w:bottom w:val="single" w:sz="4" w:space="0" w:color="auto"/>
              <w:right w:val="single" w:sz="4" w:space="0" w:color="auto"/>
            </w:tcBorders>
            <w:shd w:val="clear" w:color="auto" w:fill="auto"/>
            <w:vAlign w:val="center"/>
            <w:hideMark/>
          </w:tcPr>
          <w:p w14:paraId="76E06160" w14:textId="77777777" w:rsidR="00572995" w:rsidRPr="00483EBE" w:rsidRDefault="00572995" w:rsidP="00E8324D">
            <w:pPr>
              <w:pStyle w:val="Tablas"/>
              <w:rPr>
                <w:sz w:val="12"/>
                <w:szCs w:val="12"/>
              </w:rPr>
            </w:pPr>
            <w:r w:rsidRPr="00483EBE">
              <w:rPr>
                <w:sz w:val="12"/>
                <w:szCs w:val="12"/>
              </w:rPr>
              <w:t>$30,451</w:t>
            </w:r>
          </w:p>
        </w:tc>
        <w:tc>
          <w:tcPr>
            <w:tcW w:w="0" w:type="auto"/>
            <w:tcBorders>
              <w:top w:val="nil"/>
              <w:left w:val="nil"/>
              <w:bottom w:val="single" w:sz="4" w:space="0" w:color="auto"/>
              <w:right w:val="single" w:sz="4" w:space="0" w:color="auto"/>
            </w:tcBorders>
            <w:shd w:val="clear" w:color="auto" w:fill="auto"/>
            <w:vAlign w:val="center"/>
            <w:hideMark/>
          </w:tcPr>
          <w:p w14:paraId="1904A819" w14:textId="77777777" w:rsidR="00572995" w:rsidRPr="00483EBE" w:rsidRDefault="00572995" w:rsidP="00E8324D">
            <w:pPr>
              <w:pStyle w:val="Tablas"/>
              <w:rPr>
                <w:sz w:val="12"/>
                <w:szCs w:val="12"/>
              </w:rPr>
            </w:pPr>
            <w:r w:rsidRPr="00483EBE">
              <w:rPr>
                <w:sz w:val="12"/>
                <w:szCs w:val="12"/>
              </w:rPr>
              <w:t>$1,050</w:t>
            </w:r>
          </w:p>
        </w:tc>
        <w:tc>
          <w:tcPr>
            <w:tcW w:w="0" w:type="auto"/>
            <w:tcBorders>
              <w:top w:val="nil"/>
              <w:left w:val="nil"/>
              <w:bottom w:val="single" w:sz="4" w:space="0" w:color="auto"/>
              <w:right w:val="single" w:sz="4" w:space="0" w:color="auto"/>
            </w:tcBorders>
            <w:shd w:val="clear" w:color="auto" w:fill="auto"/>
            <w:vAlign w:val="center"/>
            <w:hideMark/>
          </w:tcPr>
          <w:p w14:paraId="62B1833F" w14:textId="77777777" w:rsidR="00572995" w:rsidRPr="00483EBE" w:rsidRDefault="00572995" w:rsidP="00E8324D">
            <w:pPr>
              <w:pStyle w:val="Tablas"/>
              <w:rPr>
                <w:sz w:val="12"/>
                <w:szCs w:val="12"/>
              </w:rPr>
            </w:pPr>
            <w:r w:rsidRPr="00483EBE">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4F05029E"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E425579"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1D5AFE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A7D4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33C08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6E422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EBB74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E380C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3D02589" w14:textId="77777777" w:rsidR="00572995" w:rsidRPr="00483EBE" w:rsidRDefault="00572995" w:rsidP="00E8324D">
            <w:pPr>
              <w:pStyle w:val="Tablas"/>
              <w:rPr>
                <w:sz w:val="12"/>
                <w:szCs w:val="12"/>
              </w:rPr>
            </w:pPr>
            <w:r w:rsidRPr="00483EBE">
              <w:rPr>
                <w:sz w:val="12"/>
                <w:szCs w:val="12"/>
              </w:rPr>
              <w:t> </w:t>
            </w:r>
          </w:p>
        </w:tc>
      </w:tr>
      <w:tr w:rsidR="00572995" w:rsidRPr="00483EBE" w14:paraId="614A6EB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405E758" w14:textId="77777777" w:rsidR="00572995" w:rsidRPr="00483EBE" w:rsidRDefault="00572995" w:rsidP="00E8324D">
            <w:pPr>
              <w:pStyle w:val="Tablas"/>
              <w:rPr>
                <w:sz w:val="12"/>
                <w:szCs w:val="12"/>
              </w:rPr>
            </w:pPr>
            <w:r w:rsidRPr="00483EBE">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1188D62A" w14:textId="77777777" w:rsidR="00572995" w:rsidRPr="00483EBE" w:rsidRDefault="00572995" w:rsidP="00E8324D">
            <w:pPr>
              <w:pStyle w:val="Tablas"/>
              <w:rPr>
                <w:sz w:val="12"/>
                <w:szCs w:val="12"/>
              </w:rPr>
            </w:pPr>
            <w:r w:rsidRPr="00483EBE">
              <w:rPr>
                <w:sz w:val="12"/>
                <w:szCs w:val="12"/>
              </w:rPr>
              <w:t xml:space="preserve">42 </w:t>
            </w:r>
          </w:p>
        </w:tc>
        <w:tc>
          <w:tcPr>
            <w:tcW w:w="0" w:type="auto"/>
            <w:tcBorders>
              <w:top w:val="nil"/>
              <w:left w:val="nil"/>
              <w:bottom w:val="single" w:sz="4" w:space="0" w:color="auto"/>
              <w:right w:val="single" w:sz="4" w:space="0" w:color="auto"/>
            </w:tcBorders>
            <w:shd w:val="clear" w:color="auto" w:fill="auto"/>
            <w:vAlign w:val="center"/>
            <w:hideMark/>
          </w:tcPr>
          <w:p w14:paraId="498CCFC4" w14:textId="77777777" w:rsidR="00572995" w:rsidRPr="00483EBE" w:rsidRDefault="00572995" w:rsidP="00E8324D">
            <w:pPr>
              <w:pStyle w:val="Tablas"/>
              <w:rPr>
                <w:sz w:val="12"/>
                <w:szCs w:val="12"/>
              </w:rPr>
            </w:pPr>
            <w:r w:rsidRPr="00483EBE">
              <w:rPr>
                <w:sz w:val="12"/>
                <w:szCs w:val="12"/>
              </w:rPr>
              <w:t>$41,474</w:t>
            </w:r>
          </w:p>
        </w:tc>
        <w:tc>
          <w:tcPr>
            <w:tcW w:w="0" w:type="auto"/>
            <w:tcBorders>
              <w:top w:val="nil"/>
              <w:left w:val="nil"/>
              <w:bottom w:val="single" w:sz="4" w:space="0" w:color="auto"/>
              <w:right w:val="single" w:sz="4" w:space="0" w:color="auto"/>
            </w:tcBorders>
            <w:shd w:val="clear" w:color="auto" w:fill="auto"/>
            <w:vAlign w:val="center"/>
            <w:hideMark/>
          </w:tcPr>
          <w:p w14:paraId="3A0B691F" w14:textId="77777777" w:rsidR="00572995" w:rsidRPr="00483EBE" w:rsidRDefault="00572995" w:rsidP="00E8324D">
            <w:pPr>
              <w:pStyle w:val="Tablas"/>
              <w:rPr>
                <w:sz w:val="12"/>
                <w:szCs w:val="12"/>
              </w:rPr>
            </w:pPr>
            <w:r w:rsidRPr="00483EBE">
              <w:rPr>
                <w:sz w:val="12"/>
                <w:szCs w:val="12"/>
              </w:rPr>
              <w:t>$987</w:t>
            </w:r>
          </w:p>
        </w:tc>
        <w:tc>
          <w:tcPr>
            <w:tcW w:w="0" w:type="auto"/>
            <w:tcBorders>
              <w:top w:val="nil"/>
              <w:left w:val="nil"/>
              <w:bottom w:val="single" w:sz="4" w:space="0" w:color="auto"/>
              <w:right w:val="single" w:sz="4" w:space="0" w:color="auto"/>
            </w:tcBorders>
            <w:shd w:val="clear" w:color="auto" w:fill="auto"/>
            <w:vAlign w:val="center"/>
            <w:hideMark/>
          </w:tcPr>
          <w:p w14:paraId="62CC98B6" w14:textId="77777777" w:rsidR="00572995" w:rsidRPr="00483EBE" w:rsidRDefault="00572995" w:rsidP="00E8324D">
            <w:pPr>
              <w:pStyle w:val="Tablas"/>
              <w:rPr>
                <w:sz w:val="12"/>
                <w:szCs w:val="12"/>
              </w:rPr>
            </w:pPr>
            <w:r w:rsidRPr="00483EBE">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5E0B5EC6"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753FB7E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87F214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2CDDD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473F4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54174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0EFD3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15778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D967D1D" w14:textId="77777777" w:rsidR="00572995" w:rsidRPr="00483EBE" w:rsidRDefault="00572995" w:rsidP="00E8324D">
            <w:pPr>
              <w:pStyle w:val="Tablas"/>
              <w:rPr>
                <w:sz w:val="12"/>
                <w:szCs w:val="12"/>
              </w:rPr>
            </w:pPr>
            <w:r w:rsidRPr="00483EBE">
              <w:rPr>
                <w:sz w:val="12"/>
                <w:szCs w:val="12"/>
              </w:rPr>
              <w:t> </w:t>
            </w:r>
          </w:p>
        </w:tc>
      </w:tr>
      <w:tr w:rsidR="00572995" w:rsidRPr="00483EBE" w14:paraId="1020C41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F86509F" w14:textId="77777777" w:rsidR="00572995" w:rsidRPr="00483EBE" w:rsidRDefault="00572995" w:rsidP="00E8324D">
            <w:pPr>
              <w:pStyle w:val="Tablas"/>
              <w:rPr>
                <w:sz w:val="12"/>
                <w:szCs w:val="12"/>
              </w:rPr>
            </w:pPr>
            <w:r w:rsidRPr="00483EBE">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5ECFE469" w14:textId="77777777" w:rsidR="00572995" w:rsidRPr="00483EBE" w:rsidRDefault="00572995" w:rsidP="00E8324D">
            <w:pPr>
              <w:pStyle w:val="Tablas"/>
              <w:rPr>
                <w:sz w:val="12"/>
                <w:szCs w:val="12"/>
              </w:rPr>
            </w:pPr>
            <w:r w:rsidRPr="00483EBE">
              <w:rPr>
                <w:sz w:val="12"/>
                <w:szCs w:val="12"/>
              </w:rPr>
              <w:t xml:space="preserve">24 </w:t>
            </w:r>
          </w:p>
        </w:tc>
        <w:tc>
          <w:tcPr>
            <w:tcW w:w="0" w:type="auto"/>
            <w:tcBorders>
              <w:top w:val="nil"/>
              <w:left w:val="nil"/>
              <w:bottom w:val="single" w:sz="4" w:space="0" w:color="auto"/>
              <w:right w:val="single" w:sz="4" w:space="0" w:color="auto"/>
            </w:tcBorders>
            <w:shd w:val="clear" w:color="auto" w:fill="auto"/>
            <w:vAlign w:val="center"/>
            <w:hideMark/>
          </w:tcPr>
          <w:p w14:paraId="687A8BB3" w14:textId="77777777" w:rsidR="00572995" w:rsidRPr="00483EBE" w:rsidRDefault="00572995" w:rsidP="00E8324D">
            <w:pPr>
              <w:pStyle w:val="Tablas"/>
              <w:rPr>
                <w:sz w:val="12"/>
                <w:szCs w:val="12"/>
              </w:rPr>
            </w:pPr>
            <w:r w:rsidRPr="00483EBE">
              <w:rPr>
                <w:sz w:val="12"/>
                <w:szCs w:val="12"/>
              </w:rPr>
              <w:t>$27,764</w:t>
            </w:r>
          </w:p>
        </w:tc>
        <w:tc>
          <w:tcPr>
            <w:tcW w:w="0" w:type="auto"/>
            <w:tcBorders>
              <w:top w:val="nil"/>
              <w:left w:val="nil"/>
              <w:bottom w:val="single" w:sz="4" w:space="0" w:color="auto"/>
              <w:right w:val="single" w:sz="4" w:space="0" w:color="auto"/>
            </w:tcBorders>
            <w:shd w:val="clear" w:color="auto" w:fill="auto"/>
            <w:vAlign w:val="center"/>
            <w:hideMark/>
          </w:tcPr>
          <w:p w14:paraId="404E4006" w14:textId="77777777" w:rsidR="00572995" w:rsidRPr="00483EBE" w:rsidRDefault="00572995" w:rsidP="00E8324D">
            <w:pPr>
              <w:pStyle w:val="Tablas"/>
              <w:rPr>
                <w:sz w:val="12"/>
                <w:szCs w:val="12"/>
              </w:rPr>
            </w:pPr>
            <w:r w:rsidRPr="00483EBE">
              <w:rPr>
                <w:sz w:val="12"/>
                <w:szCs w:val="12"/>
              </w:rPr>
              <w:t>$1,157</w:t>
            </w:r>
          </w:p>
        </w:tc>
        <w:tc>
          <w:tcPr>
            <w:tcW w:w="0" w:type="auto"/>
            <w:tcBorders>
              <w:top w:val="nil"/>
              <w:left w:val="nil"/>
              <w:bottom w:val="single" w:sz="4" w:space="0" w:color="auto"/>
              <w:right w:val="single" w:sz="4" w:space="0" w:color="auto"/>
            </w:tcBorders>
            <w:shd w:val="clear" w:color="auto" w:fill="auto"/>
            <w:vAlign w:val="center"/>
            <w:hideMark/>
          </w:tcPr>
          <w:p w14:paraId="14FAF289" w14:textId="77777777" w:rsidR="00572995" w:rsidRPr="00483EBE" w:rsidRDefault="00572995" w:rsidP="00E8324D">
            <w:pPr>
              <w:pStyle w:val="Tablas"/>
              <w:rPr>
                <w:sz w:val="12"/>
                <w:szCs w:val="12"/>
              </w:rPr>
            </w:pPr>
            <w:r w:rsidRPr="00483EBE">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7A3728C4"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3123CD7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58EBF4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4CC73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84045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A84D2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A3FA2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C16E9C"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6BD1D7B" w14:textId="77777777" w:rsidR="00572995" w:rsidRPr="00483EBE" w:rsidRDefault="00572995" w:rsidP="00E8324D">
            <w:pPr>
              <w:pStyle w:val="Tablas"/>
              <w:rPr>
                <w:sz w:val="12"/>
                <w:szCs w:val="12"/>
              </w:rPr>
            </w:pPr>
            <w:r w:rsidRPr="00483EBE">
              <w:rPr>
                <w:sz w:val="12"/>
                <w:szCs w:val="12"/>
              </w:rPr>
              <w:t> </w:t>
            </w:r>
          </w:p>
        </w:tc>
      </w:tr>
      <w:tr w:rsidR="00572995" w:rsidRPr="00483EBE" w14:paraId="273BE25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104A80" w14:textId="77777777" w:rsidR="00572995" w:rsidRPr="00483EBE" w:rsidRDefault="00572995" w:rsidP="00E8324D">
            <w:pPr>
              <w:pStyle w:val="Tablas"/>
              <w:rPr>
                <w:sz w:val="12"/>
                <w:szCs w:val="12"/>
              </w:rPr>
            </w:pPr>
            <w:r w:rsidRPr="00483EBE">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1006F2A9" w14:textId="77777777" w:rsidR="00572995" w:rsidRPr="00483EBE" w:rsidRDefault="00572995" w:rsidP="00E8324D">
            <w:pPr>
              <w:pStyle w:val="Tablas"/>
              <w:rPr>
                <w:sz w:val="12"/>
                <w:szCs w:val="12"/>
              </w:rPr>
            </w:pPr>
            <w:r w:rsidRPr="00483EBE">
              <w:rPr>
                <w:sz w:val="12"/>
                <w:szCs w:val="12"/>
              </w:rPr>
              <w:t xml:space="preserve">25 </w:t>
            </w:r>
          </w:p>
        </w:tc>
        <w:tc>
          <w:tcPr>
            <w:tcW w:w="0" w:type="auto"/>
            <w:tcBorders>
              <w:top w:val="nil"/>
              <w:left w:val="nil"/>
              <w:bottom w:val="single" w:sz="4" w:space="0" w:color="auto"/>
              <w:right w:val="single" w:sz="4" w:space="0" w:color="auto"/>
            </w:tcBorders>
            <w:shd w:val="clear" w:color="auto" w:fill="auto"/>
            <w:vAlign w:val="center"/>
            <w:hideMark/>
          </w:tcPr>
          <w:p w14:paraId="7597EEEB" w14:textId="77777777" w:rsidR="00572995" w:rsidRPr="00483EBE" w:rsidRDefault="00572995" w:rsidP="00E8324D">
            <w:pPr>
              <w:pStyle w:val="Tablas"/>
              <w:rPr>
                <w:sz w:val="12"/>
                <w:szCs w:val="12"/>
              </w:rPr>
            </w:pPr>
            <w:r w:rsidRPr="00483EBE">
              <w:rPr>
                <w:sz w:val="12"/>
                <w:szCs w:val="12"/>
              </w:rPr>
              <w:t>$20,564</w:t>
            </w:r>
          </w:p>
        </w:tc>
        <w:tc>
          <w:tcPr>
            <w:tcW w:w="0" w:type="auto"/>
            <w:tcBorders>
              <w:top w:val="nil"/>
              <w:left w:val="nil"/>
              <w:bottom w:val="single" w:sz="4" w:space="0" w:color="auto"/>
              <w:right w:val="single" w:sz="4" w:space="0" w:color="auto"/>
            </w:tcBorders>
            <w:shd w:val="clear" w:color="auto" w:fill="auto"/>
            <w:vAlign w:val="center"/>
            <w:hideMark/>
          </w:tcPr>
          <w:p w14:paraId="60B5B00B" w14:textId="77777777" w:rsidR="00572995" w:rsidRPr="00483EBE" w:rsidRDefault="00572995" w:rsidP="00E8324D">
            <w:pPr>
              <w:pStyle w:val="Tablas"/>
              <w:rPr>
                <w:sz w:val="12"/>
                <w:szCs w:val="12"/>
              </w:rPr>
            </w:pPr>
            <w:r w:rsidRPr="00483EBE">
              <w:rPr>
                <w:sz w:val="12"/>
                <w:szCs w:val="12"/>
              </w:rPr>
              <w:t>$823</w:t>
            </w:r>
          </w:p>
        </w:tc>
        <w:tc>
          <w:tcPr>
            <w:tcW w:w="0" w:type="auto"/>
            <w:tcBorders>
              <w:top w:val="nil"/>
              <w:left w:val="nil"/>
              <w:bottom w:val="single" w:sz="4" w:space="0" w:color="auto"/>
              <w:right w:val="single" w:sz="4" w:space="0" w:color="auto"/>
            </w:tcBorders>
            <w:shd w:val="clear" w:color="auto" w:fill="auto"/>
            <w:vAlign w:val="center"/>
            <w:hideMark/>
          </w:tcPr>
          <w:p w14:paraId="352F8DCF"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7C6002AE"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A53CE2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C18EBF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2119E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EA9A9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39623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794C7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7665F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B318EB1" w14:textId="77777777" w:rsidR="00572995" w:rsidRPr="00483EBE" w:rsidRDefault="00572995" w:rsidP="00E8324D">
            <w:pPr>
              <w:pStyle w:val="Tablas"/>
              <w:rPr>
                <w:sz w:val="12"/>
                <w:szCs w:val="12"/>
              </w:rPr>
            </w:pPr>
            <w:r w:rsidRPr="00483EBE">
              <w:rPr>
                <w:sz w:val="12"/>
                <w:szCs w:val="12"/>
              </w:rPr>
              <w:t> </w:t>
            </w:r>
          </w:p>
        </w:tc>
      </w:tr>
      <w:tr w:rsidR="00572995" w:rsidRPr="00483EBE" w14:paraId="6DCFA7C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F67B6E4" w14:textId="77777777" w:rsidR="00572995" w:rsidRPr="00483EBE" w:rsidRDefault="00572995" w:rsidP="00E8324D">
            <w:pPr>
              <w:pStyle w:val="Tablas"/>
              <w:rPr>
                <w:sz w:val="12"/>
                <w:szCs w:val="12"/>
              </w:rPr>
            </w:pPr>
            <w:r w:rsidRPr="00483EBE">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08E03002" w14:textId="77777777" w:rsidR="00572995" w:rsidRPr="00483EBE" w:rsidRDefault="00572995" w:rsidP="00E8324D">
            <w:pPr>
              <w:pStyle w:val="Tablas"/>
              <w:rPr>
                <w:sz w:val="12"/>
                <w:szCs w:val="12"/>
              </w:rPr>
            </w:pPr>
            <w:r w:rsidRPr="00483EBE">
              <w:rPr>
                <w:sz w:val="12"/>
                <w:szCs w:val="12"/>
              </w:rPr>
              <w:t xml:space="preserve">20 </w:t>
            </w:r>
          </w:p>
        </w:tc>
        <w:tc>
          <w:tcPr>
            <w:tcW w:w="0" w:type="auto"/>
            <w:tcBorders>
              <w:top w:val="nil"/>
              <w:left w:val="nil"/>
              <w:bottom w:val="single" w:sz="4" w:space="0" w:color="auto"/>
              <w:right w:val="single" w:sz="4" w:space="0" w:color="auto"/>
            </w:tcBorders>
            <w:shd w:val="clear" w:color="auto" w:fill="auto"/>
            <w:vAlign w:val="center"/>
            <w:hideMark/>
          </w:tcPr>
          <w:p w14:paraId="1B9E74C7" w14:textId="77777777" w:rsidR="00572995" w:rsidRPr="00483EBE" w:rsidRDefault="00572995" w:rsidP="00E8324D">
            <w:pPr>
              <w:pStyle w:val="Tablas"/>
              <w:rPr>
                <w:sz w:val="12"/>
                <w:szCs w:val="12"/>
              </w:rPr>
            </w:pPr>
            <w:r w:rsidRPr="00483EBE">
              <w:rPr>
                <w:sz w:val="12"/>
                <w:szCs w:val="12"/>
              </w:rPr>
              <w:t>$19,850</w:t>
            </w:r>
          </w:p>
        </w:tc>
        <w:tc>
          <w:tcPr>
            <w:tcW w:w="0" w:type="auto"/>
            <w:tcBorders>
              <w:top w:val="nil"/>
              <w:left w:val="nil"/>
              <w:bottom w:val="single" w:sz="4" w:space="0" w:color="auto"/>
              <w:right w:val="single" w:sz="4" w:space="0" w:color="auto"/>
            </w:tcBorders>
            <w:shd w:val="clear" w:color="auto" w:fill="auto"/>
            <w:vAlign w:val="center"/>
            <w:hideMark/>
          </w:tcPr>
          <w:p w14:paraId="28F2A4AD" w14:textId="77777777" w:rsidR="00572995" w:rsidRPr="00483EBE" w:rsidRDefault="00572995" w:rsidP="00E8324D">
            <w:pPr>
              <w:pStyle w:val="Tablas"/>
              <w:rPr>
                <w:sz w:val="12"/>
                <w:szCs w:val="12"/>
              </w:rPr>
            </w:pPr>
            <w:r w:rsidRPr="00483EBE">
              <w:rPr>
                <w:sz w:val="12"/>
                <w:szCs w:val="12"/>
              </w:rPr>
              <w:t>$992</w:t>
            </w:r>
          </w:p>
        </w:tc>
        <w:tc>
          <w:tcPr>
            <w:tcW w:w="0" w:type="auto"/>
            <w:tcBorders>
              <w:top w:val="nil"/>
              <w:left w:val="nil"/>
              <w:bottom w:val="single" w:sz="4" w:space="0" w:color="auto"/>
              <w:right w:val="single" w:sz="4" w:space="0" w:color="auto"/>
            </w:tcBorders>
            <w:shd w:val="clear" w:color="auto" w:fill="auto"/>
            <w:vAlign w:val="center"/>
            <w:hideMark/>
          </w:tcPr>
          <w:p w14:paraId="7FA44507" w14:textId="77777777" w:rsidR="00572995" w:rsidRPr="00483EBE" w:rsidRDefault="00572995" w:rsidP="00E8324D">
            <w:pPr>
              <w:pStyle w:val="Tablas"/>
              <w:rPr>
                <w:sz w:val="12"/>
                <w:szCs w:val="12"/>
              </w:rPr>
            </w:pPr>
            <w:r w:rsidRPr="00483EBE">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5BF928FC"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00A626BD"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28D6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B270A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97FDA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EBF3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E1FFD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214C73"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E7EB417" w14:textId="77777777" w:rsidR="00572995" w:rsidRPr="00483EBE" w:rsidRDefault="00572995" w:rsidP="00E8324D">
            <w:pPr>
              <w:pStyle w:val="Tablas"/>
              <w:rPr>
                <w:sz w:val="12"/>
                <w:szCs w:val="12"/>
              </w:rPr>
            </w:pPr>
            <w:r w:rsidRPr="00483EBE">
              <w:rPr>
                <w:sz w:val="12"/>
                <w:szCs w:val="12"/>
              </w:rPr>
              <w:t> </w:t>
            </w:r>
          </w:p>
        </w:tc>
      </w:tr>
      <w:tr w:rsidR="00572995" w:rsidRPr="00483EBE" w14:paraId="516D9BD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2654E52" w14:textId="77777777" w:rsidR="00572995" w:rsidRPr="00483EBE" w:rsidRDefault="00572995" w:rsidP="00E8324D">
            <w:pPr>
              <w:pStyle w:val="Tablas"/>
              <w:rPr>
                <w:sz w:val="12"/>
                <w:szCs w:val="12"/>
              </w:rPr>
            </w:pPr>
            <w:r w:rsidRPr="00483EBE">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137A7A88"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5CBB659B" w14:textId="77777777" w:rsidR="00572995" w:rsidRPr="00483EBE" w:rsidRDefault="00572995" w:rsidP="00E8324D">
            <w:pPr>
              <w:pStyle w:val="Tablas"/>
              <w:rPr>
                <w:sz w:val="12"/>
                <w:szCs w:val="12"/>
              </w:rPr>
            </w:pPr>
            <w:r w:rsidRPr="00483EBE">
              <w:rPr>
                <w:sz w:val="12"/>
                <w:szCs w:val="12"/>
              </w:rPr>
              <w:t>$21,370</w:t>
            </w:r>
          </w:p>
        </w:tc>
        <w:tc>
          <w:tcPr>
            <w:tcW w:w="0" w:type="auto"/>
            <w:tcBorders>
              <w:top w:val="nil"/>
              <w:left w:val="nil"/>
              <w:bottom w:val="single" w:sz="4" w:space="0" w:color="auto"/>
              <w:right w:val="single" w:sz="4" w:space="0" w:color="auto"/>
            </w:tcBorders>
            <w:shd w:val="clear" w:color="auto" w:fill="auto"/>
            <w:vAlign w:val="center"/>
            <w:hideMark/>
          </w:tcPr>
          <w:p w14:paraId="1C35DFF9" w14:textId="77777777" w:rsidR="00572995" w:rsidRPr="00483EBE" w:rsidRDefault="00572995" w:rsidP="00E8324D">
            <w:pPr>
              <w:pStyle w:val="Tablas"/>
              <w:rPr>
                <w:sz w:val="12"/>
                <w:szCs w:val="12"/>
              </w:rPr>
            </w:pPr>
            <w:r w:rsidRPr="00483EBE">
              <w:rPr>
                <w:sz w:val="12"/>
                <w:szCs w:val="12"/>
              </w:rPr>
              <w:t>$971</w:t>
            </w:r>
          </w:p>
        </w:tc>
        <w:tc>
          <w:tcPr>
            <w:tcW w:w="0" w:type="auto"/>
            <w:tcBorders>
              <w:top w:val="nil"/>
              <w:left w:val="nil"/>
              <w:bottom w:val="single" w:sz="4" w:space="0" w:color="auto"/>
              <w:right w:val="single" w:sz="4" w:space="0" w:color="auto"/>
            </w:tcBorders>
            <w:shd w:val="clear" w:color="auto" w:fill="auto"/>
            <w:vAlign w:val="center"/>
            <w:hideMark/>
          </w:tcPr>
          <w:p w14:paraId="59DE262D"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3A6B7A91"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849EDE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739BAD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C0F1B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04E04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1BE5F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532D1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F5DA2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FBF8567" w14:textId="77777777" w:rsidR="00572995" w:rsidRPr="00483EBE" w:rsidRDefault="00572995" w:rsidP="00E8324D">
            <w:pPr>
              <w:pStyle w:val="Tablas"/>
              <w:rPr>
                <w:sz w:val="12"/>
                <w:szCs w:val="12"/>
              </w:rPr>
            </w:pPr>
            <w:r w:rsidRPr="00483EBE">
              <w:rPr>
                <w:sz w:val="12"/>
                <w:szCs w:val="12"/>
              </w:rPr>
              <w:t> </w:t>
            </w:r>
          </w:p>
        </w:tc>
      </w:tr>
      <w:tr w:rsidR="00572995" w:rsidRPr="00483EBE" w14:paraId="45F39F1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50004EE" w14:textId="77777777" w:rsidR="00572995" w:rsidRPr="00483EBE" w:rsidRDefault="00572995" w:rsidP="00E8324D">
            <w:pPr>
              <w:pStyle w:val="Tablas"/>
              <w:rPr>
                <w:sz w:val="12"/>
                <w:szCs w:val="12"/>
              </w:rPr>
            </w:pPr>
            <w:r w:rsidRPr="00483EBE">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1CCA1467" w14:textId="77777777" w:rsidR="00572995" w:rsidRPr="00483EBE" w:rsidRDefault="00572995" w:rsidP="00E8324D">
            <w:pPr>
              <w:pStyle w:val="Tablas"/>
              <w:rPr>
                <w:sz w:val="12"/>
                <w:szCs w:val="12"/>
              </w:rPr>
            </w:pPr>
            <w:r w:rsidRPr="00483EBE">
              <w:rPr>
                <w:sz w:val="12"/>
                <w:szCs w:val="12"/>
              </w:rPr>
              <w:t xml:space="preserve">22 </w:t>
            </w:r>
          </w:p>
        </w:tc>
        <w:tc>
          <w:tcPr>
            <w:tcW w:w="0" w:type="auto"/>
            <w:tcBorders>
              <w:top w:val="nil"/>
              <w:left w:val="nil"/>
              <w:bottom w:val="single" w:sz="4" w:space="0" w:color="auto"/>
              <w:right w:val="single" w:sz="4" w:space="0" w:color="auto"/>
            </w:tcBorders>
            <w:shd w:val="clear" w:color="auto" w:fill="auto"/>
            <w:vAlign w:val="center"/>
            <w:hideMark/>
          </w:tcPr>
          <w:p w14:paraId="0F7D634D" w14:textId="77777777" w:rsidR="00572995" w:rsidRPr="00483EBE" w:rsidRDefault="00572995" w:rsidP="00E8324D">
            <w:pPr>
              <w:pStyle w:val="Tablas"/>
              <w:rPr>
                <w:sz w:val="12"/>
                <w:szCs w:val="12"/>
              </w:rPr>
            </w:pPr>
            <w:r w:rsidRPr="00483EBE">
              <w:rPr>
                <w:sz w:val="12"/>
                <w:szCs w:val="12"/>
              </w:rPr>
              <w:t>$22,192</w:t>
            </w:r>
          </w:p>
        </w:tc>
        <w:tc>
          <w:tcPr>
            <w:tcW w:w="0" w:type="auto"/>
            <w:tcBorders>
              <w:top w:val="nil"/>
              <w:left w:val="nil"/>
              <w:bottom w:val="single" w:sz="4" w:space="0" w:color="auto"/>
              <w:right w:val="single" w:sz="4" w:space="0" w:color="auto"/>
            </w:tcBorders>
            <w:shd w:val="clear" w:color="auto" w:fill="auto"/>
            <w:vAlign w:val="center"/>
            <w:hideMark/>
          </w:tcPr>
          <w:p w14:paraId="58573712" w14:textId="77777777" w:rsidR="00572995" w:rsidRPr="00483EBE" w:rsidRDefault="00572995" w:rsidP="00E8324D">
            <w:pPr>
              <w:pStyle w:val="Tablas"/>
              <w:rPr>
                <w:sz w:val="12"/>
                <w:szCs w:val="12"/>
              </w:rPr>
            </w:pPr>
            <w:r w:rsidRPr="00483EBE">
              <w:rPr>
                <w:sz w:val="12"/>
                <w:szCs w:val="12"/>
              </w:rPr>
              <w:t>$1,009</w:t>
            </w:r>
          </w:p>
        </w:tc>
        <w:tc>
          <w:tcPr>
            <w:tcW w:w="0" w:type="auto"/>
            <w:tcBorders>
              <w:top w:val="nil"/>
              <w:left w:val="nil"/>
              <w:bottom w:val="single" w:sz="4" w:space="0" w:color="auto"/>
              <w:right w:val="single" w:sz="4" w:space="0" w:color="auto"/>
            </w:tcBorders>
            <w:shd w:val="clear" w:color="auto" w:fill="auto"/>
            <w:vAlign w:val="center"/>
            <w:hideMark/>
          </w:tcPr>
          <w:p w14:paraId="24E88CED"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08731C58" w14:textId="77777777" w:rsidR="00572995" w:rsidRPr="00483EBE" w:rsidRDefault="00572995" w:rsidP="00E8324D">
            <w:pPr>
              <w:pStyle w:val="Tablas"/>
              <w:rPr>
                <w:sz w:val="12"/>
                <w:szCs w:val="12"/>
              </w:rPr>
            </w:pPr>
            <w:r w:rsidRPr="00483EBE">
              <w:rPr>
                <w:sz w:val="12"/>
                <w:szCs w:val="12"/>
              </w:rPr>
              <w:t>HUERFANOS</w:t>
            </w:r>
          </w:p>
        </w:tc>
        <w:tc>
          <w:tcPr>
            <w:tcW w:w="0" w:type="auto"/>
            <w:tcBorders>
              <w:top w:val="nil"/>
              <w:left w:val="nil"/>
              <w:bottom w:val="single" w:sz="4" w:space="0" w:color="auto"/>
              <w:right w:val="nil"/>
            </w:tcBorders>
            <w:shd w:val="clear" w:color="auto" w:fill="auto"/>
            <w:vAlign w:val="center"/>
            <w:hideMark/>
          </w:tcPr>
          <w:p w14:paraId="431310F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D7DD78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C11D3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89DCE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EB9C2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D233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152D7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47E2239" w14:textId="77777777" w:rsidR="00572995" w:rsidRPr="00483EBE" w:rsidRDefault="00572995" w:rsidP="00E8324D">
            <w:pPr>
              <w:pStyle w:val="Tablas"/>
              <w:rPr>
                <w:sz w:val="12"/>
                <w:szCs w:val="12"/>
              </w:rPr>
            </w:pPr>
            <w:r w:rsidRPr="00483EBE">
              <w:rPr>
                <w:sz w:val="12"/>
                <w:szCs w:val="12"/>
              </w:rPr>
              <w:t> </w:t>
            </w:r>
          </w:p>
        </w:tc>
      </w:tr>
      <w:tr w:rsidR="00572995" w:rsidRPr="00483EBE" w14:paraId="28EC64A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2A88D9" w14:textId="77777777" w:rsidR="00572995" w:rsidRPr="00483EBE" w:rsidRDefault="00572995" w:rsidP="00E8324D">
            <w:pPr>
              <w:pStyle w:val="Tablas"/>
              <w:rPr>
                <w:sz w:val="12"/>
                <w:szCs w:val="12"/>
              </w:rPr>
            </w:pPr>
            <w:r w:rsidRPr="00483EBE">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30D0CAB8"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4FDBF2C"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259BDC05" w14:textId="77777777" w:rsidR="00572995" w:rsidRPr="00483EBE" w:rsidRDefault="00572995" w:rsidP="00E8324D">
            <w:pPr>
              <w:pStyle w:val="Tablas"/>
              <w:rPr>
                <w:sz w:val="12"/>
                <w:szCs w:val="12"/>
              </w:rPr>
            </w:pPr>
            <w:r w:rsidRPr="00483EBE">
              <w:rPr>
                <w:sz w:val="12"/>
                <w:szCs w:val="12"/>
              </w:rPr>
              <w:t>$364</w:t>
            </w:r>
          </w:p>
        </w:tc>
        <w:tc>
          <w:tcPr>
            <w:tcW w:w="0" w:type="auto"/>
            <w:tcBorders>
              <w:top w:val="nil"/>
              <w:left w:val="nil"/>
              <w:bottom w:val="single" w:sz="4" w:space="0" w:color="auto"/>
              <w:right w:val="single" w:sz="4" w:space="0" w:color="auto"/>
            </w:tcBorders>
            <w:shd w:val="clear" w:color="auto" w:fill="auto"/>
            <w:vAlign w:val="center"/>
            <w:hideMark/>
          </w:tcPr>
          <w:p w14:paraId="675467E8" w14:textId="77777777" w:rsidR="00572995" w:rsidRPr="00483EBE" w:rsidRDefault="00572995" w:rsidP="00E8324D">
            <w:pPr>
              <w:pStyle w:val="Tablas"/>
              <w:rPr>
                <w:sz w:val="12"/>
                <w:szCs w:val="12"/>
              </w:rPr>
            </w:pPr>
            <w:r w:rsidRPr="00483EBE">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2C23230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5B044F2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5EB76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AE075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5D4FA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C6986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D1B19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969F3C"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D678F2D" w14:textId="77777777" w:rsidR="00572995" w:rsidRPr="00483EBE" w:rsidRDefault="00572995" w:rsidP="00E8324D">
            <w:pPr>
              <w:pStyle w:val="Tablas"/>
              <w:rPr>
                <w:sz w:val="12"/>
                <w:szCs w:val="12"/>
              </w:rPr>
            </w:pPr>
            <w:r w:rsidRPr="00483EBE">
              <w:rPr>
                <w:sz w:val="12"/>
                <w:szCs w:val="12"/>
              </w:rPr>
              <w:t> </w:t>
            </w:r>
          </w:p>
        </w:tc>
      </w:tr>
      <w:tr w:rsidR="00572995" w:rsidRPr="00483EBE" w14:paraId="6B7C3BF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FDF0496"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79BFA9C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48E06B51" w14:textId="77777777" w:rsidR="00572995" w:rsidRPr="00483EBE" w:rsidRDefault="00572995" w:rsidP="00E8324D">
            <w:pPr>
              <w:pStyle w:val="Tablas"/>
              <w:rPr>
                <w:sz w:val="12"/>
                <w:szCs w:val="12"/>
              </w:rPr>
            </w:pPr>
            <w:r w:rsidRPr="00483EBE">
              <w:rPr>
                <w:sz w:val="12"/>
                <w:szCs w:val="12"/>
              </w:rPr>
              <w:t>$342</w:t>
            </w:r>
          </w:p>
        </w:tc>
        <w:tc>
          <w:tcPr>
            <w:tcW w:w="0" w:type="auto"/>
            <w:tcBorders>
              <w:top w:val="nil"/>
              <w:left w:val="nil"/>
              <w:bottom w:val="single" w:sz="4" w:space="0" w:color="auto"/>
              <w:right w:val="single" w:sz="4" w:space="0" w:color="auto"/>
            </w:tcBorders>
            <w:shd w:val="clear" w:color="auto" w:fill="auto"/>
            <w:vAlign w:val="center"/>
            <w:hideMark/>
          </w:tcPr>
          <w:p w14:paraId="6481D55F" w14:textId="77777777" w:rsidR="00572995" w:rsidRPr="00483EBE" w:rsidRDefault="00572995" w:rsidP="00E8324D">
            <w:pPr>
              <w:pStyle w:val="Tablas"/>
              <w:rPr>
                <w:sz w:val="12"/>
                <w:szCs w:val="12"/>
              </w:rPr>
            </w:pPr>
            <w:r w:rsidRPr="00483EBE">
              <w:rPr>
                <w:sz w:val="12"/>
                <w:szCs w:val="12"/>
              </w:rPr>
              <w:t>$342</w:t>
            </w:r>
          </w:p>
        </w:tc>
        <w:tc>
          <w:tcPr>
            <w:tcW w:w="0" w:type="auto"/>
            <w:tcBorders>
              <w:top w:val="nil"/>
              <w:left w:val="nil"/>
              <w:bottom w:val="single" w:sz="4" w:space="0" w:color="auto"/>
              <w:right w:val="single" w:sz="4" w:space="0" w:color="auto"/>
            </w:tcBorders>
            <w:shd w:val="clear" w:color="auto" w:fill="auto"/>
            <w:vAlign w:val="center"/>
            <w:hideMark/>
          </w:tcPr>
          <w:p w14:paraId="63E37A45" w14:textId="77777777" w:rsidR="00572995" w:rsidRPr="00483EBE" w:rsidRDefault="00572995" w:rsidP="00E8324D">
            <w:pPr>
              <w:pStyle w:val="Tablas"/>
              <w:rPr>
                <w:sz w:val="12"/>
                <w:szCs w:val="12"/>
              </w:rPr>
            </w:pPr>
            <w:r w:rsidRPr="00483EBE">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28D6A453"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D6AD64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6AB184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CEC49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57BCA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EE160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D115C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3DC62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7E7322A" w14:textId="77777777" w:rsidR="00572995" w:rsidRPr="00483EBE" w:rsidRDefault="00572995" w:rsidP="00E8324D">
            <w:pPr>
              <w:pStyle w:val="Tablas"/>
              <w:rPr>
                <w:sz w:val="12"/>
                <w:szCs w:val="12"/>
              </w:rPr>
            </w:pPr>
            <w:r w:rsidRPr="00483EBE">
              <w:rPr>
                <w:sz w:val="12"/>
                <w:szCs w:val="12"/>
              </w:rPr>
              <w:t> </w:t>
            </w:r>
          </w:p>
        </w:tc>
      </w:tr>
      <w:tr w:rsidR="00572995" w:rsidRPr="00483EBE" w14:paraId="4C033A8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81644BC"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2957A27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2004B41" w14:textId="77777777" w:rsidR="00572995" w:rsidRPr="00483EBE" w:rsidRDefault="00572995" w:rsidP="00E8324D">
            <w:pPr>
              <w:pStyle w:val="Tablas"/>
              <w:rPr>
                <w:sz w:val="12"/>
                <w:szCs w:val="12"/>
              </w:rPr>
            </w:pPr>
            <w:r w:rsidRPr="00483EBE">
              <w:rPr>
                <w:sz w:val="12"/>
                <w:szCs w:val="12"/>
              </w:rPr>
              <w:t>$1,299</w:t>
            </w:r>
          </w:p>
        </w:tc>
        <w:tc>
          <w:tcPr>
            <w:tcW w:w="0" w:type="auto"/>
            <w:tcBorders>
              <w:top w:val="nil"/>
              <w:left w:val="nil"/>
              <w:bottom w:val="single" w:sz="4" w:space="0" w:color="auto"/>
              <w:right w:val="single" w:sz="4" w:space="0" w:color="auto"/>
            </w:tcBorders>
            <w:shd w:val="clear" w:color="auto" w:fill="auto"/>
            <w:vAlign w:val="center"/>
            <w:hideMark/>
          </w:tcPr>
          <w:p w14:paraId="0053D3E9" w14:textId="77777777" w:rsidR="00572995" w:rsidRPr="00483EBE" w:rsidRDefault="00572995" w:rsidP="00E8324D">
            <w:pPr>
              <w:pStyle w:val="Tablas"/>
              <w:rPr>
                <w:sz w:val="12"/>
                <w:szCs w:val="12"/>
              </w:rPr>
            </w:pPr>
            <w:r w:rsidRPr="00483EBE">
              <w:rPr>
                <w:sz w:val="12"/>
                <w:szCs w:val="12"/>
              </w:rPr>
              <w:t>$1,299</w:t>
            </w:r>
          </w:p>
        </w:tc>
        <w:tc>
          <w:tcPr>
            <w:tcW w:w="0" w:type="auto"/>
            <w:tcBorders>
              <w:top w:val="nil"/>
              <w:left w:val="nil"/>
              <w:bottom w:val="single" w:sz="4" w:space="0" w:color="auto"/>
              <w:right w:val="single" w:sz="4" w:space="0" w:color="auto"/>
            </w:tcBorders>
            <w:shd w:val="clear" w:color="auto" w:fill="auto"/>
            <w:vAlign w:val="center"/>
            <w:hideMark/>
          </w:tcPr>
          <w:p w14:paraId="2AF53636" w14:textId="77777777" w:rsidR="00572995" w:rsidRPr="00483EBE" w:rsidRDefault="00572995" w:rsidP="00E8324D">
            <w:pPr>
              <w:pStyle w:val="Tablas"/>
              <w:rPr>
                <w:sz w:val="12"/>
                <w:szCs w:val="12"/>
              </w:rPr>
            </w:pPr>
            <w:r w:rsidRPr="00483EBE">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1C2D81AC"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18D4735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95A5C0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89369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FFDB4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8B206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662C4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BDE0D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B663B70" w14:textId="77777777" w:rsidR="00572995" w:rsidRPr="00483EBE" w:rsidRDefault="00572995" w:rsidP="00E8324D">
            <w:pPr>
              <w:pStyle w:val="Tablas"/>
              <w:rPr>
                <w:sz w:val="12"/>
                <w:szCs w:val="12"/>
              </w:rPr>
            </w:pPr>
            <w:r w:rsidRPr="00483EBE">
              <w:rPr>
                <w:sz w:val="12"/>
                <w:szCs w:val="12"/>
              </w:rPr>
              <w:t> </w:t>
            </w:r>
          </w:p>
        </w:tc>
      </w:tr>
      <w:tr w:rsidR="00572995" w:rsidRPr="00483EBE" w14:paraId="1D6B9A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2E89320"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1F60FCC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6CF3DEE" w14:textId="77777777" w:rsidR="00572995" w:rsidRPr="00483EBE" w:rsidRDefault="00572995" w:rsidP="00E8324D">
            <w:pPr>
              <w:pStyle w:val="Tablas"/>
              <w:rPr>
                <w:sz w:val="12"/>
                <w:szCs w:val="12"/>
              </w:rPr>
            </w:pPr>
            <w:r w:rsidRPr="00483EBE">
              <w:rPr>
                <w:sz w:val="12"/>
                <w:szCs w:val="12"/>
              </w:rPr>
              <w:t>$1,002</w:t>
            </w:r>
          </w:p>
        </w:tc>
        <w:tc>
          <w:tcPr>
            <w:tcW w:w="0" w:type="auto"/>
            <w:tcBorders>
              <w:top w:val="nil"/>
              <w:left w:val="nil"/>
              <w:bottom w:val="single" w:sz="4" w:space="0" w:color="auto"/>
              <w:right w:val="single" w:sz="4" w:space="0" w:color="auto"/>
            </w:tcBorders>
            <w:shd w:val="clear" w:color="auto" w:fill="auto"/>
            <w:vAlign w:val="center"/>
            <w:hideMark/>
          </w:tcPr>
          <w:p w14:paraId="3787BE29" w14:textId="77777777" w:rsidR="00572995" w:rsidRPr="00483EBE" w:rsidRDefault="00572995" w:rsidP="00E8324D">
            <w:pPr>
              <w:pStyle w:val="Tablas"/>
              <w:rPr>
                <w:sz w:val="12"/>
                <w:szCs w:val="12"/>
              </w:rPr>
            </w:pPr>
            <w:r w:rsidRPr="00483EBE">
              <w:rPr>
                <w:sz w:val="12"/>
                <w:szCs w:val="12"/>
              </w:rPr>
              <w:t>$1,002</w:t>
            </w:r>
          </w:p>
        </w:tc>
        <w:tc>
          <w:tcPr>
            <w:tcW w:w="0" w:type="auto"/>
            <w:tcBorders>
              <w:top w:val="nil"/>
              <w:left w:val="nil"/>
              <w:bottom w:val="single" w:sz="4" w:space="0" w:color="auto"/>
              <w:right w:val="single" w:sz="4" w:space="0" w:color="auto"/>
            </w:tcBorders>
            <w:shd w:val="clear" w:color="auto" w:fill="auto"/>
            <w:vAlign w:val="center"/>
            <w:hideMark/>
          </w:tcPr>
          <w:p w14:paraId="6D96F78B" w14:textId="77777777" w:rsidR="00572995" w:rsidRPr="00483EBE" w:rsidRDefault="00572995" w:rsidP="00E8324D">
            <w:pPr>
              <w:pStyle w:val="Tablas"/>
              <w:rPr>
                <w:sz w:val="12"/>
                <w:szCs w:val="12"/>
              </w:rPr>
            </w:pPr>
            <w:r w:rsidRPr="00483EBE">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53A388BB" w14:textId="77777777" w:rsidR="00572995" w:rsidRPr="00483EBE" w:rsidRDefault="00572995" w:rsidP="00E8324D">
            <w:pPr>
              <w:pStyle w:val="Tablas"/>
              <w:rPr>
                <w:sz w:val="12"/>
                <w:szCs w:val="12"/>
              </w:rPr>
            </w:pPr>
            <w:r w:rsidRPr="00483EBE">
              <w:rPr>
                <w:sz w:val="12"/>
                <w:szCs w:val="12"/>
              </w:rPr>
              <w:t>HUERFANOS INVALIDOS</w:t>
            </w:r>
          </w:p>
        </w:tc>
        <w:tc>
          <w:tcPr>
            <w:tcW w:w="0" w:type="auto"/>
            <w:tcBorders>
              <w:top w:val="nil"/>
              <w:left w:val="nil"/>
              <w:bottom w:val="single" w:sz="4" w:space="0" w:color="auto"/>
              <w:right w:val="nil"/>
            </w:tcBorders>
            <w:shd w:val="clear" w:color="auto" w:fill="auto"/>
            <w:vAlign w:val="center"/>
            <w:hideMark/>
          </w:tcPr>
          <w:p w14:paraId="43C143E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55CF5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FF930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B807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14D22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CF383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ADC26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6087489" w14:textId="77777777" w:rsidR="00572995" w:rsidRPr="00483EBE" w:rsidRDefault="00572995" w:rsidP="00E8324D">
            <w:pPr>
              <w:pStyle w:val="Tablas"/>
              <w:rPr>
                <w:sz w:val="12"/>
                <w:szCs w:val="12"/>
              </w:rPr>
            </w:pPr>
            <w:r w:rsidRPr="00483EBE">
              <w:rPr>
                <w:sz w:val="12"/>
                <w:szCs w:val="12"/>
              </w:rPr>
              <w:t> </w:t>
            </w:r>
          </w:p>
        </w:tc>
      </w:tr>
      <w:tr w:rsidR="00572995" w:rsidRPr="00483EBE" w14:paraId="2CBFC95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4193F01"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1792DBA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800C09F" w14:textId="77777777" w:rsidR="00572995" w:rsidRPr="00483EBE" w:rsidRDefault="00572995" w:rsidP="00E8324D">
            <w:pPr>
              <w:pStyle w:val="Tablas"/>
              <w:rPr>
                <w:sz w:val="12"/>
                <w:szCs w:val="12"/>
              </w:rPr>
            </w:pPr>
            <w:r w:rsidRPr="00483EBE">
              <w:rPr>
                <w:sz w:val="12"/>
                <w:szCs w:val="12"/>
              </w:rPr>
              <w:t>$596</w:t>
            </w:r>
          </w:p>
        </w:tc>
        <w:tc>
          <w:tcPr>
            <w:tcW w:w="0" w:type="auto"/>
            <w:tcBorders>
              <w:top w:val="nil"/>
              <w:left w:val="nil"/>
              <w:bottom w:val="single" w:sz="4" w:space="0" w:color="auto"/>
              <w:right w:val="single" w:sz="4" w:space="0" w:color="auto"/>
            </w:tcBorders>
            <w:shd w:val="clear" w:color="auto" w:fill="auto"/>
            <w:vAlign w:val="center"/>
            <w:hideMark/>
          </w:tcPr>
          <w:p w14:paraId="4FEA8DBF" w14:textId="77777777" w:rsidR="00572995" w:rsidRPr="00483EBE" w:rsidRDefault="00572995" w:rsidP="00E8324D">
            <w:pPr>
              <w:pStyle w:val="Tablas"/>
              <w:rPr>
                <w:sz w:val="12"/>
                <w:szCs w:val="12"/>
              </w:rPr>
            </w:pPr>
            <w:r w:rsidRPr="00483EBE">
              <w:rPr>
                <w:sz w:val="12"/>
                <w:szCs w:val="12"/>
              </w:rPr>
              <w:t>$596</w:t>
            </w:r>
          </w:p>
        </w:tc>
        <w:tc>
          <w:tcPr>
            <w:tcW w:w="0" w:type="auto"/>
            <w:tcBorders>
              <w:top w:val="nil"/>
              <w:left w:val="nil"/>
              <w:bottom w:val="single" w:sz="4" w:space="0" w:color="auto"/>
              <w:right w:val="single" w:sz="4" w:space="0" w:color="auto"/>
            </w:tcBorders>
            <w:shd w:val="clear" w:color="auto" w:fill="auto"/>
            <w:vAlign w:val="center"/>
            <w:hideMark/>
          </w:tcPr>
          <w:p w14:paraId="744CA722"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3BB4BFE2"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03216B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C9F68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77773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257EF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8427C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F73F5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46712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A6EEE7C" w14:textId="77777777" w:rsidR="00572995" w:rsidRPr="00483EBE" w:rsidRDefault="00572995" w:rsidP="00E8324D">
            <w:pPr>
              <w:pStyle w:val="Tablas"/>
              <w:rPr>
                <w:sz w:val="12"/>
                <w:szCs w:val="12"/>
              </w:rPr>
            </w:pPr>
            <w:r w:rsidRPr="00483EBE">
              <w:rPr>
                <w:sz w:val="12"/>
                <w:szCs w:val="12"/>
              </w:rPr>
              <w:t> </w:t>
            </w:r>
          </w:p>
        </w:tc>
      </w:tr>
      <w:tr w:rsidR="00572995" w:rsidRPr="00483EBE" w14:paraId="3AC356B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9AD9BA"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539FA257"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2E23C16B" w14:textId="77777777" w:rsidR="00572995" w:rsidRPr="00483EBE" w:rsidRDefault="00572995" w:rsidP="00E8324D">
            <w:pPr>
              <w:pStyle w:val="Tablas"/>
              <w:rPr>
                <w:sz w:val="12"/>
                <w:szCs w:val="12"/>
              </w:rPr>
            </w:pPr>
            <w:r w:rsidRPr="00483EBE">
              <w:rPr>
                <w:sz w:val="12"/>
                <w:szCs w:val="12"/>
              </w:rPr>
              <w:t>$1,091</w:t>
            </w:r>
          </w:p>
        </w:tc>
        <w:tc>
          <w:tcPr>
            <w:tcW w:w="0" w:type="auto"/>
            <w:tcBorders>
              <w:top w:val="nil"/>
              <w:left w:val="nil"/>
              <w:bottom w:val="single" w:sz="4" w:space="0" w:color="auto"/>
              <w:right w:val="single" w:sz="4" w:space="0" w:color="auto"/>
            </w:tcBorders>
            <w:shd w:val="clear" w:color="auto" w:fill="auto"/>
            <w:vAlign w:val="center"/>
            <w:hideMark/>
          </w:tcPr>
          <w:p w14:paraId="2CBFE93C" w14:textId="77777777" w:rsidR="00572995" w:rsidRPr="00483EBE" w:rsidRDefault="00572995" w:rsidP="00E8324D">
            <w:pPr>
              <w:pStyle w:val="Tablas"/>
              <w:rPr>
                <w:sz w:val="12"/>
                <w:szCs w:val="12"/>
              </w:rPr>
            </w:pPr>
            <w:r w:rsidRPr="00483EBE">
              <w:rPr>
                <w:sz w:val="12"/>
                <w:szCs w:val="12"/>
              </w:rPr>
              <w:t>$546</w:t>
            </w:r>
          </w:p>
        </w:tc>
        <w:tc>
          <w:tcPr>
            <w:tcW w:w="0" w:type="auto"/>
            <w:tcBorders>
              <w:top w:val="nil"/>
              <w:left w:val="nil"/>
              <w:bottom w:val="single" w:sz="4" w:space="0" w:color="auto"/>
              <w:right w:val="single" w:sz="4" w:space="0" w:color="auto"/>
            </w:tcBorders>
            <w:shd w:val="clear" w:color="auto" w:fill="auto"/>
            <w:vAlign w:val="center"/>
            <w:hideMark/>
          </w:tcPr>
          <w:p w14:paraId="59636196"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54A3999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3476D5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639E99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C2F09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93B2A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3AAC7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F7BA6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B70BD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84CF0EB" w14:textId="77777777" w:rsidR="00572995" w:rsidRPr="00483EBE" w:rsidRDefault="00572995" w:rsidP="00E8324D">
            <w:pPr>
              <w:pStyle w:val="Tablas"/>
              <w:rPr>
                <w:sz w:val="12"/>
                <w:szCs w:val="12"/>
              </w:rPr>
            </w:pPr>
            <w:r w:rsidRPr="00483EBE">
              <w:rPr>
                <w:sz w:val="12"/>
                <w:szCs w:val="12"/>
              </w:rPr>
              <w:t> </w:t>
            </w:r>
          </w:p>
        </w:tc>
      </w:tr>
      <w:tr w:rsidR="00572995" w:rsidRPr="00483EBE" w14:paraId="371B513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2E28152"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768814A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D8C6FC7" w14:textId="77777777" w:rsidR="00572995" w:rsidRPr="00483EBE" w:rsidRDefault="00572995" w:rsidP="00E8324D">
            <w:pPr>
              <w:pStyle w:val="Tablas"/>
              <w:rPr>
                <w:sz w:val="12"/>
                <w:szCs w:val="12"/>
              </w:rPr>
            </w:pPr>
            <w:r w:rsidRPr="00483EBE">
              <w:rPr>
                <w:sz w:val="12"/>
                <w:szCs w:val="12"/>
              </w:rPr>
              <w:t>$518</w:t>
            </w:r>
          </w:p>
        </w:tc>
        <w:tc>
          <w:tcPr>
            <w:tcW w:w="0" w:type="auto"/>
            <w:tcBorders>
              <w:top w:val="nil"/>
              <w:left w:val="nil"/>
              <w:bottom w:val="single" w:sz="4" w:space="0" w:color="auto"/>
              <w:right w:val="single" w:sz="4" w:space="0" w:color="auto"/>
            </w:tcBorders>
            <w:shd w:val="clear" w:color="auto" w:fill="auto"/>
            <w:vAlign w:val="center"/>
            <w:hideMark/>
          </w:tcPr>
          <w:p w14:paraId="6FA918E8" w14:textId="77777777" w:rsidR="00572995" w:rsidRPr="00483EBE" w:rsidRDefault="00572995" w:rsidP="00E8324D">
            <w:pPr>
              <w:pStyle w:val="Tablas"/>
              <w:rPr>
                <w:sz w:val="12"/>
                <w:szCs w:val="12"/>
              </w:rPr>
            </w:pPr>
            <w:r w:rsidRPr="00483EBE">
              <w:rPr>
                <w:sz w:val="12"/>
                <w:szCs w:val="12"/>
              </w:rPr>
              <w:t>$518</w:t>
            </w:r>
          </w:p>
        </w:tc>
        <w:tc>
          <w:tcPr>
            <w:tcW w:w="0" w:type="auto"/>
            <w:tcBorders>
              <w:top w:val="nil"/>
              <w:left w:val="nil"/>
              <w:bottom w:val="single" w:sz="4" w:space="0" w:color="auto"/>
              <w:right w:val="single" w:sz="4" w:space="0" w:color="auto"/>
            </w:tcBorders>
            <w:shd w:val="clear" w:color="auto" w:fill="auto"/>
            <w:vAlign w:val="center"/>
            <w:hideMark/>
          </w:tcPr>
          <w:p w14:paraId="452D6089"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78DD431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B644CC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1E1825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5167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FA4A3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FE1CF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A9E24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5BBB7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1341BCD" w14:textId="77777777" w:rsidR="00572995" w:rsidRPr="00483EBE" w:rsidRDefault="00572995" w:rsidP="00E8324D">
            <w:pPr>
              <w:pStyle w:val="Tablas"/>
              <w:rPr>
                <w:sz w:val="12"/>
                <w:szCs w:val="12"/>
              </w:rPr>
            </w:pPr>
            <w:r w:rsidRPr="00483EBE">
              <w:rPr>
                <w:sz w:val="12"/>
                <w:szCs w:val="12"/>
              </w:rPr>
              <w:t> </w:t>
            </w:r>
          </w:p>
        </w:tc>
      </w:tr>
      <w:tr w:rsidR="00572995" w:rsidRPr="00483EBE" w14:paraId="73105598"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E07078A"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5EB91631"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D954690" w14:textId="77777777" w:rsidR="00572995" w:rsidRPr="00483EBE" w:rsidRDefault="00572995" w:rsidP="00E8324D">
            <w:pPr>
              <w:pStyle w:val="Tablas"/>
              <w:rPr>
                <w:sz w:val="12"/>
                <w:szCs w:val="12"/>
              </w:rPr>
            </w:pPr>
            <w:r w:rsidRPr="00483EBE">
              <w:rPr>
                <w:sz w:val="12"/>
                <w:szCs w:val="12"/>
              </w:rPr>
              <w:t>$2,196</w:t>
            </w:r>
          </w:p>
        </w:tc>
        <w:tc>
          <w:tcPr>
            <w:tcW w:w="0" w:type="auto"/>
            <w:tcBorders>
              <w:top w:val="nil"/>
              <w:left w:val="nil"/>
              <w:bottom w:val="single" w:sz="4" w:space="0" w:color="auto"/>
              <w:right w:val="single" w:sz="4" w:space="0" w:color="auto"/>
            </w:tcBorders>
            <w:shd w:val="clear" w:color="auto" w:fill="auto"/>
            <w:vAlign w:val="center"/>
            <w:hideMark/>
          </w:tcPr>
          <w:p w14:paraId="62C110AD" w14:textId="77777777" w:rsidR="00572995" w:rsidRPr="00483EBE" w:rsidRDefault="00572995" w:rsidP="00E8324D">
            <w:pPr>
              <w:pStyle w:val="Tablas"/>
              <w:rPr>
                <w:sz w:val="12"/>
                <w:szCs w:val="12"/>
              </w:rPr>
            </w:pPr>
            <w:r w:rsidRPr="00483EBE">
              <w:rPr>
                <w:sz w:val="12"/>
                <w:szCs w:val="12"/>
              </w:rPr>
              <w:t>$549</w:t>
            </w:r>
          </w:p>
        </w:tc>
        <w:tc>
          <w:tcPr>
            <w:tcW w:w="0" w:type="auto"/>
            <w:tcBorders>
              <w:top w:val="nil"/>
              <w:left w:val="nil"/>
              <w:bottom w:val="single" w:sz="4" w:space="0" w:color="auto"/>
              <w:right w:val="single" w:sz="4" w:space="0" w:color="auto"/>
            </w:tcBorders>
            <w:shd w:val="clear" w:color="auto" w:fill="auto"/>
            <w:vAlign w:val="center"/>
            <w:hideMark/>
          </w:tcPr>
          <w:p w14:paraId="23A99B2F"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3CB327D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00C9E8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F29793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1B9E8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9D645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1EC8B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06614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CFC4D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CBFBF07" w14:textId="77777777" w:rsidR="00572995" w:rsidRPr="00483EBE" w:rsidRDefault="00572995" w:rsidP="00E8324D">
            <w:pPr>
              <w:pStyle w:val="Tablas"/>
              <w:rPr>
                <w:sz w:val="12"/>
                <w:szCs w:val="12"/>
              </w:rPr>
            </w:pPr>
            <w:r w:rsidRPr="00483EBE">
              <w:rPr>
                <w:sz w:val="12"/>
                <w:szCs w:val="12"/>
              </w:rPr>
              <w:t> </w:t>
            </w:r>
          </w:p>
        </w:tc>
      </w:tr>
      <w:tr w:rsidR="00572995" w:rsidRPr="00483EBE" w14:paraId="2DA7F61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B09131"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14BEF113"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C332B6F" w14:textId="77777777" w:rsidR="00572995" w:rsidRPr="00483EBE" w:rsidRDefault="00572995" w:rsidP="00E8324D">
            <w:pPr>
              <w:pStyle w:val="Tablas"/>
              <w:rPr>
                <w:sz w:val="12"/>
                <w:szCs w:val="12"/>
              </w:rPr>
            </w:pPr>
            <w:r w:rsidRPr="00483EBE">
              <w:rPr>
                <w:sz w:val="12"/>
                <w:szCs w:val="12"/>
              </w:rPr>
              <w:t>$2,312</w:t>
            </w:r>
          </w:p>
        </w:tc>
        <w:tc>
          <w:tcPr>
            <w:tcW w:w="0" w:type="auto"/>
            <w:tcBorders>
              <w:top w:val="nil"/>
              <w:left w:val="nil"/>
              <w:bottom w:val="single" w:sz="4" w:space="0" w:color="auto"/>
              <w:right w:val="single" w:sz="4" w:space="0" w:color="auto"/>
            </w:tcBorders>
            <w:shd w:val="clear" w:color="auto" w:fill="auto"/>
            <w:vAlign w:val="center"/>
            <w:hideMark/>
          </w:tcPr>
          <w:p w14:paraId="521630BE" w14:textId="77777777" w:rsidR="00572995" w:rsidRPr="00483EBE" w:rsidRDefault="00572995" w:rsidP="00E8324D">
            <w:pPr>
              <w:pStyle w:val="Tablas"/>
              <w:rPr>
                <w:sz w:val="12"/>
                <w:szCs w:val="12"/>
              </w:rPr>
            </w:pPr>
            <w:r w:rsidRPr="00483EBE">
              <w:rPr>
                <w:sz w:val="12"/>
                <w:szCs w:val="12"/>
              </w:rPr>
              <w:t>$578</w:t>
            </w:r>
          </w:p>
        </w:tc>
        <w:tc>
          <w:tcPr>
            <w:tcW w:w="0" w:type="auto"/>
            <w:tcBorders>
              <w:top w:val="nil"/>
              <w:left w:val="nil"/>
              <w:bottom w:val="single" w:sz="4" w:space="0" w:color="auto"/>
              <w:right w:val="single" w:sz="4" w:space="0" w:color="auto"/>
            </w:tcBorders>
            <w:shd w:val="clear" w:color="auto" w:fill="auto"/>
            <w:vAlign w:val="center"/>
            <w:hideMark/>
          </w:tcPr>
          <w:p w14:paraId="3858C6C2" w14:textId="77777777" w:rsidR="00572995" w:rsidRPr="00483EBE" w:rsidRDefault="00572995" w:rsidP="00E8324D">
            <w:pPr>
              <w:pStyle w:val="Tablas"/>
              <w:rPr>
                <w:sz w:val="12"/>
                <w:szCs w:val="12"/>
              </w:rPr>
            </w:pPr>
            <w:r w:rsidRPr="00483EBE">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40CDE33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59337B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BCCFC7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FE0F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9E3EC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DC87B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4FE69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4D86D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B3AE675" w14:textId="77777777" w:rsidR="00572995" w:rsidRPr="00483EBE" w:rsidRDefault="00572995" w:rsidP="00E8324D">
            <w:pPr>
              <w:pStyle w:val="Tablas"/>
              <w:rPr>
                <w:sz w:val="12"/>
                <w:szCs w:val="12"/>
              </w:rPr>
            </w:pPr>
            <w:r w:rsidRPr="00483EBE">
              <w:rPr>
                <w:sz w:val="12"/>
                <w:szCs w:val="12"/>
              </w:rPr>
              <w:t> </w:t>
            </w:r>
          </w:p>
        </w:tc>
      </w:tr>
      <w:tr w:rsidR="00572995" w:rsidRPr="00483EBE" w14:paraId="05D85E8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F9987AF" w14:textId="77777777" w:rsidR="00572995" w:rsidRPr="00483EBE" w:rsidRDefault="00572995" w:rsidP="00E8324D">
            <w:pPr>
              <w:pStyle w:val="Tablas"/>
              <w:rPr>
                <w:sz w:val="12"/>
                <w:szCs w:val="12"/>
              </w:rPr>
            </w:pPr>
            <w:r w:rsidRPr="00483EBE">
              <w:rPr>
                <w:sz w:val="12"/>
                <w:szCs w:val="12"/>
              </w:rPr>
              <w:lastRenderedPageBreak/>
              <w:t>49</w:t>
            </w:r>
          </w:p>
        </w:tc>
        <w:tc>
          <w:tcPr>
            <w:tcW w:w="0" w:type="auto"/>
            <w:tcBorders>
              <w:top w:val="nil"/>
              <w:left w:val="nil"/>
              <w:bottom w:val="single" w:sz="4" w:space="0" w:color="auto"/>
              <w:right w:val="single" w:sz="4" w:space="0" w:color="auto"/>
            </w:tcBorders>
            <w:shd w:val="clear" w:color="auto" w:fill="auto"/>
            <w:vAlign w:val="center"/>
            <w:hideMark/>
          </w:tcPr>
          <w:p w14:paraId="5FF7138C"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24B5CCEF" w14:textId="77777777" w:rsidR="00572995" w:rsidRPr="00483EBE" w:rsidRDefault="00572995" w:rsidP="00E8324D">
            <w:pPr>
              <w:pStyle w:val="Tablas"/>
              <w:rPr>
                <w:sz w:val="12"/>
                <w:szCs w:val="12"/>
              </w:rPr>
            </w:pPr>
            <w:r w:rsidRPr="00483EBE">
              <w:rPr>
                <w:sz w:val="12"/>
                <w:szCs w:val="12"/>
              </w:rPr>
              <w:t>$2,600</w:t>
            </w:r>
          </w:p>
        </w:tc>
        <w:tc>
          <w:tcPr>
            <w:tcW w:w="0" w:type="auto"/>
            <w:tcBorders>
              <w:top w:val="nil"/>
              <w:left w:val="nil"/>
              <w:bottom w:val="single" w:sz="4" w:space="0" w:color="auto"/>
              <w:right w:val="single" w:sz="4" w:space="0" w:color="auto"/>
            </w:tcBorders>
            <w:shd w:val="clear" w:color="auto" w:fill="auto"/>
            <w:vAlign w:val="center"/>
            <w:hideMark/>
          </w:tcPr>
          <w:p w14:paraId="6D83B5F4" w14:textId="77777777" w:rsidR="00572995" w:rsidRPr="00483EBE" w:rsidRDefault="00572995" w:rsidP="00E8324D">
            <w:pPr>
              <w:pStyle w:val="Tablas"/>
              <w:rPr>
                <w:sz w:val="12"/>
                <w:szCs w:val="12"/>
              </w:rPr>
            </w:pPr>
            <w:r w:rsidRPr="00483EBE">
              <w:rPr>
                <w:sz w:val="12"/>
                <w:szCs w:val="12"/>
              </w:rPr>
              <w:t>$520</w:t>
            </w:r>
          </w:p>
        </w:tc>
        <w:tc>
          <w:tcPr>
            <w:tcW w:w="0" w:type="auto"/>
            <w:tcBorders>
              <w:top w:val="nil"/>
              <w:left w:val="nil"/>
              <w:bottom w:val="single" w:sz="4" w:space="0" w:color="auto"/>
              <w:right w:val="single" w:sz="4" w:space="0" w:color="auto"/>
            </w:tcBorders>
            <w:shd w:val="clear" w:color="auto" w:fill="auto"/>
            <w:vAlign w:val="center"/>
            <w:hideMark/>
          </w:tcPr>
          <w:p w14:paraId="70E83644"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1776CCC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39BEFA6"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04593F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4A2A5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4753F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6D67C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32FB8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E974B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42E78AE" w14:textId="77777777" w:rsidR="00572995" w:rsidRPr="00483EBE" w:rsidRDefault="00572995" w:rsidP="00E8324D">
            <w:pPr>
              <w:pStyle w:val="Tablas"/>
              <w:rPr>
                <w:sz w:val="12"/>
                <w:szCs w:val="12"/>
              </w:rPr>
            </w:pPr>
            <w:r w:rsidRPr="00483EBE">
              <w:rPr>
                <w:sz w:val="12"/>
                <w:szCs w:val="12"/>
              </w:rPr>
              <w:t> </w:t>
            </w:r>
          </w:p>
        </w:tc>
      </w:tr>
      <w:tr w:rsidR="00572995" w:rsidRPr="00483EBE" w14:paraId="2A4CCF7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8AF97DE" w14:textId="77777777" w:rsidR="00572995" w:rsidRPr="00483EBE" w:rsidRDefault="00572995" w:rsidP="00E8324D">
            <w:pPr>
              <w:pStyle w:val="Tablas"/>
              <w:rPr>
                <w:sz w:val="12"/>
                <w:szCs w:val="12"/>
              </w:rPr>
            </w:pPr>
            <w:r w:rsidRPr="00483EBE">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63620147"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41D7F4A2" w14:textId="77777777" w:rsidR="00572995" w:rsidRPr="00483EBE" w:rsidRDefault="00572995" w:rsidP="00E8324D">
            <w:pPr>
              <w:pStyle w:val="Tablas"/>
              <w:rPr>
                <w:sz w:val="12"/>
                <w:szCs w:val="12"/>
              </w:rPr>
            </w:pPr>
            <w:r w:rsidRPr="00483EBE">
              <w:rPr>
                <w:sz w:val="12"/>
                <w:szCs w:val="12"/>
              </w:rPr>
              <w:t>$5,859</w:t>
            </w:r>
          </w:p>
        </w:tc>
        <w:tc>
          <w:tcPr>
            <w:tcW w:w="0" w:type="auto"/>
            <w:tcBorders>
              <w:top w:val="nil"/>
              <w:left w:val="nil"/>
              <w:bottom w:val="single" w:sz="4" w:space="0" w:color="auto"/>
              <w:right w:val="single" w:sz="4" w:space="0" w:color="auto"/>
            </w:tcBorders>
            <w:shd w:val="clear" w:color="auto" w:fill="auto"/>
            <w:vAlign w:val="center"/>
            <w:hideMark/>
          </w:tcPr>
          <w:p w14:paraId="14D0BDA6" w14:textId="77777777" w:rsidR="00572995" w:rsidRPr="00483EBE" w:rsidRDefault="00572995" w:rsidP="00E8324D">
            <w:pPr>
              <w:pStyle w:val="Tablas"/>
              <w:rPr>
                <w:sz w:val="12"/>
                <w:szCs w:val="12"/>
              </w:rPr>
            </w:pPr>
            <w:r w:rsidRPr="00483EBE">
              <w:rPr>
                <w:sz w:val="12"/>
                <w:szCs w:val="12"/>
              </w:rPr>
              <w:t>$651</w:t>
            </w:r>
          </w:p>
        </w:tc>
        <w:tc>
          <w:tcPr>
            <w:tcW w:w="0" w:type="auto"/>
            <w:tcBorders>
              <w:top w:val="nil"/>
              <w:left w:val="nil"/>
              <w:bottom w:val="single" w:sz="4" w:space="0" w:color="auto"/>
              <w:right w:val="single" w:sz="4" w:space="0" w:color="auto"/>
            </w:tcBorders>
            <w:shd w:val="clear" w:color="auto" w:fill="auto"/>
            <w:vAlign w:val="center"/>
            <w:hideMark/>
          </w:tcPr>
          <w:p w14:paraId="27085822"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0629C721"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BC8E80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79058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D577A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5C7F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81703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BB4E9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C3CC4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F819C0E" w14:textId="77777777" w:rsidR="00572995" w:rsidRPr="00483EBE" w:rsidRDefault="00572995" w:rsidP="00E8324D">
            <w:pPr>
              <w:pStyle w:val="Tablas"/>
              <w:rPr>
                <w:sz w:val="12"/>
                <w:szCs w:val="12"/>
              </w:rPr>
            </w:pPr>
            <w:r w:rsidRPr="00483EBE">
              <w:rPr>
                <w:sz w:val="12"/>
                <w:szCs w:val="12"/>
              </w:rPr>
              <w:t> </w:t>
            </w:r>
          </w:p>
        </w:tc>
      </w:tr>
      <w:tr w:rsidR="00572995" w:rsidRPr="00483EBE" w14:paraId="10C4A52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FC0680A" w14:textId="77777777" w:rsidR="00572995" w:rsidRPr="00483EBE" w:rsidRDefault="00572995" w:rsidP="00E8324D">
            <w:pPr>
              <w:pStyle w:val="Tablas"/>
              <w:rPr>
                <w:sz w:val="12"/>
                <w:szCs w:val="12"/>
              </w:rPr>
            </w:pPr>
            <w:r w:rsidRPr="00483EBE">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736436F9"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669DEB83" w14:textId="77777777" w:rsidR="00572995" w:rsidRPr="00483EBE" w:rsidRDefault="00572995" w:rsidP="00E8324D">
            <w:pPr>
              <w:pStyle w:val="Tablas"/>
              <w:rPr>
                <w:sz w:val="12"/>
                <w:szCs w:val="12"/>
              </w:rPr>
            </w:pPr>
            <w:r w:rsidRPr="00483EBE">
              <w:rPr>
                <w:sz w:val="12"/>
                <w:szCs w:val="12"/>
              </w:rPr>
              <w:t>$2,003</w:t>
            </w:r>
          </w:p>
        </w:tc>
        <w:tc>
          <w:tcPr>
            <w:tcW w:w="0" w:type="auto"/>
            <w:tcBorders>
              <w:top w:val="nil"/>
              <w:left w:val="nil"/>
              <w:bottom w:val="single" w:sz="4" w:space="0" w:color="auto"/>
              <w:right w:val="single" w:sz="4" w:space="0" w:color="auto"/>
            </w:tcBorders>
            <w:shd w:val="clear" w:color="auto" w:fill="auto"/>
            <w:vAlign w:val="center"/>
            <w:hideMark/>
          </w:tcPr>
          <w:p w14:paraId="5360E092" w14:textId="77777777" w:rsidR="00572995" w:rsidRPr="00483EBE" w:rsidRDefault="00572995" w:rsidP="00E8324D">
            <w:pPr>
              <w:pStyle w:val="Tablas"/>
              <w:rPr>
                <w:sz w:val="12"/>
                <w:szCs w:val="12"/>
              </w:rPr>
            </w:pPr>
            <w:r w:rsidRPr="00483EBE">
              <w:rPr>
                <w:sz w:val="12"/>
                <w:szCs w:val="12"/>
              </w:rPr>
              <w:t>$501</w:t>
            </w:r>
          </w:p>
        </w:tc>
        <w:tc>
          <w:tcPr>
            <w:tcW w:w="0" w:type="auto"/>
            <w:tcBorders>
              <w:top w:val="nil"/>
              <w:left w:val="nil"/>
              <w:bottom w:val="single" w:sz="4" w:space="0" w:color="auto"/>
              <w:right w:val="single" w:sz="4" w:space="0" w:color="auto"/>
            </w:tcBorders>
            <w:shd w:val="clear" w:color="auto" w:fill="auto"/>
            <w:vAlign w:val="center"/>
            <w:hideMark/>
          </w:tcPr>
          <w:p w14:paraId="46943507" w14:textId="77777777" w:rsidR="00572995" w:rsidRPr="00483EBE" w:rsidRDefault="00572995" w:rsidP="00E8324D">
            <w:pPr>
              <w:pStyle w:val="Tablas"/>
              <w:rPr>
                <w:sz w:val="12"/>
                <w:szCs w:val="12"/>
              </w:rPr>
            </w:pPr>
            <w:r w:rsidRPr="00483EBE">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3EC32E4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0D3206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E8DE0C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F4632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8D49A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4F6E1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408F0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BBCB73"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078AE54" w14:textId="77777777" w:rsidR="00572995" w:rsidRPr="00483EBE" w:rsidRDefault="00572995" w:rsidP="00E8324D">
            <w:pPr>
              <w:pStyle w:val="Tablas"/>
              <w:rPr>
                <w:sz w:val="12"/>
                <w:szCs w:val="12"/>
              </w:rPr>
            </w:pPr>
            <w:r w:rsidRPr="00483EBE">
              <w:rPr>
                <w:sz w:val="12"/>
                <w:szCs w:val="12"/>
              </w:rPr>
              <w:t> </w:t>
            </w:r>
          </w:p>
        </w:tc>
      </w:tr>
      <w:tr w:rsidR="00572995" w:rsidRPr="00483EBE" w14:paraId="1990A08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300C4CC" w14:textId="77777777" w:rsidR="00572995" w:rsidRPr="00483EBE" w:rsidRDefault="00572995" w:rsidP="00E8324D">
            <w:pPr>
              <w:pStyle w:val="Tablas"/>
              <w:rPr>
                <w:sz w:val="12"/>
                <w:szCs w:val="12"/>
              </w:rPr>
            </w:pPr>
            <w:r w:rsidRPr="00483EBE">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2F8ABB13"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78379021" w14:textId="77777777" w:rsidR="00572995" w:rsidRPr="00483EBE" w:rsidRDefault="00572995" w:rsidP="00E8324D">
            <w:pPr>
              <w:pStyle w:val="Tablas"/>
              <w:rPr>
                <w:sz w:val="12"/>
                <w:szCs w:val="12"/>
              </w:rPr>
            </w:pPr>
            <w:r w:rsidRPr="00483EBE">
              <w:rPr>
                <w:sz w:val="12"/>
                <w:szCs w:val="12"/>
              </w:rPr>
              <w:t>$5,817</w:t>
            </w:r>
          </w:p>
        </w:tc>
        <w:tc>
          <w:tcPr>
            <w:tcW w:w="0" w:type="auto"/>
            <w:tcBorders>
              <w:top w:val="nil"/>
              <w:left w:val="nil"/>
              <w:bottom w:val="single" w:sz="4" w:space="0" w:color="auto"/>
              <w:right w:val="single" w:sz="4" w:space="0" w:color="auto"/>
            </w:tcBorders>
            <w:shd w:val="clear" w:color="auto" w:fill="auto"/>
            <w:vAlign w:val="center"/>
            <w:hideMark/>
          </w:tcPr>
          <w:p w14:paraId="06A14617" w14:textId="77777777" w:rsidR="00572995" w:rsidRPr="00483EBE" w:rsidRDefault="00572995" w:rsidP="00E8324D">
            <w:pPr>
              <w:pStyle w:val="Tablas"/>
              <w:rPr>
                <w:sz w:val="12"/>
                <w:szCs w:val="12"/>
              </w:rPr>
            </w:pPr>
            <w:r w:rsidRPr="00483EBE">
              <w:rPr>
                <w:sz w:val="12"/>
                <w:szCs w:val="12"/>
              </w:rPr>
              <w:t>$529</w:t>
            </w:r>
          </w:p>
        </w:tc>
        <w:tc>
          <w:tcPr>
            <w:tcW w:w="0" w:type="auto"/>
            <w:tcBorders>
              <w:top w:val="nil"/>
              <w:left w:val="nil"/>
              <w:bottom w:val="single" w:sz="4" w:space="0" w:color="auto"/>
              <w:right w:val="single" w:sz="4" w:space="0" w:color="auto"/>
            </w:tcBorders>
            <w:shd w:val="clear" w:color="auto" w:fill="auto"/>
            <w:vAlign w:val="center"/>
            <w:hideMark/>
          </w:tcPr>
          <w:p w14:paraId="740A9CD2"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562F1488"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733832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E3ADED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837AA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053A6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9D495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129D7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FAD6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B1D2E94" w14:textId="77777777" w:rsidR="00572995" w:rsidRPr="00483EBE" w:rsidRDefault="00572995" w:rsidP="00E8324D">
            <w:pPr>
              <w:pStyle w:val="Tablas"/>
              <w:rPr>
                <w:sz w:val="12"/>
                <w:szCs w:val="12"/>
              </w:rPr>
            </w:pPr>
            <w:r w:rsidRPr="00483EBE">
              <w:rPr>
                <w:sz w:val="12"/>
                <w:szCs w:val="12"/>
              </w:rPr>
              <w:t> </w:t>
            </w:r>
          </w:p>
        </w:tc>
      </w:tr>
      <w:tr w:rsidR="00572995" w:rsidRPr="00483EBE" w14:paraId="32FAF1F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C6B6728" w14:textId="77777777" w:rsidR="00572995" w:rsidRPr="00483EBE" w:rsidRDefault="00572995" w:rsidP="00E8324D">
            <w:pPr>
              <w:pStyle w:val="Tablas"/>
              <w:rPr>
                <w:sz w:val="12"/>
                <w:szCs w:val="12"/>
              </w:rPr>
            </w:pPr>
            <w:r w:rsidRPr="00483EBE">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1F615D00" w14:textId="77777777" w:rsidR="00572995" w:rsidRPr="00483EBE" w:rsidRDefault="00572995" w:rsidP="00E8324D">
            <w:pPr>
              <w:pStyle w:val="Tablas"/>
              <w:rPr>
                <w:sz w:val="12"/>
                <w:szCs w:val="12"/>
              </w:rPr>
            </w:pPr>
            <w:r w:rsidRPr="00483EBE">
              <w:rPr>
                <w:sz w:val="12"/>
                <w:szCs w:val="12"/>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753978F4" w14:textId="77777777" w:rsidR="00572995" w:rsidRPr="00483EBE" w:rsidRDefault="00572995" w:rsidP="00E8324D">
            <w:pPr>
              <w:pStyle w:val="Tablas"/>
              <w:rPr>
                <w:sz w:val="12"/>
                <w:szCs w:val="12"/>
              </w:rPr>
            </w:pPr>
            <w:r w:rsidRPr="00483EBE">
              <w:rPr>
                <w:sz w:val="12"/>
                <w:szCs w:val="12"/>
              </w:rPr>
              <w:t>$5,472</w:t>
            </w:r>
          </w:p>
        </w:tc>
        <w:tc>
          <w:tcPr>
            <w:tcW w:w="0" w:type="auto"/>
            <w:tcBorders>
              <w:top w:val="nil"/>
              <w:left w:val="nil"/>
              <w:bottom w:val="single" w:sz="4" w:space="0" w:color="auto"/>
              <w:right w:val="single" w:sz="4" w:space="0" w:color="auto"/>
            </w:tcBorders>
            <w:shd w:val="clear" w:color="auto" w:fill="auto"/>
            <w:vAlign w:val="center"/>
            <w:hideMark/>
          </w:tcPr>
          <w:p w14:paraId="38E20C12" w14:textId="77777777" w:rsidR="00572995" w:rsidRPr="00483EBE" w:rsidRDefault="00572995" w:rsidP="00E8324D">
            <w:pPr>
              <w:pStyle w:val="Tablas"/>
              <w:rPr>
                <w:sz w:val="12"/>
                <w:szCs w:val="12"/>
              </w:rPr>
            </w:pPr>
            <w:r w:rsidRPr="00483EBE">
              <w:rPr>
                <w:sz w:val="12"/>
                <w:szCs w:val="12"/>
              </w:rPr>
              <w:t>$547</w:t>
            </w:r>
          </w:p>
        </w:tc>
        <w:tc>
          <w:tcPr>
            <w:tcW w:w="0" w:type="auto"/>
            <w:tcBorders>
              <w:top w:val="nil"/>
              <w:left w:val="nil"/>
              <w:bottom w:val="single" w:sz="4" w:space="0" w:color="auto"/>
              <w:right w:val="single" w:sz="4" w:space="0" w:color="auto"/>
            </w:tcBorders>
            <w:shd w:val="clear" w:color="auto" w:fill="auto"/>
            <w:vAlign w:val="center"/>
            <w:hideMark/>
          </w:tcPr>
          <w:p w14:paraId="52F5E9E0"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3F1A205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856E3D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6FD18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C6E04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968CE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A98CC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8BAEE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C1954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B87C770" w14:textId="77777777" w:rsidR="00572995" w:rsidRPr="00483EBE" w:rsidRDefault="00572995" w:rsidP="00E8324D">
            <w:pPr>
              <w:pStyle w:val="Tablas"/>
              <w:rPr>
                <w:sz w:val="12"/>
                <w:szCs w:val="12"/>
              </w:rPr>
            </w:pPr>
            <w:r w:rsidRPr="00483EBE">
              <w:rPr>
                <w:sz w:val="12"/>
                <w:szCs w:val="12"/>
              </w:rPr>
              <w:t> </w:t>
            </w:r>
          </w:p>
        </w:tc>
      </w:tr>
      <w:tr w:rsidR="00572995" w:rsidRPr="00483EBE" w14:paraId="0BC03607"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020BE15" w14:textId="77777777" w:rsidR="00572995" w:rsidRPr="00483EBE" w:rsidRDefault="00572995" w:rsidP="00E8324D">
            <w:pPr>
              <w:pStyle w:val="Tablas"/>
              <w:rPr>
                <w:sz w:val="12"/>
                <w:szCs w:val="12"/>
              </w:rPr>
            </w:pPr>
            <w:r w:rsidRPr="00483EBE">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63291E6B"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3B80D333" w14:textId="77777777" w:rsidR="00572995" w:rsidRPr="00483EBE" w:rsidRDefault="00572995" w:rsidP="00E8324D">
            <w:pPr>
              <w:pStyle w:val="Tablas"/>
              <w:rPr>
                <w:sz w:val="12"/>
                <w:szCs w:val="12"/>
              </w:rPr>
            </w:pPr>
            <w:r w:rsidRPr="00483EBE">
              <w:rPr>
                <w:sz w:val="12"/>
                <w:szCs w:val="12"/>
              </w:rPr>
              <w:t>$5,069</w:t>
            </w:r>
          </w:p>
        </w:tc>
        <w:tc>
          <w:tcPr>
            <w:tcW w:w="0" w:type="auto"/>
            <w:tcBorders>
              <w:top w:val="nil"/>
              <w:left w:val="nil"/>
              <w:bottom w:val="single" w:sz="4" w:space="0" w:color="auto"/>
              <w:right w:val="single" w:sz="4" w:space="0" w:color="auto"/>
            </w:tcBorders>
            <w:shd w:val="clear" w:color="auto" w:fill="auto"/>
            <w:vAlign w:val="center"/>
            <w:hideMark/>
          </w:tcPr>
          <w:p w14:paraId="58332DAF" w14:textId="77777777" w:rsidR="00572995" w:rsidRPr="00483EBE" w:rsidRDefault="00572995" w:rsidP="00E8324D">
            <w:pPr>
              <w:pStyle w:val="Tablas"/>
              <w:rPr>
                <w:sz w:val="12"/>
                <w:szCs w:val="12"/>
              </w:rPr>
            </w:pPr>
            <w:r w:rsidRPr="00483EBE">
              <w:rPr>
                <w:sz w:val="12"/>
                <w:szCs w:val="12"/>
              </w:rPr>
              <w:t>$563</w:t>
            </w:r>
          </w:p>
        </w:tc>
        <w:tc>
          <w:tcPr>
            <w:tcW w:w="0" w:type="auto"/>
            <w:tcBorders>
              <w:top w:val="nil"/>
              <w:left w:val="nil"/>
              <w:bottom w:val="single" w:sz="4" w:space="0" w:color="auto"/>
              <w:right w:val="single" w:sz="4" w:space="0" w:color="auto"/>
            </w:tcBorders>
            <w:shd w:val="clear" w:color="auto" w:fill="auto"/>
            <w:vAlign w:val="center"/>
            <w:hideMark/>
          </w:tcPr>
          <w:p w14:paraId="3E6C6A77"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603D338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6EF2CF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9C046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6197A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035F9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763A9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B2381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1F0C58"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7297025" w14:textId="77777777" w:rsidR="00572995" w:rsidRPr="00483EBE" w:rsidRDefault="00572995" w:rsidP="00E8324D">
            <w:pPr>
              <w:pStyle w:val="Tablas"/>
              <w:rPr>
                <w:sz w:val="12"/>
                <w:szCs w:val="12"/>
              </w:rPr>
            </w:pPr>
            <w:r w:rsidRPr="00483EBE">
              <w:rPr>
                <w:sz w:val="12"/>
                <w:szCs w:val="12"/>
              </w:rPr>
              <w:t> </w:t>
            </w:r>
          </w:p>
        </w:tc>
      </w:tr>
      <w:tr w:rsidR="00572995" w:rsidRPr="00483EBE" w14:paraId="382A8606"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7E56450" w14:textId="77777777" w:rsidR="00572995" w:rsidRPr="00483EBE" w:rsidRDefault="00572995" w:rsidP="00E8324D">
            <w:pPr>
              <w:pStyle w:val="Tablas"/>
              <w:rPr>
                <w:sz w:val="12"/>
                <w:szCs w:val="12"/>
              </w:rPr>
            </w:pPr>
            <w:r w:rsidRPr="00483EBE">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66462C9F"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2D2ACE9E" w14:textId="77777777" w:rsidR="00572995" w:rsidRPr="00483EBE" w:rsidRDefault="00572995" w:rsidP="00E8324D">
            <w:pPr>
              <w:pStyle w:val="Tablas"/>
              <w:rPr>
                <w:sz w:val="12"/>
                <w:szCs w:val="12"/>
              </w:rPr>
            </w:pPr>
            <w:r w:rsidRPr="00483EBE">
              <w:rPr>
                <w:sz w:val="12"/>
                <w:szCs w:val="12"/>
              </w:rPr>
              <w:t>$4,725</w:t>
            </w:r>
          </w:p>
        </w:tc>
        <w:tc>
          <w:tcPr>
            <w:tcW w:w="0" w:type="auto"/>
            <w:tcBorders>
              <w:top w:val="nil"/>
              <w:left w:val="nil"/>
              <w:bottom w:val="single" w:sz="4" w:space="0" w:color="auto"/>
              <w:right w:val="single" w:sz="4" w:space="0" w:color="auto"/>
            </w:tcBorders>
            <w:shd w:val="clear" w:color="auto" w:fill="auto"/>
            <w:vAlign w:val="center"/>
            <w:hideMark/>
          </w:tcPr>
          <w:p w14:paraId="5E454ABB" w14:textId="77777777" w:rsidR="00572995" w:rsidRPr="00483EBE" w:rsidRDefault="00572995" w:rsidP="00E8324D">
            <w:pPr>
              <w:pStyle w:val="Tablas"/>
              <w:rPr>
                <w:sz w:val="12"/>
                <w:szCs w:val="12"/>
              </w:rPr>
            </w:pPr>
            <w:r w:rsidRPr="00483EBE">
              <w:rPr>
                <w:sz w:val="12"/>
                <w:szCs w:val="12"/>
              </w:rPr>
              <w:t>$525</w:t>
            </w:r>
          </w:p>
        </w:tc>
        <w:tc>
          <w:tcPr>
            <w:tcW w:w="0" w:type="auto"/>
            <w:tcBorders>
              <w:top w:val="nil"/>
              <w:left w:val="nil"/>
              <w:bottom w:val="single" w:sz="4" w:space="0" w:color="auto"/>
              <w:right w:val="single" w:sz="4" w:space="0" w:color="auto"/>
            </w:tcBorders>
            <w:shd w:val="clear" w:color="auto" w:fill="auto"/>
            <w:vAlign w:val="center"/>
            <w:hideMark/>
          </w:tcPr>
          <w:p w14:paraId="2350BEC7"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6BB39FC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50553B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692C6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DA647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4CB6F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131E9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89FF3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11CCC3"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AE90325" w14:textId="77777777" w:rsidR="00572995" w:rsidRPr="00483EBE" w:rsidRDefault="00572995" w:rsidP="00E8324D">
            <w:pPr>
              <w:pStyle w:val="Tablas"/>
              <w:rPr>
                <w:sz w:val="12"/>
                <w:szCs w:val="12"/>
              </w:rPr>
            </w:pPr>
            <w:r w:rsidRPr="00483EBE">
              <w:rPr>
                <w:sz w:val="12"/>
                <w:szCs w:val="12"/>
              </w:rPr>
              <w:t> </w:t>
            </w:r>
          </w:p>
        </w:tc>
      </w:tr>
      <w:tr w:rsidR="00572995" w:rsidRPr="00483EBE" w14:paraId="661E146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2645704" w14:textId="77777777" w:rsidR="00572995" w:rsidRPr="00483EBE" w:rsidRDefault="00572995" w:rsidP="00E8324D">
            <w:pPr>
              <w:pStyle w:val="Tablas"/>
              <w:rPr>
                <w:sz w:val="12"/>
                <w:szCs w:val="12"/>
              </w:rPr>
            </w:pPr>
            <w:r w:rsidRPr="00483EBE">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6E6B0F30" w14:textId="77777777" w:rsidR="00572995" w:rsidRPr="00483EBE" w:rsidRDefault="00572995" w:rsidP="00E8324D">
            <w:pPr>
              <w:pStyle w:val="Tablas"/>
              <w:rPr>
                <w:sz w:val="12"/>
                <w:szCs w:val="12"/>
              </w:rPr>
            </w:pPr>
            <w:r w:rsidRPr="00483EBE">
              <w:rPr>
                <w:sz w:val="12"/>
                <w:szCs w:val="12"/>
              </w:rPr>
              <w:t xml:space="preserve">12 </w:t>
            </w:r>
          </w:p>
        </w:tc>
        <w:tc>
          <w:tcPr>
            <w:tcW w:w="0" w:type="auto"/>
            <w:tcBorders>
              <w:top w:val="nil"/>
              <w:left w:val="nil"/>
              <w:bottom w:val="single" w:sz="4" w:space="0" w:color="auto"/>
              <w:right w:val="single" w:sz="4" w:space="0" w:color="auto"/>
            </w:tcBorders>
            <w:shd w:val="clear" w:color="auto" w:fill="auto"/>
            <w:vAlign w:val="center"/>
            <w:hideMark/>
          </w:tcPr>
          <w:p w14:paraId="1C32A35E" w14:textId="77777777" w:rsidR="00572995" w:rsidRPr="00483EBE" w:rsidRDefault="00572995" w:rsidP="00E8324D">
            <w:pPr>
              <w:pStyle w:val="Tablas"/>
              <w:rPr>
                <w:sz w:val="12"/>
                <w:szCs w:val="12"/>
              </w:rPr>
            </w:pPr>
            <w:r w:rsidRPr="00483EBE">
              <w:rPr>
                <w:sz w:val="12"/>
                <w:szCs w:val="12"/>
              </w:rPr>
              <w:t>$6,651</w:t>
            </w:r>
          </w:p>
        </w:tc>
        <w:tc>
          <w:tcPr>
            <w:tcW w:w="0" w:type="auto"/>
            <w:tcBorders>
              <w:top w:val="nil"/>
              <w:left w:val="nil"/>
              <w:bottom w:val="single" w:sz="4" w:space="0" w:color="auto"/>
              <w:right w:val="single" w:sz="4" w:space="0" w:color="auto"/>
            </w:tcBorders>
            <w:shd w:val="clear" w:color="auto" w:fill="auto"/>
            <w:vAlign w:val="center"/>
            <w:hideMark/>
          </w:tcPr>
          <w:p w14:paraId="5DB21B99" w14:textId="77777777" w:rsidR="00572995" w:rsidRPr="00483EBE" w:rsidRDefault="00572995" w:rsidP="00E8324D">
            <w:pPr>
              <w:pStyle w:val="Tablas"/>
              <w:rPr>
                <w:sz w:val="12"/>
                <w:szCs w:val="12"/>
              </w:rPr>
            </w:pPr>
            <w:r w:rsidRPr="00483EBE">
              <w:rPr>
                <w:sz w:val="12"/>
                <w:szCs w:val="12"/>
              </w:rPr>
              <w:t>$554</w:t>
            </w:r>
          </w:p>
        </w:tc>
        <w:tc>
          <w:tcPr>
            <w:tcW w:w="0" w:type="auto"/>
            <w:tcBorders>
              <w:top w:val="nil"/>
              <w:left w:val="nil"/>
              <w:bottom w:val="single" w:sz="4" w:space="0" w:color="auto"/>
              <w:right w:val="single" w:sz="4" w:space="0" w:color="auto"/>
            </w:tcBorders>
            <w:shd w:val="clear" w:color="auto" w:fill="auto"/>
            <w:vAlign w:val="center"/>
            <w:hideMark/>
          </w:tcPr>
          <w:p w14:paraId="14D99D3E"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7B721322"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25507B8"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3160E2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2A1F7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054FA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CC869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54240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F7CE6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DB72548" w14:textId="77777777" w:rsidR="00572995" w:rsidRPr="00483EBE" w:rsidRDefault="00572995" w:rsidP="00E8324D">
            <w:pPr>
              <w:pStyle w:val="Tablas"/>
              <w:rPr>
                <w:sz w:val="12"/>
                <w:szCs w:val="12"/>
              </w:rPr>
            </w:pPr>
            <w:r w:rsidRPr="00483EBE">
              <w:rPr>
                <w:sz w:val="12"/>
                <w:szCs w:val="12"/>
              </w:rPr>
              <w:t> </w:t>
            </w:r>
          </w:p>
        </w:tc>
      </w:tr>
      <w:tr w:rsidR="00572995" w:rsidRPr="00483EBE" w14:paraId="20A2A1D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014D58"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6C00FCF6" w14:textId="77777777" w:rsidR="00572995" w:rsidRPr="00483EBE" w:rsidRDefault="00572995" w:rsidP="00E8324D">
            <w:pPr>
              <w:pStyle w:val="Tablas"/>
              <w:rPr>
                <w:sz w:val="12"/>
                <w:szCs w:val="12"/>
              </w:rPr>
            </w:pPr>
            <w:r w:rsidRPr="00483EBE">
              <w:rPr>
                <w:sz w:val="12"/>
                <w:szCs w:val="12"/>
              </w:rPr>
              <w:t xml:space="preserve">13 </w:t>
            </w:r>
          </w:p>
        </w:tc>
        <w:tc>
          <w:tcPr>
            <w:tcW w:w="0" w:type="auto"/>
            <w:tcBorders>
              <w:top w:val="nil"/>
              <w:left w:val="nil"/>
              <w:bottom w:val="single" w:sz="4" w:space="0" w:color="auto"/>
              <w:right w:val="single" w:sz="4" w:space="0" w:color="auto"/>
            </w:tcBorders>
            <w:shd w:val="clear" w:color="auto" w:fill="auto"/>
            <w:vAlign w:val="center"/>
            <w:hideMark/>
          </w:tcPr>
          <w:p w14:paraId="7CF55AF5" w14:textId="77777777" w:rsidR="00572995" w:rsidRPr="00483EBE" w:rsidRDefault="00572995" w:rsidP="00E8324D">
            <w:pPr>
              <w:pStyle w:val="Tablas"/>
              <w:rPr>
                <w:sz w:val="12"/>
                <w:szCs w:val="12"/>
              </w:rPr>
            </w:pPr>
            <w:r w:rsidRPr="00483EBE">
              <w:rPr>
                <w:sz w:val="12"/>
                <w:szCs w:val="12"/>
              </w:rPr>
              <w:t>$6,948</w:t>
            </w:r>
          </w:p>
        </w:tc>
        <w:tc>
          <w:tcPr>
            <w:tcW w:w="0" w:type="auto"/>
            <w:tcBorders>
              <w:top w:val="nil"/>
              <w:left w:val="nil"/>
              <w:bottom w:val="single" w:sz="4" w:space="0" w:color="auto"/>
              <w:right w:val="single" w:sz="4" w:space="0" w:color="auto"/>
            </w:tcBorders>
            <w:shd w:val="clear" w:color="auto" w:fill="auto"/>
            <w:vAlign w:val="center"/>
            <w:hideMark/>
          </w:tcPr>
          <w:p w14:paraId="6BAF50ED" w14:textId="77777777" w:rsidR="00572995" w:rsidRPr="00483EBE" w:rsidRDefault="00572995" w:rsidP="00E8324D">
            <w:pPr>
              <w:pStyle w:val="Tablas"/>
              <w:rPr>
                <w:sz w:val="12"/>
                <w:szCs w:val="12"/>
              </w:rPr>
            </w:pPr>
            <w:r w:rsidRPr="00483EBE">
              <w:rPr>
                <w:sz w:val="12"/>
                <w:szCs w:val="12"/>
              </w:rPr>
              <w:t>$534</w:t>
            </w:r>
          </w:p>
        </w:tc>
        <w:tc>
          <w:tcPr>
            <w:tcW w:w="0" w:type="auto"/>
            <w:tcBorders>
              <w:top w:val="nil"/>
              <w:left w:val="nil"/>
              <w:bottom w:val="single" w:sz="4" w:space="0" w:color="auto"/>
              <w:right w:val="single" w:sz="4" w:space="0" w:color="auto"/>
            </w:tcBorders>
            <w:shd w:val="clear" w:color="auto" w:fill="auto"/>
            <w:vAlign w:val="center"/>
            <w:hideMark/>
          </w:tcPr>
          <w:p w14:paraId="3FC091E7"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59AA23D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F2E79B3"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4FFAC8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89C10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BF268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35BB9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6B8D8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21CB9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A8D0FC4" w14:textId="77777777" w:rsidR="00572995" w:rsidRPr="00483EBE" w:rsidRDefault="00572995" w:rsidP="00E8324D">
            <w:pPr>
              <w:pStyle w:val="Tablas"/>
              <w:rPr>
                <w:sz w:val="12"/>
                <w:szCs w:val="12"/>
              </w:rPr>
            </w:pPr>
            <w:r w:rsidRPr="00483EBE">
              <w:rPr>
                <w:sz w:val="12"/>
                <w:szCs w:val="12"/>
              </w:rPr>
              <w:t> </w:t>
            </w:r>
          </w:p>
        </w:tc>
      </w:tr>
      <w:tr w:rsidR="00572995" w:rsidRPr="00483EBE" w14:paraId="03B2EC6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A280542" w14:textId="77777777" w:rsidR="00572995" w:rsidRPr="00483EBE" w:rsidRDefault="00572995" w:rsidP="00E8324D">
            <w:pPr>
              <w:pStyle w:val="Tablas"/>
              <w:rPr>
                <w:sz w:val="12"/>
                <w:szCs w:val="12"/>
              </w:rPr>
            </w:pPr>
            <w:r w:rsidRPr="00483EBE">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0C5E7F62"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2049943E" w14:textId="77777777" w:rsidR="00572995" w:rsidRPr="00483EBE" w:rsidRDefault="00572995" w:rsidP="00E8324D">
            <w:pPr>
              <w:pStyle w:val="Tablas"/>
              <w:rPr>
                <w:sz w:val="12"/>
                <w:szCs w:val="12"/>
              </w:rPr>
            </w:pPr>
            <w:r w:rsidRPr="00483EBE">
              <w:rPr>
                <w:sz w:val="12"/>
                <w:szCs w:val="12"/>
              </w:rPr>
              <w:t>$3,867</w:t>
            </w:r>
          </w:p>
        </w:tc>
        <w:tc>
          <w:tcPr>
            <w:tcW w:w="0" w:type="auto"/>
            <w:tcBorders>
              <w:top w:val="nil"/>
              <w:left w:val="nil"/>
              <w:bottom w:val="single" w:sz="4" w:space="0" w:color="auto"/>
              <w:right w:val="single" w:sz="4" w:space="0" w:color="auto"/>
            </w:tcBorders>
            <w:shd w:val="clear" w:color="auto" w:fill="auto"/>
            <w:vAlign w:val="center"/>
            <w:hideMark/>
          </w:tcPr>
          <w:p w14:paraId="41C8C67F" w14:textId="77777777" w:rsidR="00572995" w:rsidRPr="00483EBE" w:rsidRDefault="00572995" w:rsidP="00E8324D">
            <w:pPr>
              <w:pStyle w:val="Tablas"/>
              <w:rPr>
                <w:sz w:val="12"/>
                <w:szCs w:val="12"/>
              </w:rPr>
            </w:pPr>
            <w:r w:rsidRPr="00483EBE">
              <w:rPr>
                <w:sz w:val="12"/>
                <w:szCs w:val="12"/>
              </w:rPr>
              <w:t>$552</w:t>
            </w:r>
          </w:p>
        </w:tc>
        <w:tc>
          <w:tcPr>
            <w:tcW w:w="0" w:type="auto"/>
            <w:tcBorders>
              <w:top w:val="nil"/>
              <w:left w:val="nil"/>
              <w:bottom w:val="single" w:sz="4" w:space="0" w:color="auto"/>
              <w:right w:val="single" w:sz="4" w:space="0" w:color="auto"/>
            </w:tcBorders>
            <w:shd w:val="clear" w:color="auto" w:fill="auto"/>
            <w:vAlign w:val="center"/>
            <w:hideMark/>
          </w:tcPr>
          <w:p w14:paraId="4E73C3E9"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4A2FB05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28BD1C5"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8FB2AD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A73D6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EB038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F29EC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C2A24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D8FB33"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829B934" w14:textId="77777777" w:rsidR="00572995" w:rsidRPr="00483EBE" w:rsidRDefault="00572995" w:rsidP="00E8324D">
            <w:pPr>
              <w:pStyle w:val="Tablas"/>
              <w:rPr>
                <w:sz w:val="12"/>
                <w:szCs w:val="12"/>
              </w:rPr>
            </w:pPr>
            <w:r w:rsidRPr="00483EBE">
              <w:rPr>
                <w:sz w:val="12"/>
                <w:szCs w:val="12"/>
              </w:rPr>
              <w:t> </w:t>
            </w:r>
          </w:p>
        </w:tc>
      </w:tr>
      <w:tr w:rsidR="00572995" w:rsidRPr="00483EBE" w14:paraId="5491973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2236C68" w14:textId="77777777" w:rsidR="00572995" w:rsidRPr="00483EBE" w:rsidRDefault="00572995" w:rsidP="00E8324D">
            <w:pPr>
              <w:pStyle w:val="Tablas"/>
              <w:rPr>
                <w:sz w:val="12"/>
                <w:szCs w:val="12"/>
              </w:rPr>
            </w:pPr>
            <w:r w:rsidRPr="00483EBE">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24028E7A"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112096BF" w14:textId="77777777" w:rsidR="00572995" w:rsidRPr="00483EBE" w:rsidRDefault="00572995" w:rsidP="00E8324D">
            <w:pPr>
              <w:pStyle w:val="Tablas"/>
              <w:rPr>
                <w:sz w:val="12"/>
                <w:szCs w:val="12"/>
              </w:rPr>
            </w:pPr>
            <w:r w:rsidRPr="00483EBE">
              <w:rPr>
                <w:sz w:val="12"/>
                <w:szCs w:val="12"/>
              </w:rPr>
              <w:t>$4,975</w:t>
            </w:r>
          </w:p>
        </w:tc>
        <w:tc>
          <w:tcPr>
            <w:tcW w:w="0" w:type="auto"/>
            <w:tcBorders>
              <w:top w:val="nil"/>
              <w:left w:val="nil"/>
              <w:bottom w:val="single" w:sz="4" w:space="0" w:color="auto"/>
              <w:right w:val="single" w:sz="4" w:space="0" w:color="auto"/>
            </w:tcBorders>
            <w:shd w:val="clear" w:color="auto" w:fill="auto"/>
            <w:vAlign w:val="center"/>
            <w:hideMark/>
          </w:tcPr>
          <w:p w14:paraId="2A43DF40" w14:textId="77777777" w:rsidR="00572995" w:rsidRPr="00483EBE" w:rsidRDefault="00572995" w:rsidP="00E8324D">
            <w:pPr>
              <w:pStyle w:val="Tablas"/>
              <w:rPr>
                <w:sz w:val="12"/>
                <w:szCs w:val="12"/>
              </w:rPr>
            </w:pPr>
            <w:r w:rsidRPr="00483EBE">
              <w:rPr>
                <w:sz w:val="12"/>
                <w:szCs w:val="12"/>
              </w:rPr>
              <w:t>$553</w:t>
            </w:r>
          </w:p>
        </w:tc>
        <w:tc>
          <w:tcPr>
            <w:tcW w:w="0" w:type="auto"/>
            <w:tcBorders>
              <w:top w:val="nil"/>
              <w:left w:val="nil"/>
              <w:bottom w:val="single" w:sz="4" w:space="0" w:color="auto"/>
              <w:right w:val="single" w:sz="4" w:space="0" w:color="auto"/>
            </w:tcBorders>
            <w:shd w:val="clear" w:color="auto" w:fill="auto"/>
            <w:vAlign w:val="center"/>
            <w:hideMark/>
          </w:tcPr>
          <w:p w14:paraId="08D86721"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70F91E6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0101ED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57C44F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6ECBA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871B7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3633C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6CF09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56E3DD"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6707DA8" w14:textId="77777777" w:rsidR="00572995" w:rsidRPr="00483EBE" w:rsidRDefault="00572995" w:rsidP="00E8324D">
            <w:pPr>
              <w:pStyle w:val="Tablas"/>
              <w:rPr>
                <w:sz w:val="12"/>
                <w:szCs w:val="12"/>
              </w:rPr>
            </w:pPr>
            <w:r w:rsidRPr="00483EBE">
              <w:rPr>
                <w:sz w:val="12"/>
                <w:szCs w:val="12"/>
              </w:rPr>
              <w:t> </w:t>
            </w:r>
          </w:p>
        </w:tc>
      </w:tr>
      <w:tr w:rsidR="00572995" w:rsidRPr="00483EBE" w14:paraId="4AEF098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62ABC9" w14:textId="77777777" w:rsidR="00572995" w:rsidRPr="00483EBE" w:rsidRDefault="00572995" w:rsidP="00E8324D">
            <w:pPr>
              <w:pStyle w:val="Tablas"/>
              <w:rPr>
                <w:sz w:val="12"/>
                <w:szCs w:val="12"/>
              </w:rPr>
            </w:pPr>
            <w:r w:rsidRPr="00483EBE">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14652E91" w14:textId="77777777" w:rsidR="00572995" w:rsidRPr="00483EBE" w:rsidRDefault="00572995" w:rsidP="00E8324D">
            <w:pPr>
              <w:pStyle w:val="Tablas"/>
              <w:rPr>
                <w:sz w:val="12"/>
                <w:szCs w:val="12"/>
              </w:rPr>
            </w:pPr>
            <w:r w:rsidRPr="00483EBE">
              <w:rPr>
                <w:sz w:val="12"/>
                <w:szCs w:val="12"/>
              </w:rPr>
              <w:t xml:space="preserve">11 </w:t>
            </w:r>
          </w:p>
        </w:tc>
        <w:tc>
          <w:tcPr>
            <w:tcW w:w="0" w:type="auto"/>
            <w:tcBorders>
              <w:top w:val="nil"/>
              <w:left w:val="nil"/>
              <w:bottom w:val="single" w:sz="4" w:space="0" w:color="auto"/>
              <w:right w:val="single" w:sz="4" w:space="0" w:color="auto"/>
            </w:tcBorders>
            <w:shd w:val="clear" w:color="auto" w:fill="auto"/>
            <w:vAlign w:val="center"/>
            <w:hideMark/>
          </w:tcPr>
          <w:p w14:paraId="08B81D90" w14:textId="77777777" w:rsidR="00572995" w:rsidRPr="00483EBE" w:rsidRDefault="00572995" w:rsidP="00E8324D">
            <w:pPr>
              <w:pStyle w:val="Tablas"/>
              <w:rPr>
                <w:sz w:val="12"/>
                <w:szCs w:val="12"/>
              </w:rPr>
            </w:pPr>
            <w:r w:rsidRPr="00483EBE">
              <w:rPr>
                <w:sz w:val="12"/>
                <w:szCs w:val="12"/>
              </w:rPr>
              <w:t>$5,759</w:t>
            </w:r>
          </w:p>
        </w:tc>
        <w:tc>
          <w:tcPr>
            <w:tcW w:w="0" w:type="auto"/>
            <w:tcBorders>
              <w:top w:val="nil"/>
              <w:left w:val="nil"/>
              <w:bottom w:val="single" w:sz="4" w:space="0" w:color="auto"/>
              <w:right w:val="single" w:sz="4" w:space="0" w:color="auto"/>
            </w:tcBorders>
            <w:shd w:val="clear" w:color="auto" w:fill="auto"/>
            <w:vAlign w:val="center"/>
            <w:hideMark/>
          </w:tcPr>
          <w:p w14:paraId="1A52C939" w14:textId="77777777" w:rsidR="00572995" w:rsidRPr="00483EBE" w:rsidRDefault="00572995" w:rsidP="00E8324D">
            <w:pPr>
              <w:pStyle w:val="Tablas"/>
              <w:rPr>
                <w:sz w:val="12"/>
                <w:szCs w:val="12"/>
              </w:rPr>
            </w:pPr>
            <w:r w:rsidRPr="00483EBE">
              <w:rPr>
                <w:sz w:val="12"/>
                <w:szCs w:val="12"/>
              </w:rPr>
              <w:t>$524</w:t>
            </w:r>
          </w:p>
        </w:tc>
        <w:tc>
          <w:tcPr>
            <w:tcW w:w="0" w:type="auto"/>
            <w:tcBorders>
              <w:top w:val="nil"/>
              <w:left w:val="nil"/>
              <w:bottom w:val="single" w:sz="4" w:space="0" w:color="auto"/>
              <w:right w:val="single" w:sz="4" w:space="0" w:color="auto"/>
            </w:tcBorders>
            <w:shd w:val="clear" w:color="auto" w:fill="auto"/>
            <w:vAlign w:val="center"/>
            <w:hideMark/>
          </w:tcPr>
          <w:p w14:paraId="74FE541D"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5BEDD684"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E4B7B1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BD115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4F32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4FBC5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FA6AB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DDD9E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FC8B4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B788E12" w14:textId="77777777" w:rsidR="00572995" w:rsidRPr="00483EBE" w:rsidRDefault="00572995" w:rsidP="00E8324D">
            <w:pPr>
              <w:pStyle w:val="Tablas"/>
              <w:rPr>
                <w:sz w:val="12"/>
                <w:szCs w:val="12"/>
              </w:rPr>
            </w:pPr>
            <w:r w:rsidRPr="00483EBE">
              <w:rPr>
                <w:sz w:val="12"/>
                <w:szCs w:val="12"/>
              </w:rPr>
              <w:t> </w:t>
            </w:r>
          </w:p>
        </w:tc>
      </w:tr>
      <w:tr w:rsidR="00572995" w:rsidRPr="00483EBE" w14:paraId="58F87DA0"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F4C5FD8" w14:textId="77777777" w:rsidR="00572995" w:rsidRPr="00483EBE" w:rsidRDefault="00572995" w:rsidP="00E8324D">
            <w:pPr>
              <w:pStyle w:val="Tablas"/>
              <w:rPr>
                <w:sz w:val="12"/>
                <w:szCs w:val="12"/>
              </w:rPr>
            </w:pPr>
            <w:r w:rsidRPr="00483EBE">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4005D456" w14:textId="77777777" w:rsidR="00572995" w:rsidRPr="00483EBE" w:rsidRDefault="00572995" w:rsidP="00E8324D">
            <w:pPr>
              <w:pStyle w:val="Tablas"/>
              <w:rPr>
                <w:sz w:val="12"/>
                <w:szCs w:val="12"/>
              </w:rPr>
            </w:pPr>
            <w:r w:rsidRPr="00483EBE">
              <w:rPr>
                <w:sz w:val="12"/>
                <w:szCs w:val="12"/>
              </w:rPr>
              <w:t xml:space="preserve">7 </w:t>
            </w:r>
          </w:p>
        </w:tc>
        <w:tc>
          <w:tcPr>
            <w:tcW w:w="0" w:type="auto"/>
            <w:tcBorders>
              <w:top w:val="nil"/>
              <w:left w:val="nil"/>
              <w:bottom w:val="single" w:sz="4" w:space="0" w:color="auto"/>
              <w:right w:val="single" w:sz="4" w:space="0" w:color="auto"/>
            </w:tcBorders>
            <w:shd w:val="clear" w:color="auto" w:fill="auto"/>
            <w:vAlign w:val="center"/>
            <w:hideMark/>
          </w:tcPr>
          <w:p w14:paraId="3AAFAC2D" w14:textId="77777777" w:rsidR="00572995" w:rsidRPr="00483EBE" w:rsidRDefault="00572995" w:rsidP="00E8324D">
            <w:pPr>
              <w:pStyle w:val="Tablas"/>
              <w:rPr>
                <w:sz w:val="12"/>
                <w:szCs w:val="12"/>
              </w:rPr>
            </w:pPr>
            <w:r w:rsidRPr="00483EBE">
              <w:rPr>
                <w:sz w:val="12"/>
                <w:szCs w:val="12"/>
              </w:rPr>
              <w:t>$4,766</w:t>
            </w:r>
          </w:p>
        </w:tc>
        <w:tc>
          <w:tcPr>
            <w:tcW w:w="0" w:type="auto"/>
            <w:tcBorders>
              <w:top w:val="nil"/>
              <w:left w:val="nil"/>
              <w:bottom w:val="single" w:sz="4" w:space="0" w:color="auto"/>
              <w:right w:val="single" w:sz="4" w:space="0" w:color="auto"/>
            </w:tcBorders>
            <w:shd w:val="clear" w:color="auto" w:fill="auto"/>
            <w:vAlign w:val="center"/>
            <w:hideMark/>
          </w:tcPr>
          <w:p w14:paraId="006D1863" w14:textId="77777777" w:rsidR="00572995" w:rsidRPr="00483EBE" w:rsidRDefault="00572995" w:rsidP="00E8324D">
            <w:pPr>
              <w:pStyle w:val="Tablas"/>
              <w:rPr>
                <w:sz w:val="12"/>
                <w:szCs w:val="12"/>
              </w:rPr>
            </w:pPr>
            <w:r w:rsidRPr="00483EBE">
              <w:rPr>
                <w:sz w:val="12"/>
                <w:szCs w:val="12"/>
              </w:rPr>
              <w:t>$681</w:t>
            </w:r>
          </w:p>
        </w:tc>
        <w:tc>
          <w:tcPr>
            <w:tcW w:w="0" w:type="auto"/>
            <w:tcBorders>
              <w:top w:val="nil"/>
              <w:left w:val="nil"/>
              <w:bottom w:val="single" w:sz="4" w:space="0" w:color="auto"/>
              <w:right w:val="single" w:sz="4" w:space="0" w:color="auto"/>
            </w:tcBorders>
            <w:shd w:val="clear" w:color="auto" w:fill="auto"/>
            <w:vAlign w:val="center"/>
            <w:hideMark/>
          </w:tcPr>
          <w:p w14:paraId="744D3FDD" w14:textId="77777777" w:rsidR="00572995" w:rsidRPr="00483EBE" w:rsidRDefault="00572995" w:rsidP="00E8324D">
            <w:pPr>
              <w:pStyle w:val="Tablas"/>
              <w:rPr>
                <w:sz w:val="12"/>
                <w:szCs w:val="12"/>
              </w:rPr>
            </w:pPr>
            <w:r w:rsidRPr="00483EBE">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5298007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C55B78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F6DC28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CBA54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8F991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F0BF1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E027A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5F12E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6C642551" w14:textId="77777777" w:rsidR="00572995" w:rsidRPr="00483EBE" w:rsidRDefault="00572995" w:rsidP="00E8324D">
            <w:pPr>
              <w:pStyle w:val="Tablas"/>
              <w:rPr>
                <w:sz w:val="12"/>
                <w:szCs w:val="12"/>
              </w:rPr>
            </w:pPr>
            <w:r w:rsidRPr="00483EBE">
              <w:rPr>
                <w:sz w:val="12"/>
                <w:szCs w:val="12"/>
              </w:rPr>
              <w:t> </w:t>
            </w:r>
          </w:p>
        </w:tc>
      </w:tr>
      <w:tr w:rsidR="00572995" w:rsidRPr="00483EBE" w14:paraId="17AFF50C"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FF83DDD" w14:textId="77777777" w:rsidR="00572995" w:rsidRPr="00483EBE" w:rsidRDefault="00572995" w:rsidP="00E8324D">
            <w:pPr>
              <w:pStyle w:val="Tablas"/>
              <w:rPr>
                <w:sz w:val="12"/>
                <w:szCs w:val="12"/>
              </w:rPr>
            </w:pPr>
            <w:r w:rsidRPr="00483EBE">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016A1FDB"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5F54BC7E" w14:textId="77777777" w:rsidR="00572995" w:rsidRPr="00483EBE" w:rsidRDefault="00572995" w:rsidP="00E8324D">
            <w:pPr>
              <w:pStyle w:val="Tablas"/>
              <w:rPr>
                <w:sz w:val="12"/>
                <w:szCs w:val="12"/>
              </w:rPr>
            </w:pPr>
            <w:r w:rsidRPr="00483EBE">
              <w:rPr>
                <w:sz w:val="12"/>
                <w:szCs w:val="12"/>
              </w:rPr>
              <w:t>$2,714</w:t>
            </w:r>
          </w:p>
        </w:tc>
        <w:tc>
          <w:tcPr>
            <w:tcW w:w="0" w:type="auto"/>
            <w:tcBorders>
              <w:top w:val="nil"/>
              <w:left w:val="nil"/>
              <w:bottom w:val="single" w:sz="4" w:space="0" w:color="auto"/>
              <w:right w:val="single" w:sz="4" w:space="0" w:color="auto"/>
            </w:tcBorders>
            <w:shd w:val="clear" w:color="auto" w:fill="auto"/>
            <w:vAlign w:val="center"/>
            <w:hideMark/>
          </w:tcPr>
          <w:p w14:paraId="50D026DC" w14:textId="77777777" w:rsidR="00572995" w:rsidRPr="00483EBE" w:rsidRDefault="00572995" w:rsidP="00E8324D">
            <w:pPr>
              <w:pStyle w:val="Tablas"/>
              <w:rPr>
                <w:sz w:val="12"/>
                <w:szCs w:val="12"/>
              </w:rPr>
            </w:pPr>
            <w:r w:rsidRPr="00483EBE">
              <w:rPr>
                <w:sz w:val="12"/>
                <w:szCs w:val="12"/>
              </w:rPr>
              <w:t>$543</w:t>
            </w:r>
          </w:p>
        </w:tc>
        <w:tc>
          <w:tcPr>
            <w:tcW w:w="0" w:type="auto"/>
            <w:tcBorders>
              <w:top w:val="nil"/>
              <w:left w:val="nil"/>
              <w:bottom w:val="single" w:sz="4" w:space="0" w:color="auto"/>
              <w:right w:val="single" w:sz="4" w:space="0" w:color="auto"/>
            </w:tcBorders>
            <w:shd w:val="clear" w:color="auto" w:fill="auto"/>
            <w:vAlign w:val="center"/>
            <w:hideMark/>
          </w:tcPr>
          <w:p w14:paraId="5C6F993E" w14:textId="77777777" w:rsidR="00572995" w:rsidRPr="00483EBE" w:rsidRDefault="00572995" w:rsidP="00E8324D">
            <w:pPr>
              <w:pStyle w:val="Tablas"/>
              <w:rPr>
                <w:sz w:val="12"/>
                <w:szCs w:val="12"/>
              </w:rPr>
            </w:pPr>
            <w:r w:rsidRPr="00483EBE">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4056B8C3"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9FAF77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BF570C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F400C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CF53A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C9C4D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91B11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43ADBA"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26C817B" w14:textId="77777777" w:rsidR="00572995" w:rsidRPr="00483EBE" w:rsidRDefault="00572995" w:rsidP="00E8324D">
            <w:pPr>
              <w:pStyle w:val="Tablas"/>
              <w:rPr>
                <w:sz w:val="12"/>
                <w:szCs w:val="12"/>
              </w:rPr>
            </w:pPr>
            <w:r w:rsidRPr="00483EBE">
              <w:rPr>
                <w:sz w:val="12"/>
                <w:szCs w:val="12"/>
              </w:rPr>
              <w:t> </w:t>
            </w:r>
          </w:p>
        </w:tc>
      </w:tr>
      <w:tr w:rsidR="00572995" w:rsidRPr="00483EBE" w14:paraId="0BFEDB09"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54588B07" w14:textId="77777777" w:rsidR="00572995" w:rsidRPr="00483EBE" w:rsidRDefault="00572995" w:rsidP="00E8324D">
            <w:pPr>
              <w:pStyle w:val="Tablas"/>
              <w:rPr>
                <w:sz w:val="12"/>
                <w:szCs w:val="12"/>
              </w:rPr>
            </w:pPr>
            <w:r w:rsidRPr="00483EBE">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63DA68D4"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4CF46C53" w14:textId="77777777" w:rsidR="00572995" w:rsidRPr="00483EBE" w:rsidRDefault="00572995" w:rsidP="00E8324D">
            <w:pPr>
              <w:pStyle w:val="Tablas"/>
              <w:rPr>
                <w:sz w:val="12"/>
                <w:szCs w:val="12"/>
              </w:rPr>
            </w:pPr>
            <w:r w:rsidRPr="00483EBE">
              <w:rPr>
                <w:sz w:val="12"/>
                <w:szCs w:val="12"/>
              </w:rPr>
              <w:t>$4,742</w:t>
            </w:r>
          </w:p>
        </w:tc>
        <w:tc>
          <w:tcPr>
            <w:tcW w:w="0" w:type="auto"/>
            <w:tcBorders>
              <w:top w:val="nil"/>
              <w:left w:val="nil"/>
              <w:bottom w:val="single" w:sz="4" w:space="0" w:color="auto"/>
              <w:right w:val="single" w:sz="4" w:space="0" w:color="auto"/>
            </w:tcBorders>
            <w:shd w:val="clear" w:color="auto" w:fill="auto"/>
            <w:vAlign w:val="center"/>
            <w:hideMark/>
          </w:tcPr>
          <w:p w14:paraId="57EC87CA" w14:textId="77777777" w:rsidR="00572995" w:rsidRPr="00483EBE" w:rsidRDefault="00572995" w:rsidP="00E8324D">
            <w:pPr>
              <w:pStyle w:val="Tablas"/>
              <w:rPr>
                <w:sz w:val="12"/>
                <w:szCs w:val="12"/>
              </w:rPr>
            </w:pPr>
            <w:r w:rsidRPr="00483EBE">
              <w:rPr>
                <w:sz w:val="12"/>
                <w:szCs w:val="12"/>
              </w:rPr>
              <w:t>$527</w:t>
            </w:r>
          </w:p>
        </w:tc>
        <w:tc>
          <w:tcPr>
            <w:tcW w:w="0" w:type="auto"/>
            <w:tcBorders>
              <w:top w:val="nil"/>
              <w:left w:val="nil"/>
              <w:bottom w:val="single" w:sz="4" w:space="0" w:color="auto"/>
              <w:right w:val="single" w:sz="4" w:space="0" w:color="auto"/>
            </w:tcBorders>
            <w:shd w:val="clear" w:color="auto" w:fill="auto"/>
            <w:vAlign w:val="center"/>
            <w:hideMark/>
          </w:tcPr>
          <w:p w14:paraId="28222FD8"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429234AE"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7DFBCE6D"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02B15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F4CEF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B561A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6F2D4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29349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D37459"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4235EF5" w14:textId="77777777" w:rsidR="00572995" w:rsidRPr="00483EBE" w:rsidRDefault="00572995" w:rsidP="00E8324D">
            <w:pPr>
              <w:pStyle w:val="Tablas"/>
              <w:rPr>
                <w:sz w:val="12"/>
                <w:szCs w:val="12"/>
              </w:rPr>
            </w:pPr>
            <w:r w:rsidRPr="00483EBE">
              <w:rPr>
                <w:sz w:val="12"/>
                <w:szCs w:val="12"/>
              </w:rPr>
              <w:t> </w:t>
            </w:r>
          </w:p>
        </w:tc>
      </w:tr>
      <w:tr w:rsidR="00572995" w:rsidRPr="00483EBE" w14:paraId="2EF8A11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B25AFD3" w14:textId="77777777" w:rsidR="00572995" w:rsidRPr="00483EBE" w:rsidRDefault="00572995" w:rsidP="00E8324D">
            <w:pPr>
              <w:pStyle w:val="Tablas"/>
              <w:rPr>
                <w:sz w:val="12"/>
                <w:szCs w:val="12"/>
              </w:rPr>
            </w:pPr>
            <w:r w:rsidRPr="00483EBE">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7FD71D65" w14:textId="77777777" w:rsidR="00572995" w:rsidRPr="00483EBE" w:rsidRDefault="00572995" w:rsidP="00E8324D">
            <w:pPr>
              <w:pStyle w:val="Tablas"/>
              <w:rPr>
                <w:sz w:val="12"/>
                <w:szCs w:val="12"/>
              </w:rPr>
            </w:pPr>
            <w:r w:rsidRPr="00483EBE">
              <w:rPr>
                <w:sz w:val="12"/>
                <w:szCs w:val="12"/>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7A8FB388" w14:textId="77777777" w:rsidR="00572995" w:rsidRPr="00483EBE" w:rsidRDefault="00572995" w:rsidP="00E8324D">
            <w:pPr>
              <w:pStyle w:val="Tablas"/>
              <w:rPr>
                <w:sz w:val="12"/>
                <w:szCs w:val="12"/>
              </w:rPr>
            </w:pPr>
            <w:r w:rsidRPr="00483EBE">
              <w:rPr>
                <w:sz w:val="12"/>
                <w:szCs w:val="12"/>
              </w:rPr>
              <w:t>$1,135</w:t>
            </w:r>
          </w:p>
        </w:tc>
        <w:tc>
          <w:tcPr>
            <w:tcW w:w="0" w:type="auto"/>
            <w:tcBorders>
              <w:top w:val="nil"/>
              <w:left w:val="nil"/>
              <w:bottom w:val="single" w:sz="4" w:space="0" w:color="auto"/>
              <w:right w:val="single" w:sz="4" w:space="0" w:color="auto"/>
            </w:tcBorders>
            <w:shd w:val="clear" w:color="auto" w:fill="auto"/>
            <w:vAlign w:val="center"/>
            <w:hideMark/>
          </w:tcPr>
          <w:p w14:paraId="75E774BE" w14:textId="77777777" w:rsidR="00572995" w:rsidRPr="00483EBE" w:rsidRDefault="00572995" w:rsidP="00E8324D">
            <w:pPr>
              <w:pStyle w:val="Tablas"/>
              <w:rPr>
                <w:sz w:val="12"/>
                <w:szCs w:val="12"/>
              </w:rPr>
            </w:pPr>
            <w:r w:rsidRPr="00483EBE">
              <w:rPr>
                <w:sz w:val="12"/>
                <w:szCs w:val="12"/>
              </w:rPr>
              <w:t>$568</w:t>
            </w:r>
          </w:p>
        </w:tc>
        <w:tc>
          <w:tcPr>
            <w:tcW w:w="0" w:type="auto"/>
            <w:tcBorders>
              <w:top w:val="nil"/>
              <w:left w:val="nil"/>
              <w:bottom w:val="single" w:sz="4" w:space="0" w:color="auto"/>
              <w:right w:val="single" w:sz="4" w:space="0" w:color="auto"/>
            </w:tcBorders>
            <w:shd w:val="clear" w:color="auto" w:fill="auto"/>
            <w:vAlign w:val="center"/>
            <w:hideMark/>
          </w:tcPr>
          <w:p w14:paraId="4B76A578" w14:textId="77777777" w:rsidR="00572995" w:rsidRPr="00483EBE" w:rsidRDefault="00572995" w:rsidP="00E8324D">
            <w:pPr>
              <w:pStyle w:val="Tablas"/>
              <w:rPr>
                <w:sz w:val="12"/>
                <w:szCs w:val="12"/>
              </w:rPr>
            </w:pPr>
            <w:r w:rsidRPr="00483EBE">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21B6BD98"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7A94314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327DE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15DBE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A292A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E0C0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4D571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11D7F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4968EFF" w14:textId="77777777" w:rsidR="00572995" w:rsidRPr="00483EBE" w:rsidRDefault="00572995" w:rsidP="00E8324D">
            <w:pPr>
              <w:pStyle w:val="Tablas"/>
              <w:rPr>
                <w:sz w:val="12"/>
                <w:szCs w:val="12"/>
              </w:rPr>
            </w:pPr>
            <w:r w:rsidRPr="00483EBE">
              <w:rPr>
                <w:sz w:val="12"/>
                <w:szCs w:val="12"/>
              </w:rPr>
              <w:t> </w:t>
            </w:r>
          </w:p>
        </w:tc>
      </w:tr>
      <w:tr w:rsidR="00572995" w:rsidRPr="00483EBE" w14:paraId="14B39DC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348714F" w14:textId="77777777" w:rsidR="00572995" w:rsidRPr="00483EBE" w:rsidRDefault="00572995" w:rsidP="00E8324D">
            <w:pPr>
              <w:pStyle w:val="Tablas"/>
              <w:rPr>
                <w:sz w:val="12"/>
                <w:szCs w:val="12"/>
              </w:rPr>
            </w:pPr>
            <w:r w:rsidRPr="00483EBE">
              <w:rPr>
                <w:sz w:val="12"/>
                <w:szCs w:val="12"/>
              </w:rPr>
              <w:t>65</w:t>
            </w:r>
          </w:p>
        </w:tc>
        <w:tc>
          <w:tcPr>
            <w:tcW w:w="0" w:type="auto"/>
            <w:tcBorders>
              <w:top w:val="nil"/>
              <w:left w:val="nil"/>
              <w:bottom w:val="single" w:sz="4" w:space="0" w:color="auto"/>
              <w:right w:val="single" w:sz="4" w:space="0" w:color="auto"/>
            </w:tcBorders>
            <w:shd w:val="clear" w:color="auto" w:fill="auto"/>
            <w:vAlign w:val="center"/>
            <w:hideMark/>
          </w:tcPr>
          <w:p w14:paraId="5D2F8C89" w14:textId="77777777" w:rsidR="00572995" w:rsidRPr="00483EBE" w:rsidRDefault="00572995" w:rsidP="00E8324D">
            <w:pPr>
              <w:pStyle w:val="Tablas"/>
              <w:rPr>
                <w:sz w:val="12"/>
                <w:szCs w:val="12"/>
              </w:rPr>
            </w:pPr>
            <w:r w:rsidRPr="00483EBE">
              <w:rPr>
                <w:sz w:val="12"/>
                <w:szCs w:val="12"/>
              </w:rPr>
              <w:t xml:space="preserve">9 </w:t>
            </w:r>
          </w:p>
        </w:tc>
        <w:tc>
          <w:tcPr>
            <w:tcW w:w="0" w:type="auto"/>
            <w:tcBorders>
              <w:top w:val="nil"/>
              <w:left w:val="nil"/>
              <w:bottom w:val="single" w:sz="4" w:space="0" w:color="auto"/>
              <w:right w:val="single" w:sz="4" w:space="0" w:color="auto"/>
            </w:tcBorders>
            <w:shd w:val="clear" w:color="auto" w:fill="auto"/>
            <w:vAlign w:val="center"/>
            <w:hideMark/>
          </w:tcPr>
          <w:p w14:paraId="042F3D63" w14:textId="77777777" w:rsidR="00572995" w:rsidRPr="00483EBE" w:rsidRDefault="00572995" w:rsidP="00E8324D">
            <w:pPr>
              <w:pStyle w:val="Tablas"/>
              <w:rPr>
                <w:sz w:val="12"/>
                <w:szCs w:val="12"/>
              </w:rPr>
            </w:pPr>
            <w:r w:rsidRPr="00483EBE">
              <w:rPr>
                <w:sz w:val="12"/>
                <w:szCs w:val="12"/>
              </w:rPr>
              <w:t>$4,755</w:t>
            </w:r>
          </w:p>
        </w:tc>
        <w:tc>
          <w:tcPr>
            <w:tcW w:w="0" w:type="auto"/>
            <w:tcBorders>
              <w:top w:val="nil"/>
              <w:left w:val="nil"/>
              <w:bottom w:val="single" w:sz="4" w:space="0" w:color="auto"/>
              <w:right w:val="single" w:sz="4" w:space="0" w:color="auto"/>
            </w:tcBorders>
            <w:shd w:val="clear" w:color="auto" w:fill="auto"/>
            <w:vAlign w:val="center"/>
            <w:hideMark/>
          </w:tcPr>
          <w:p w14:paraId="2352BBBC" w14:textId="77777777" w:rsidR="00572995" w:rsidRPr="00483EBE" w:rsidRDefault="00572995" w:rsidP="00E8324D">
            <w:pPr>
              <w:pStyle w:val="Tablas"/>
              <w:rPr>
                <w:sz w:val="12"/>
                <w:szCs w:val="12"/>
              </w:rPr>
            </w:pPr>
            <w:r w:rsidRPr="00483EBE">
              <w:rPr>
                <w:sz w:val="12"/>
                <w:szCs w:val="12"/>
              </w:rPr>
              <w:t>$528</w:t>
            </w:r>
          </w:p>
        </w:tc>
        <w:tc>
          <w:tcPr>
            <w:tcW w:w="0" w:type="auto"/>
            <w:tcBorders>
              <w:top w:val="nil"/>
              <w:left w:val="nil"/>
              <w:bottom w:val="single" w:sz="4" w:space="0" w:color="auto"/>
              <w:right w:val="single" w:sz="4" w:space="0" w:color="auto"/>
            </w:tcBorders>
            <w:shd w:val="clear" w:color="auto" w:fill="auto"/>
            <w:vAlign w:val="center"/>
            <w:hideMark/>
          </w:tcPr>
          <w:p w14:paraId="37F8DAB0" w14:textId="77777777" w:rsidR="00572995" w:rsidRPr="00483EBE" w:rsidRDefault="00572995" w:rsidP="00E8324D">
            <w:pPr>
              <w:pStyle w:val="Tablas"/>
              <w:rPr>
                <w:sz w:val="12"/>
                <w:szCs w:val="12"/>
              </w:rPr>
            </w:pPr>
            <w:r w:rsidRPr="00483EBE">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60EA5F09"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A4CD8F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12BC5B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4C8C0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A4586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E1722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E4A46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8498E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FE9BAE5" w14:textId="77777777" w:rsidR="00572995" w:rsidRPr="00483EBE" w:rsidRDefault="00572995" w:rsidP="00E8324D">
            <w:pPr>
              <w:pStyle w:val="Tablas"/>
              <w:rPr>
                <w:sz w:val="12"/>
                <w:szCs w:val="12"/>
              </w:rPr>
            </w:pPr>
            <w:r w:rsidRPr="00483EBE">
              <w:rPr>
                <w:sz w:val="12"/>
                <w:szCs w:val="12"/>
              </w:rPr>
              <w:t> </w:t>
            </w:r>
          </w:p>
        </w:tc>
      </w:tr>
      <w:tr w:rsidR="00572995" w:rsidRPr="00483EBE" w14:paraId="37BDCEA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9B90382" w14:textId="77777777" w:rsidR="00572995" w:rsidRPr="00483EBE" w:rsidRDefault="00572995" w:rsidP="00E8324D">
            <w:pPr>
              <w:pStyle w:val="Tablas"/>
              <w:rPr>
                <w:sz w:val="12"/>
                <w:szCs w:val="12"/>
              </w:rPr>
            </w:pPr>
            <w:r w:rsidRPr="00483EBE">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59C863BF" w14:textId="77777777" w:rsidR="00572995" w:rsidRPr="00483EBE" w:rsidRDefault="00572995" w:rsidP="00E8324D">
            <w:pPr>
              <w:pStyle w:val="Tablas"/>
              <w:rPr>
                <w:sz w:val="12"/>
                <w:szCs w:val="12"/>
              </w:rPr>
            </w:pPr>
            <w:r w:rsidRPr="00483EBE">
              <w:rPr>
                <w:sz w:val="12"/>
                <w:szCs w:val="12"/>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7A78833" w14:textId="77777777" w:rsidR="00572995" w:rsidRPr="00483EBE" w:rsidRDefault="00572995" w:rsidP="00E8324D">
            <w:pPr>
              <w:pStyle w:val="Tablas"/>
              <w:rPr>
                <w:sz w:val="12"/>
                <w:szCs w:val="12"/>
              </w:rPr>
            </w:pPr>
            <w:r w:rsidRPr="00483EBE">
              <w:rPr>
                <w:sz w:val="12"/>
                <w:szCs w:val="12"/>
              </w:rPr>
              <w:t>$2,220</w:t>
            </w:r>
          </w:p>
        </w:tc>
        <w:tc>
          <w:tcPr>
            <w:tcW w:w="0" w:type="auto"/>
            <w:tcBorders>
              <w:top w:val="nil"/>
              <w:left w:val="nil"/>
              <w:bottom w:val="single" w:sz="4" w:space="0" w:color="auto"/>
              <w:right w:val="single" w:sz="4" w:space="0" w:color="auto"/>
            </w:tcBorders>
            <w:shd w:val="clear" w:color="auto" w:fill="auto"/>
            <w:vAlign w:val="center"/>
            <w:hideMark/>
          </w:tcPr>
          <w:p w14:paraId="7121095B" w14:textId="77777777" w:rsidR="00572995" w:rsidRPr="00483EBE" w:rsidRDefault="00572995" w:rsidP="00E8324D">
            <w:pPr>
              <w:pStyle w:val="Tablas"/>
              <w:rPr>
                <w:sz w:val="12"/>
                <w:szCs w:val="12"/>
              </w:rPr>
            </w:pPr>
            <w:r w:rsidRPr="00483EBE">
              <w:rPr>
                <w:sz w:val="12"/>
                <w:szCs w:val="12"/>
              </w:rPr>
              <w:t>$555</w:t>
            </w:r>
          </w:p>
        </w:tc>
        <w:tc>
          <w:tcPr>
            <w:tcW w:w="0" w:type="auto"/>
            <w:tcBorders>
              <w:top w:val="nil"/>
              <w:left w:val="nil"/>
              <w:bottom w:val="single" w:sz="4" w:space="0" w:color="auto"/>
              <w:right w:val="single" w:sz="4" w:space="0" w:color="auto"/>
            </w:tcBorders>
            <w:shd w:val="clear" w:color="auto" w:fill="auto"/>
            <w:vAlign w:val="center"/>
            <w:hideMark/>
          </w:tcPr>
          <w:p w14:paraId="1B70D994"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5357BD6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80B2DC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FE81F0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FC4E4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53CCB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E24B6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74432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401B1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A5CDE02" w14:textId="77777777" w:rsidR="00572995" w:rsidRPr="00483EBE" w:rsidRDefault="00572995" w:rsidP="00E8324D">
            <w:pPr>
              <w:pStyle w:val="Tablas"/>
              <w:rPr>
                <w:sz w:val="12"/>
                <w:szCs w:val="12"/>
              </w:rPr>
            </w:pPr>
            <w:r w:rsidRPr="00483EBE">
              <w:rPr>
                <w:sz w:val="12"/>
                <w:szCs w:val="12"/>
              </w:rPr>
              <w:t> </w:t>
            </w:r>
          </w:p>
        </w:tc>
      </w:tr>
      <w:tr w:rsidR="00572995" w:rsidRPr="00483EBE" w14:paraId="148C90BF"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AE24BB" w14:textId="77777777" w:rsidR="00572995" w:rsidRPr="00483EBE" w:rsidRDefault="00572995" w:rsidP="00E8324D">
            <w:pPr>
              <w:pStyle w:val="Tablas"/>
              <w:rPr>
                <w:sz w:val="12"/>
                <w:szCs w:val="12"/>
              </w:rPr>
            </w:pPr>
            <w:r w:rsidRPr="00483EBE">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3EC3CCA9"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788F481B" w14:textId="77777777" w:rsidR="00572995" w:rsidRPr="00483EBE" w:rsidRDefault="00572995" w:rsidP="00E8324D">
            <w:pPr>
              <w:pStyle w:val="Tablas"/>
              <w:rPr>
                <w:sz w:val="12"/>
                <w:szCs w:val="12"/>
              </w:rPr>
            </w:pPr>
            <w:r w:rsidRPr="00483EBE">
              <w:rPr>
                <w:sz w:val="12"/>
                <w:szCs w:val="12"/>
              </w:rPr>
              <w:t>$2,591</w:t>
            </w:r>
          </w:p>
        </w:tc>
        <w:tc>
          <w:tcPr>
            <w:tcW w:w="0" w:type="auto"/>
            <w:tcBorders>
              <w:top w:val="nil"/>
              <w:left w:val="nil"/>
              <w:bottom w:val="single" w:sz="4" w:space="0" w:color="auto"/>
              <w:right w:val="single" w:sz="4" w:space="0" w:color="auto"/>
            </w:tcBorders>
            <w:shd w:val="clear" w:color="auto" w:fill="auto"/>
            <w:vAlign w:val="center"/>
            <w:hideMark/>
          </w:tcPr>
          <w:p w14:paraId="2BCE3669" w14:textId="77777777" w:rsidR="00572995" w:rsidRPr="00483EBE" w:rsidRDefault="00572995" w:rsidP="00E8324D">
            <w:pPr>
              <w:pStyle w:val="Tablas"/>
              <w:rPr>
                <w:sz w:val="12"/>
                <w:szCs w:val="12"/>
              </w:rPr>
            </w:pPr>
            <w:r w:rsidRPr="00483EBE">
              <w:rPr>
                <w:sz w:val="12"/>
                <w:szCs w:val="12"/>
              </w:rPr>
              <w:t>$518</w:t>
            </w:r>
          </w:p>
        </w:tc>
        <w:tc>
          <w:tcPr>
            <w:tcW w:w="0" w:type="auto"/>
            <w:tcBorders>
              <w:top w:val="nil"/>
              <w:left w:val="nil"/>
              <w:bottom w:val="single" w:sz="4" w:space="0" w:color="auto"/>
              <w:right w:val="single" w:sz="4" w:space="0" w:color="auto"/>
            </w:tcBorders>
            <w:shd w:val="clear" w:color="auto" w:fill="auto"/>
            <w:vAlign w:val="center"/>
            <w:hideMark/>
          </w:tcPr>
          <w:p w14:paraId="210A24B3" w14:textId="77777777" w:rsidR="00572995" w:rsidRPr="00483EBE" w:rsidRDefault="00572995" w:rsidP="00E8324D">
            <w:pPr>
              <w:pStyle w:val="Tablas"/>
              <w:rPr>
                <w:sz w:val="12"/>
                <w:szCs w:val="12"/>
              </w:rPr>
            </w:pPr>
            <w:r w:rsidRPr="00483EBE">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1D2EB69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420080A"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E1362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E7842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C5D47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749C3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99D2A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33476F"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7481CFB" w14:textId="77777777" w:rsidR="00572995" w:rsidRPr="00483EBE" w:rsidRDefault="00572995" w:rsidP="00E8324D">
            <w:pPr>
              <w:pStyle w:val="Tablas"/>
              <w:rPr>
                <w:sz w:val="12"/>
                <w:szCs w:val="12"/>
              </w:rPr>
            </w:pPr>
            <w:r w:rsidRPr="00483EBE">
              <w:rPr>
                <w:sz w:val="12"/>
                <w:szCs w:val="12"/>
              </w:rPr>
              <w:t> </w:t>
            </w:r>
          </w:p>
        </w:tc>
      </w:tr>
      <w:tr w:rsidR="00572995" w:rsidRPr="00483EBE" w14:paraId="62AD3D5D"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6F9999E8" w14:textId="77777777" w:rsidR="00572995" w:rsidRPr="00483EBE" w:rsidRDefault="00572995" w:rsidP="00E8324D">
            <w:pPr>
              <w:pStyle w:val="Tablas"/>
              <w:rPr>
                <w:sz w:val="12"/>
                <w:szCs w:val="12"/>
              </w:rPr>
            </w:pPr>
            <w:r w:rsidRPr="00483EBE">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72B2496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CB72792" w14:textId="77777777" w:rsidR="00572995" w:rsidRPr="00483EBE" w:rsidRDefault="00572995" w:rsidP="00E8324D">
            <w:pPr>
              <w:pStyle w:val="Tablas"/>
              <w:rPr>
                <w:sz w:val="12"/>
                <w:szCs w:val="12"/>
              </w:rPr>
            </w:pPr>
            <w:r w:rsidRPr="00483EBE">
              <w:rPr>
                <w:sz w:val="12"/>
                <w:szCs w:val="12"/>
              </w:rPr>
              <w:t>$393</w:t>
            </w:r>
          </w:p>
        </w:tc>
        <w:tc>
          <w:tcPr>
            <w:tcW w:w="0" w:type="auto"/>
            <w:tcBorders>
              <w:top w:val="nil"/>
              <w:left w:val="nil"/>
              <w:bottom w:val="single" w:sz="4" w:space="0" w:color="auto"/>
              <w:right w:val="single" w:sz="4" w:space="0" w:color="auto"/>
            </w:tcBorders>
            <w:shd w:val="clear" w:color="auto" w:fill="auto"/>
            <w:vAlign w:val="center"/>
            <w:hideMark/>
          </w:tcPr>
          <w:p w14:paraId="5975F191" w14:textId="77777777" w:rsidR="00572995" w:rsidRPr="00483EBE" w:rsidRDefault="00572995" w:rsidP="00E8324D">
            <w:pPr>
              <w:pStyle w:val="Tablas"/>
              <w:rPr>
                <w:sz w:val="12"/>
                <w:szCs w:val="12"/>
              </w:rPr>
            </w:pPr>
            <w:r w:rsidRPr="00483EBE">
              <w:rPr>
                <w:sz w:val="12"/>
                <w:szCs w:val="12"/>
              </w:rPr>
              <w:t>$393</w:t>
            </w:r>
          </w:p>
        </w:tc>
        <w:tc>
          <w:tcPr>
            <w:tcW w:w="0" w:type="auto"/>
            <w:tcBorders>
              <w:top w:val="nil"/>
              <w:left w:val="nil"/>
              <w:bottom w:val="single" w:sz="4" w:space="0" w:color="auto"/>
              <w:right w:val="single" w:sz="4" w:space="0" w:color="auto"/>
            </w:tcBorders>
            <w:shd w:val="clear" w:color="auto" w:fill="auto"/>
            <w:vAlign w:val="center"/>
            <w:hideMark/>
          </w:tcPr>
          <w:p w14:paraId="1CC1263D"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38E4AE7A"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380660A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7B5BFF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91C7B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A7635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99D7D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FB376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88C5B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F156415" w14:textId="77777777" w:rsidR="00572995" w:rsidRPr="00483EBE" w:rsidRDefault="00572995" w:rsidP="00E8324D">
            <w:pPr>
              <w:pStyle w:val="Tablas"/>
              <w:rPr>
                <w:sz w:val="12"/>
                <w:szCs w:val="12"/>
              </w:rPr>
            </w:pPr>
            <w:r w:rsidRPr="00483EBE">
              <w:rPr>
                <w:sz w:val="12"/>
                <w:szCs w:val="12"/>
              </w:rPr>
              <w:t> </w:t>
            </w:r>
          </w:p>
        </w:tc>
      </w:tr>
      <w:tr w:rsidR="00572995" w:rsidRPr="00483EBE" w14:paraId="2622F481"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17FA6B" w14:textId="77777777" w:rsidR="00572995" w:rsidRPr="00483EBE" w:rsidRDefault="00572995" w:rsidP="00E8324D">
            <w:pPr>
              <w:pStyle w:val="Tablas"/>
              <w:rPr>
                <w:sz w:val="12"/>
                <w:szCs w:val="12"/>
              </w:rPr>
            </w:pPr>
            <w:r w:rsidRPr="00483EBE">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51EEA859"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BBD3121" w14:textId="77777777" w:rsidR="00572995" w:rsidRPr="00483EBE" w:rsidRDefault="00572995" w:rsidP="00E8324D">
            <w:pPr>
              <w:pStyle w:val="Tablas"/>
              <w:rPr>
                <w:sz w:val="12"/>
                <w:szCs w:val="12"/>
              </w:rPr>
            </w:pPr>
            <w:r w:rsidRPr="00483EBE">
              <w:rPr>
                <w:sz w:val="12"/>
                <w:szCs w:val="12"/>
              </w:rPr>
              <w:t>$1,463</w:t>
            </w:r>
          </w:p>
        </w:tc>
        <w:tc>
          <w:tcPr>
            <w:tcW w:w="0" w:type="auto"/>
            <w:tcBorders>
              <w:top w:val="nil"/>
              <w:left w:val="nil"/>
              <w:bottom w:val="single" w:sz="4" w:space="0" w:color="auto"/>
              <w:right w:val="single" w:sz="4" w:space="0" w:color="auto"/>
            </w:tcBorders>
            <w:shd w:val="clear" w:color="auto" w:fill="auto"/>
            <w:vAlign w:val="center"/>
            <w:hideMark/>
          </w:tcPr>
          <w:p w14:paraId="34128DD0" w14:textId="77777777" w:rsidR="00572995" w:rsidRPr="00483EBE" w:rsidRDefault="00572995" w:rsidP="00E8324D">
            <w:pPr>
              <w:pStyle w:val="Tablas"/>
              <w:rPr>
                <w:sz w:val="12"/>
                <w:szCs w:val="12"/>
              </w:rPr>
            </w:pPr>
            <w:r w:rsidRPr="00483EBE">
              <w:rPr>
                <w:sz w:val="12"/>
                <w:szCs w:val="12"/>
              </w:rPr>
              <w:t>$488</w:t>
            </w:r>
          </w:p>
        </w:tc>
        <w:tc>
          <w:tcPr>
            <w:tcW w:w="0" w:type="auto"/>
            <w:tcBorders>
              <w:top w:val="nil"/>
              <w:left w:val="nil"/>
              <w:bottom w:val="single" w:sz="4" w:space="0" w:color="auto"/>
              <w:right w:val="single" w:sz="4" w:space="0" w:color="auto"/>
            </w:tcBorders>
            <w:shd w:val="clear" w:color="auto" w:fill="auto"/>
            <w:vAlign w:val="center"/>
            <w:hideMark/>
          </w:tcPr>
          <w:p w14:paraId="46D741B3"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4B00416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3D9C9E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24B48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2EB60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09DE3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9FD71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0BCD79"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D66A4E"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26B919E4" w14:textId="77777777" w:rsidR="00572995" w:rsidRPr="00483EBE" w:rsidRDefault="00572995" w:rsidP="00E8324D">
            <w:pPr>
              <w:pStyle w:val="Tablas"/>
              <w:rPr>
                <w:sz w:val="12"/>
                <w:szCs w:val="12"/>
              </w:rPr>
            </w:pPr>
            <w:r w:rsidRPr="00483EBE">
              <w:rPr>
                <w:sz w:val="12"/>
                <w:szCs w:val="12"/>
              </w:rPr>
              <w:t> </w:t>
            </w:r>
          </w:p>
        </w:tc>
      </w:tr>
      <w:tr w:rsidR="00572995" w:rsidRPr="00483EBE" w14:paraId="4B16974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60AC6F1" w14:textId="77777777" w:rsidR="00572995" w:rsidRPr="00483EBE" w:rsidRDefault="00572995" w:rsidP="00E8324D">
            <w:pPr>
              <w:pStyle w:val="Tablas"/>
              <w:rPr>
                <w:sz w:val="12"/>
                <w:szCs w:val="12"/>
              </w:rPr>
            </w:pPr>
            <w:r w:rsidRPr="00483EBE">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067EC95F" w14:textId="77777777" w:rsidR="00572995" w:rsidRPr="00483EBE" w:rsidRDefault="00572995" w:rsidP="00E8324D">
            <w:pPr>
              <w:pStyle w:val="Tablas"/>
              <w:rPr>
                <w:sz w:val="12"/>
                <w:szCs w:val="12"/>
              </w:rPr>
            </w:pPr>
            <w:r w:rsidRPr="00483EBE">
              <w:rPr>
                <w:sz w:val="12"/>
                <w:szCs w:val="12"/>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48FFEF5E" w14:textId="77777777" w:rsidR="00572995" w:rsidRPr="00483EBE" w:rsidRDefault="00572995" w:rsidP="00E8324D">
            <w:pPr>
              <w:pStyle w:val="Tablas"/>
              <w:rPr>
                <w:sz w:val="12"/>
                <w:szCs w:val="12"/>
              </w:rPr>
            </w:pPr>
            <w:r w:rsidRPr="00483EBE">
              <w:rPr>
                <w:sz w:val="12"/>
                <w:szCs w:val="12"/>
              </w:rPr>
              <w:t>$1,466</w:t>
            </w:r>
          </w:p>
        </w:tc>
        <w:tc>
          <w:tcPr>
            <w:tcW w:w="0" w:type="auto"/>
            <w:tcBorders>
              <w:top w:val="nil"/>
              <w:left w:val="nil"/>
              <w:bottom w:val="single" w:sz="4" w:space="0" w:color="auto"/>
              <w:right w:val="single" w:sz="4" w:space="0" w:color="auto"/>
            </w:tcBorders>
            <w:shd w:val="clear" w:color="auto" w:fill="auto"/>
            <w:vAlign w:val="center"/>
            <w:hideMark/>
          </w:tcPr>
          <w:p w14:paraId="1D8EC949" w14:textId="77777777" w:rsidR="00572995" w:rsidRPr="00483EBE" w:rsidRDefault="00572995" w:rsidP="00E8324D">
            <w:pPr>
              <w:pStyle w:val="Tablas"/>
              <w:rPr>
                <w:sz w:val="12"/>
                <w:szCs w:val="12"/>
              </w:rPr>
            </w:pPr>
            <w:r w:rsidRPr="00483EBE">
              <w:rPr>
                <w:sz w:val="12"/>
                <w:szCs w:val="12"/>
              </w:rPr>
              <w:t>$489</w:t>
            </w:r>
          </w:p>
        </w:tc>
        <w:tc>
          <w:tcPr>
            <w:tcW w:w="0" w:type="auto"/>
            <w:tcBorders>
              <w:top w:val="nil"/>
              <w:left w:val="nil"/>
              <w:bottom w:val="single" w:sz="4" w:space="0" w:color="auto"/>
              <w:right w:val="single" w:sz="4" w:space="0" w:color="auto"/>
            </w:tcBorders>
            <w:shd w:val="clear" w:color="auto" w:fill="auto"/>
            <w:vAlign w:val="center"/>
            <w:hideMark/>
          </w:tcPr>
          <w:p w14:paraId="09CCAAB9"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0BBE2D56"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9DE039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53BF53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3C395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71B01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7CBC7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56185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F07AA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A9D2EBC" w14:textId="77777777" w:rsidR="00572995" w:rsidRPr="00483EBE" w:rsidRDefault="00572995" w:rsidP="00E8324D">
            <w:pPr>
              <w:pStyle w:val="Tablas"/>
              <w:rPr>
                <w:sz w:val="12"/>
                <w:szCs w:val="12"/>
              </w:rPr>
            </w:pPr>
            <w:r w:rsidRPr="00483EBE">
              <w:rPr>
                <w:sz w:val="12"/>
                <w:szCs w:val="12"/>
              </w:rPr>
              <w:t> </w:t>
            </w:r>
          </w:p>
        </w:tc>
      </w:tr>
      <w:tr w:rsidR="00572995" w:rsidRPr="00483EBE" w14:paraId="0172365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CB61C04" w14:textId="77777777" w:rsidR="00572995" w:rsidRPr="00483EBE" w:rsidRDefault="00572995" w:rsidP="00E8324D">
            <w:pPr>
              <w:pStyle w:val="Tablas"/>
              <w:rPr>
                <w:sz w:val="12"/>
                <w:szCs w:val="12"/>
              </w:rPr>
            </w:pPr>
            <w:r w:rsidRPr="00483EBE">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315D9926"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EC91C85" w14:textId="77777777" w:rsidR="00572995" w:rsidRPr="00483EBE" w:rsidRDefault="00572995" w:rsidP="00E8324D">
            <w:pPr>
              <w:pStyle w:val="Tablas"/>
              <w:rPr>
                <w:sz w:val="12"/>
                <w:szCs w:val="12"/>
              </w:rPr>
            </w:pPr>
            <w:r w:rsidRPr="00483EBE">
              <w:rPr>
                <w:sz w:val="12"/>
                <w:szCs w:val="12"/>
              </w:rPr>
              <w:t>$444</w:t>
            </w:r>
          </w:p>
        </w:tc>
        <w:tc>
          <w:tcPr>
            <w:tcW w:w="0" w:type="auto"/>
            <w:tcBorders>
              <w:top w:val="nil"/>
              <w:left w:val="nil"/>
              <w:bottom w:val="single" w:sz="4" w:space="0" w:color="auto"/>
              <w:right w:val="single" w:sz="4" w:space="0" w:color="auto"/>
            </w:tcBorders>
            <w:shd w:val="clear" w:color="auto" w:fill="auto"/>
            <w:vAlign w:val="center"/>
            <w:hideMark/>
          </w:tcPr>
          <w:p w14:paraId="345812BA" w14:textId="77777777" w:rsidR="00572995" w:rsidRPr="00483EBE" w:rsidRDefault="00572995" w:rsidP="00E8324D">
            <w:pPr>
              <w:pStyle w:val="Tablas"/>
              <w:rPr>
                <w:sz w:val="12"/>
                <w:szCs w:val="12"/>
              </w:rPr>
            </w:pPr>
            <w:r w:rsidRPr="00483EBE">
              <w:rPr>
                <w:sz w:val="12"/>
                <w:szCs w:val="12"/>
              </w:rPr>
              <w:t>$444</w:t>
            </w:r>
          </w:p>
        </w:tc>
        <w:tc>
          <w:tcPr>
            <w:tcW w:w="0" w:type="auto"/>
            <w:tcBorders>
              <w:top w:val="nil"/>
              <w:left w:val="nil"/>
              <w:bottom w:val="single" w:sz="4" w:space="0" w:color="auto"/>
              <w:right w:val="single" w:sz="4" w:space="0" w:color="auto"/>
            </w:tcBorders>
            <w:shd w:val="clear" w:color="auto" w:fill="auto"/>
            <w:vAlign w:val="center"/>
            <w:hideMark/>
          </w:tcPr>
          <w:p w14:paraId="31D33F84" w14:textId="77777777" w:rsidR="00572995" w:rsidRPr="00483EBE" w:rsidRDefault="00572995" w:rsidP="00E8324D">
            <w:pPr>
              <w:pStyle w:val="Tablas"/>
              <w:rPr>
                <w:sz w:val="12"/>
                <w:szCs w:val="12"/>
              </w:rPr>
            </w:pPr>
            <w:r w:rsidRPr="00483EBE">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10386B8B"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F827D00"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C024A1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E1D73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0AE21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8FE59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68BBC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F7E7C2"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582AEA2" w14:textId="77777777" w:rsidR="00572995" w:rsidRPr="00483EBE" w:rsidRDefault="00572995" w:rsidP="00E8324D">
            <w:pPr>
              <w:pStyle w:val="Tablas"/>
              <w:rPr>
                <w:sz w:val="12"/>
                <w:szCs w:val="12"/>
              </w:rPr>
            </w:pPr>
            <w:r w:rsidRPr="00483EBE">
              <w:rPr>
                <w:sz w:val="12"/>
                <w:szCs w:val="12"/>
              </w:rPr>
              <w:t> </w:t>
            </w:r>
          </w:p>
        </w:tc>
      </w:tr>
      <w:tr w:rsidR="00572995" w:rsidRPr="00483EBE" w14:paraId="52F8BC3A"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159ACDD8" w14:textId="77777777" w:rsidR="00572995" w:rsidRPr="00483EBE" w:rsidRDefault="00572995" w:rsidP="00E8324D">
            <w:pPr>
              <w:pStyle w:val="Tablas"/>
              <w:rPr>
                <w:sz w:val="12"/>
                <w:szCs w:val="12"/>
              </w:rPr>
            </w:pPr>
            <w:r w:rsidRPr="00483EBE">
              <w:rPr>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14:paraId="6ED79A14"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603EE8F6" w14:textId="77777777" w:rsidR="00572995" w:rsidRPr="00483EBE" w:rsidRDefault="00572995" w:rsidP="00E8324D">
            <w:pPr>
              <w:pStyle w:val="Tablas"/>
              <w:rPr>
                <w:sz w:val="12"/>
                <w:szCs w:val="12"/>
              </w:rPr>
            </w:pPr>
            <w:r w:rsidRPr="00483EBE">
              <w:rPr>
                <w:sz w:val="12"/>
                <w:szCs w:val="12"/>
              </w:rPr>
              <w:t>$475</w:t>
            </w:r>
          </w:p>
        </w:tc>
        <w:tc>
          <w:tcPr>
            <w:tcW w:w="0" w:type="auto"/>
            <w:tcBorders>
              <w:top w:val="nil"/>
              <w:left w:val="nil"/>
              <w:bottom w:val="single" w:sz="4" w:space="0" w:color="auto"/>
              <w:right w:val="single" w:sz="4" w:space="0" w:color="auto"/>
            </w:tcBorders>
            <w:shd w:val="clear" w:color="auto" w:fill="auto"/>
            <w:vAlign w:val="center"/>
            <w:hideMark/>
          </w:tcPr>
          <w:p w14:paraId="687C18FB" w14:textId="77777777" w:rsidR="00572995" w:rsidRPr="00483EBE" w:rsidRDefault="00572995" w:rsidP="00E8324D">
            <w:pPr>
              <w:pStyle w:val="Tablas"/>
              <w:rPr>
                <w:sz w:val="12"/>
                <w:szCs w:val="12"/>
              </w:rPr>
            </w:pPr>
            <w:r w:rsidRPr="00483EBE">
              <w:rPr>
                <w:sz w:val="12"/>
                <w:szCs w:val="12"/>
              </w:rPr>
              <w:t>$475</w:t>
            </w:r>
          </w:p>
        </w:tc>
        <w:tc>
          <w:tcPr>
            <w:tcW w:w="0" w:type="auto"/>
            <w:tcBorders>
              <w:top w:val="nil"/>
              <w:left w:val="nil"/>
              <w:bottom w:val="single" w:sz="4" w:space="0" w:color="auto"/>
              <w:right w:val="single" w:sz="4" w:space="0" w:color="auto"/>
            </w:tcBorders>
            <w:shd w:val="clear" w:color="auto" w:fill="auto"/>
            <w:vAlign w:val="center"/>
            <w:hideMark/>
          </w:tcPr>
          <w:p w14:paraId="7BD7396F" w14:textId="77777777" w:rsidR="00572995" w:rsidRPr="00483EBE" w:rsidRDefault="00572995" w:rsidP="00E8324D">
            <w:pPr>
              <w:pStyle w:val="Tablas"/>
              <w:rPr>
                <w:sz w:val="12"/>
                <w:szCs w:val="12"/>
              </w:rPr>
            </w:pPr>
            <w:r w:rsidRPr="00483EBE">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0AC358E1"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3356577"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28242C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4876C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01A0C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8124F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74068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2C1B8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027D3E5" w14:textId="77777777" w:rsidR="00572995" w:rsidRPr="00483EBE" w:rsidRDefault="00572995" w:rsidP="00E8324D">
            <w:pPr>
              <w:pStyle w:val="Tablas"/>
              <w:rPr>
                <w:sz w:val="12"/>
                <w:szCs w:val="12"/>
              </w:rPr>
            </w:pPr>
            <w:r w:rsidRPr="00483EBE">
              <w:rPr>
                <w:sz w:val="12"/>
                <w:szCs w:val="12"/>
              </w:rPr>
              <w:t> </w:t>
            </w:r>
          </w:p>
        </w:tc>
      </w:tr>
      <w:tr w:rsidR="00572995" w:rsidRPr="00483EBE" w14:paraId="54F442C2"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2B59D437" w14:textId="77777777" w:rsidR="00572995" w:rsidRPr="00483EBE" w:rsidRDefault="00572995" w:rsidP="00E8324D">
            <w:pPr>
              <w:pStyle w:val="Tablas"/>
              <w:rPr>
                <w:sz w:val="12"/>
                <w:szCs w:val="12"/>
              </w:rPr>
            </w:pPr>
            <w:r w:rsidRPr="00483EBE">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302EFEF9"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5F86AC1" w14:textId="77777777" w:rsidR="00572995" w:rsidRPr="00483EBE" w:rsidRDefault="00572995" w:rsidP="00E8324D">
            <w:pPr>
              <w:pStyle w:val="Tablas"/>
              <w:rPr>
                <w:sz w:val="12"/>
                <w:szCs w:val="12"/>
              </w:rPr>
            </w:pPr>
            <w:r w:rsidRPr="00483EBE">
              <w:rPr>
                <w:sz w:val="12"/>
                <w:szCs w:val="12"/>
              </w:rPr>
              <w:t>$430</w:t>
            </w:r>
          </w:p>
        </w:tc>
        <w:tc>
          <w:tcPr>
            <w:tcW w:w="0" w:type="auto"/>
            <w:tcBorders>
              <w:top w:val="nil"/>
              <w:left w:val="nil"/>
              <w:bottom w:val="single" w:sz="4" w:space="0" w:color="auto"/>
              <w:right w:val="single" w:sz="4" w:space="0" w:color="auto"/>
            </w:tcBorders>
            <w:shd w:val="clear" w:color="auto" w:fill="auto"/>
            <w:vAlign w:val="center"/>
            <w:hideMark/>
          </w:tcPr>
          <w:p w14:paraId="76242ED9" w14:textId="77777777" w:rsidR="00572995" w:rsidRPr="00483EBE" w:rsidRDefault="00572995" w:rsidP="00E8324D">
            <w:pPr>
              <w:pStyle w:val="Tablas"/>
              <w:rPr>
                <w:sz w:val="12"/>
                <w:szCs w:val="12"/>
              </w:rPr>
            </w:pPr>
            <w:r w:rsidRPr="00483EBE">
              <w:rPr>
                <w:sz w:val="12"/>
                <w:szCs w:val="12"/>
              </w:rPr>
              <w:t>$430</w:t>
            </w:r>
          </w:p>
        </w:tc>
        <w:tc>
          <w:tcPr>
            <w:tcW w:w="0" w:type="auto"/>
            <w:tcBorders>
              <w:top w:val="nil"/>
              <w:left w:val="nil"/>
              <w:bottom w:val="single" w:sz="4" w:space="0" w:color="auto"/>
              <w:right w:val="single" w:sz="4" w:space="0" w:color="auto"/>
            </w:tcBorders>
            <w:shd w:val="clear" w:color="auto" w:fill="auto"/>
            <w:vAlign w:val="center"/>
            <w:hideMark/>
          </w:tcPr>
          <w:p w14:paraId="652638A2" w14:textId="77777777" w:rsidR="00572995" w:rsidRPr="00483EBE" w:rsidRDefault="00572995" w:rsidP="00E8324D">
            <w:pPr>
              <w:pStyle w:val="Tablas"/>
              <w:rPr>
                <w:sz w:val="12"/>
                <w:szCs w:val="12"/>
              </w:rPr>
            </w:pPr>
            <w:r w:rsidRPr="00483EBE">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06579E29"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6A5B2F4F"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732CE2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1C84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11B2B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015A1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EA05D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EEC8A5"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5F943CFB" w14:textId="77777777" w:rsidR="00572995" w:rsidRPr="00483EBE" w:rsidRDefault="00572995" w:rsidP="00E8324D">
            <w:pPr>
              <w:pStyle w:val="Tablas"/>
              <w:rPr>
                <w:sz w:val="12"/>
                <w:szCs w:val="12"/>
              </w:rPr>
            </w:pPr>
            <w:r w:rsidRPr="00483EBE">
              <w:rPr>
                <w:sz w:val="12"/>
                <w:szCs w:val="12"/>
              </w:rPr>
              <w:t> </w:t>
            </w:r>
          </w:p>
        </w:tc>
      </w:tr>
      <w:tr w:rsidR="00572995" w:rsidRPr="00483EBE" w14:paraId="70F7DEAB"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9B1FF44" w14:textId="77777777" w:rsidR="00572995" w:rsidRPr="00483EBE" w:rsidRDefault="00572995" w:rsidP="00E8324D">
            <w:pPr>
              <w:pStyle w:val="Tablas"/>
              <w:rPr>
                <w:sz w:val="12"/>
                <w:szCs w:val="12"/>
              </w:rPr>
            </w:pPr>
            <w:r w:rsidRPr="00483EBE">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7C9AB807" w14:textId="77777777" w:rsidR="00572995" w:rsidRPr="00483EBE" w:rsidRDefault="00572995" w:rsidP="00E8324D">
            <w:pPr>
              <w:pStyle w:val="Tablas"/>
              <w:rPr>
                <w:sz w:val="12"/>
                <w:szCs w:val="12"/>
              </w:rPr>
            </w:pPr>
            <w:r w:rsidRPr="00483EBE">
              <w:rPr>
                <w:sz w:val="12"/>
                <w:szCs w:val="12"/>
              </w:rPr>
              <w:t xml:space="preserve">5 </w:t>
            </w:r>
          </w:p>
        </w:tc>
        <w:tc>
          <w:tcPr>
            <w:tcW w:w="0" w:type="auto"/>
            <w:tcBorders>
              <w:top w:val="nil"/>
              <w:left w:val="nil"/>
              <w:bottom w:val="single" w:sz="4" w:space="0" w:color="auto"/>
              <w:right w:val="single" w:sz="4" w:space="0" w:color="auto"/>
            </w:tcBorders>
            <w:shd w:val="clear" w:color="auto" w:fill="auto"/>
            <w:vAlign w:val="center"/>
            <w:hideMark/>
          </w:tcPr>
          <w:p w14:paraId="5692ED10" w14:textId="77777777" w:rsidR="00572995" w:rsidRPr="00483EBE" w:rsidRDefault="00572995" w:rsidP="00E8324D">
            <w:pPr>
              <w:pStyle w:val="Tablas"/>
              <w:rPr>
                <w:sz w:val="12"/>
                <w:szCs w:val="12"/>
              </w:rPr>
            </w:pPr>
            <w:r w:rsidRPr="00483EBE">
              <w:rPr>
                <w:sz w:val="12"/>
                <w:szCs w:val="12"/>
              </w:rPr>
              <w:t>$2,475</w:t>
            </w:r>
          </w:p>
        </w:tc>
        <w:tc>
          <w:tcPr>
            <w:tcW w:w="0" w:type="auto"/>
            <w:tcBorders>
              <w:top w:val="nil"/>
              <w:left w:val="nil"/>
              <w:bottom w:val="single" w:sz="4" w:space="0" w:color="auto"/>
              <w:right w:val="single" w:sz="4" w:space="0" w:color="auto"/>
            </w:tcBorders>
            <w:shd w:val="clear" w:color="auto" w:fill="auto"/>
            <w:vAlign w:val="center"/>
            <w:hideMark/>
          </w:tcPr>
          <w:p w14:paraId="5D9D56DA" w14:textId="77777777" w:rsidR="00572995" w:rsidRPr="00483EBE" w:rsidRDefault="00572995" w:rsidP="00E8324D">
            <w:pPr>
              <w:pStyle w:val="Tablas"/>
              <w:rPr>
                <w:sz w:val="12"/>
                <w:szCs w:val="12"/>
              </w:rPr>
            </w:pPr>
            <w:r w:rsidRPr="00483EBE">
              <w:rPr>
                <w:sz w:val="12"/>
                <w:szCs w:val="12"/>
              </w:rPr>
              <w:t>$495</w:t>
            </w:r>
          </w:p>
        </w:tc>
        <w:tc>
          <w:tcPr>
            <w:tcW w:w="0" w:type="auto"/>
            <w:tcBorders>
              <w:top w:val="nil"/>
              <w:left w:val="nil"/>
              <w:bottom w:val="single" w:sz="4" w:space="0" w:color="auto"/>
              <w:right w:val="single" w:sz="4" w:space="0" w:color="auto"/>
            </w:tcBorders>
            <w:shd w:val="clear" w:color="auto" w:fill="auto"/>
            <w:vAlign w:val="center"/>
            <w:hideMark/>
          </w:tcPr>
          <w:p w14:paraId="7819D371"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11D1859F"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DFFEA12"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DC38F0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53CFBF"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55AD0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DC9D5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8C253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7C5AF6"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FBA811C" w14:textId="77777777" w:rsidR="00572995" w:rsidRPr="00483EBE" w:rsidRDefault="00572995" w:rsidP="00E8324D">
            <w:pPr>
              <w:pStyle w:val="Tablas"/>
              <w:rPr>
                <w:sz w:val="12"/>
                <w:szCs w:val="12"/>
              </w:rPr>
            </w:pPr>
            <w:r w:rsidRPr="00483EBE">
              <w:rPr>
                <w:sz w:val="12"/>
                <w:szCs w:val="12"/>
              </w:rPr>
              <w:t> </w:t>
            </w:r>
          </w:p>
        </w:tc>
      </w:tr>
      <w:tr w:rsidR="00572995" w:rsidRPr="00483EBE" w14:paraId="07CF4F0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70263B9B" w14:textId="77777777" w:rsidR="00572995" w:rsidRPr="00483EBE" w:rsidRDefault="00572995" w:rsidP="00E8324D">
            <w:pPr>
              <w:pStyle w:val="Tablas"/>
              <w:rPr>
                <w:sz w:val="12"/>
                <w:szCs w:val="12"/>
              </w:rPr>
            </w:pPr>
            <w:r w:rsidRPr="00483EBE">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05C9A25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364E4C1" w14:textId="77777777" w:rsidR="00572995" w:rsidRPr="00483EBE" w:rsidRDefault="00572995" w:rsidP="00E8324D">
            <w:pPr>
              <w:pStyle w:val="Tablas"/>
              <w:rPr>
                <w:sz w:val="12"/>
                <w:szCs w:val="12"/>
              </w:rPr>
            </w:pPr>
            <w:r w:rsidRPr="00483EBE">
              <w:rPr>
                <w:sz w:val="12"/>
                <w:szCs w:val="12"/>
              </w:rPr>
              <w:t>$592</w:t>
            </w:r>
          </w:p>
        </w:tc>
        <w:tc>
          <w:tcPr>
            <w:tcW w:w="0" w:type="auto"/>
            <w:tcBorders>
              <w:top w:val="nil"/>
              <w:left w:val="nil"/>
              <w:bottom w:val="single" w:sz="4" w:space="0" w:color="auto"/>
              <w:right w:val="single" w:sz="4" w:space="0" w:color="auto"/>
            </w:tcBorders>
            <w:shd w:val="clear" w:color="auto" w:fill="auto"/>
            <w:vAlign w:val="center"/>
            <w:hideMark/>
          </w:tcPr>
          <w:p w14:paraId="70A88618" w14:textId="77777777" w:rsidR="00572995" w:rsidRPr="00483EBE" w:rsidRDefault="00572995" w:rsidP="00E8324D">
            <w:pPr>
              <w:pStyle w:val="Tablas"/>
              <w:rPr>
                <w:sz w:val="12"/>
                <w:szCs w:val="12"/>
              </w:rPr>
            </w:pPr>
            <w:r w:rsidRPr="00483EBE">
              <w:rPr>
                <w:sz w:val="12"/>
                <w:szCs w:val="12"/>
              </w:rPr>
              <w:t>$592</w:t>
            </w:r>
          </w:p>
        </w:tc>
        <w:tc>
          <w:tcPr>
            <w:tcW w:w="0" w:type="auto"/>
            <w:tcBorders>
              <w:top w:val="nil"/>
              <w:left w:val="nil"/>
              <w:bottom w:val="single" w:sz="4" w:space="0" w:color="auto"/>
              <w:right w:val="single" w:sz="4" w:space="0" w:color="auto"/>
            </w:tcBorders>
            <w:shd w:val="clear" w:color="auto" w:fill="auto"/>
            <w:vAlign w:val="center"/>
            <w:hideMark/>
          </w:tcPr>
          <w:p w14:paraId="0C2D3996" w14:textId="77777777" w:rsidR="00572995" w:rsidRPr="00483EBE" w:rsidRDefault="00572995" w:rsidP="00E8324D">
            <w:pPr>
              <w:pStyle w:val="Tablas"/>
              <w:rPr>
                <w:sz w:val="12"/>
                <w:szCs w:val="12"/>
              </w:rPr>
            </w:pPr>
            <w:r w:rsidRPr="00483EBE">
              <w:rPr>
                <w:sz w:val="12"/>
                <w:szCs w:val="12"/>
              </w:rPr>
              <w:t>$49</w:t>
            </w:r>
          </w:p>
        </w:tc>
        <w:tc>
          <w:tcPr>
            <w:tcW w:w="0" w:type="auto"/>
            <w:tcBorders>
              <w:top w:val="nil"/>
              <w:left w:val="nil"/>
              <w:bottom w:val="single" w:sz="4" w:space="0" w:color="auto"/>
              <w:right w:val="single" w:sz="4" w:space="0" w:color="auto"/>
            </w:tcBorders>
            <w:shd w:val="clear" w:color="auto" w:fill="auto"/>
            <w:vAlign w:val="center"/>
            <w:hideMark/>
          </w:tcPr>
          <w:p w14:paraId="3E06F48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2BDEB781"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A32A40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CAB9E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4A3F83"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35CB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B8569B"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DF63C1"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7502CF15" w14:textId="77777777" w:rsidR="00572995" w:rsidRPr="00483EBE" w:rsidRDefault="00572995" w:rsidP="00E8324D">
            <w:pPr>
              <w:pStyle w:val="Tablas"/>
              <w:rPr>
                <w:sz w:val="12"/>
                <w:szCs w:val="12"/>
              </w:rPr>
            </w:pPr>
            <w:r w:rsidRPr="00483EBE">
              <w:rPr>
                <w:sz w:val="12"/>
                <w:szCs w:val="12"/>
              </w:rPr>
              <w:t> </w:t>
            </w:r>
          </w:p>
        </w:tc>
      </w:tr>
      <w:tr w:rsidR="00572995" w:rsidRPr="00483EBE" w14:paraId="7629A26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71725FE" w14:textId="77777777" w:rsidR="00572995" w:rsidRPr="00483EBE" w:rsidRDefault="00572995" w:rsidP="00E8324D">
            <w:pPr>
              <w:pStyle w:val="Tablas"/>
              <w:rPr>
                <w:sz w:val="12"/>
                <w:szCs w:val="12"/>
              </w:rPr>
            </w:pPr>
            <w:r w:rsidRPr="00483EBE">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0E195D70"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E225532" w14:textId="77777777" w:rsidR="00572995" w:rsidRPr="00483EBE" w:rsidRDefault="00572995" w:rsidP="00E8324D">
            <w:pPr>
              <w:pStyle w:val="Tablas"/>
              <w:rPr>
                <w:sz w:val="12"/>
                <w:szCs w:val="12"/>
              </w:rPr>
            </w:pPr>
            <w:r w:rsidRPr="00483EBE">
              <w:rPr>
                <w:sz w:val="12"/>
                <w:szCs w:val="12"/>
              </w:rPr>
              <w:t>$491</w:t>
            </w:r>
          </w:p>
        </w:tc>
        <w:tc>
          <w:tcPr>
            <w:tcW w:w="0" w:type="auto"/>
            <w:tcBorders>
              <w:top w:val="nil"/>
              <w:left w:val="nil"/>
              <w:bottom w:val="single" w:sz="4" w:space="0" w:color="auto"/>
              <w:right w:val="single" w:sz="4" w:space="0" w:color="auto"/>
            </w:tcBorders>
            <w:shd w:val="clear" w:color="auto" w:fill="auto"/>
            <w:vAlign w:val="center"/>
            <w:hideMark/>
          </w:tcPr>
          <w:p w14:paraId="062B5242" w14:textId="77777777" w:rsidR="00572995" w:rsidRPr="00483EBE" w:rsidRDefault="00572995" w:rsidP="00E8324D">
            <w:pPr>
              <w:pStyle w:val="Tablas"/>
              <w:rPr>
                <w:sz w:val="12"/>
                <w:szCs w:val="12"/>
              </w:rPr>
            </w:pPr>
            <w:r w:rsidRPr="00483EBE">
              <w:rPr>
                <w:sz w:val="12"/>
                <w:szCs w:val="12"/>
              </w:rPr>
              <w:t>$491</w:t>
            </w:r>
          </w:p>
        </w:tc>
        <w:tc>
          <w:tcPr>
            <w:tcW w:w="0" w:type="auto"/>
            <w:tcBorders>
              <w:top w:val="nil"/>
              <w:left w:val="nil"/>
              <w:bottom w:val="single" w:sz="4" w:space="0" w:color="auto"/>
              <w:right w:val="single" w:sz="4" w:space="0" w:color="auto"/>
            </w:tcBorders>
            <w:shd w:val="clear" w:color="auto" w:fill="auto"/>
            <w:vAlign w:val="center"/>
            <w:hideMark/>
          </w:tcPr>
          <w:p w14:paraId="46FF6174" w14:textId="77777777" w:rsidR="00572995" w:rsidRPr="00483EBE" w:rsidRDefault="00572995" w:rsidP="00E8324D">
            <w:pPr>
              <w:pStyle w:val="Tablas"/>
              <w:rPr>
                <w:sz w:val="12"/>
                <w:szCs w:val="12"/>
              </w:rPr>
            </w:pPr>
            <w:r w:rsidRPr="00483EBE">
              <w:rPr>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14:paraId="4E4A70D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18D6B4F4"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FE8C2D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888A6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325D7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38AC7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3C61D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813E94"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1C4AA1B0" w14:textId="77777777" w:rsidR="00572995" w:rsidRPr="00483EBE" w:rsidRDefault="00572995" w:rsidP="00E8324D">
            <w:pPr>
              <w:pStyle w:val="Tablas"/>
              <w:rPr>
                <w:sz w:val="12"/>
                <w:szCs w:val="12"/>
              </w:rPr>
            </w:pPr>
            <w:r w:rsidRPr="00483EBE">
              <w:rPr>
                <w:sz w:val="12"/>
                <w:szCs w:val="12"/>
              </w:rPr>
              <w:t> </w:t>
            </w:r>
          </w:p>
        </w:tc>
      </w:tr>
      <w:tr w:rsidR="00572995" w:rsidRPr="00483EBE" w14:paraId="0A432FA3"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3647E524" w14:textId="77777777" w:rsidR="00572995" w:rsidRPr="00483EBE" w:rsidRDefault="00572995" w:rsidP="00E8324D">
            <w:pPr>
              <w:pStyle w:val="Tablas"/>
              <w:rPr>
                <w:sz w:val="12"/>
                <w:szCs w:val="12"/>
              </w:rPr>
            </w:pPr>
            <w:r w:rsidRPr="00483EBE">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F2E7802"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34BECE14" w14:textId="77777777" w:rsidR="00572995" w:rsidRPr="00483EBE" w:rsidRDefault="00572995" w:rsidP="00E8324D">
            <w:pPr>
              <w:pStyle w:val="Tablas"/>
              <w:rPr>
                <w:sz w:val="12"/>
                <w:szCs w:val="12"/>
              </w:rPr>
            </w:pPr>
            <w:r w:rsidRPr="00483EBE">
              <w:rPr>
                <w:sz w:val="12"/>
                <w:szCs w:val="12"/>
              </w:rPr>
              <w:t>$404</w:t>
            </w:r>
          </w:p>
        </w:tc>
        <w:tc>
          <w:tcPr>
            <w:tcW w:w="0" w:type="auto"/>
            <w:tcBorders>
              <w:top w:val="nil"/>
              <w:left w:val="nil"/>
              <w:bottom w:val="single" w:sz="4" w:space="0" w:color="auto"/>
              <w:right w:val="single" w:sz="4" w:space="0" w:color="auto"/>
            </w:tcBorders>
            <w:shd w:val="clear" w:color="auto" w:fill="auto"/>
            <w:vAlign w:val="center"/>
            <w:hideMark/>
          </w:tcPr>
          <w:p w14:paraId="16F497BB" w14:textId="77777777" w:rsidR="00572995" w:rsidRPr="00483EBE" w:rsidRDefault="00572995" w:rsidP="00E8324D">
            <w:pPr>
              <w:pStyle w:val="Tablas"/>
              <w:rPr>
                <w:sz w:val="12"/>
                <w:szCs w:val="12"/>
              </w:rPr>
            </w:pPr>
            <w:r w:rsidRPr="00483EBE">
              <w:rPr>
                <w:sz w:val="12"/>
                <w:szCs w:val="12"/>
              </w:rPr>
              <w:t>$404</w:t>
            </w:r>
          </w:p>
        </w:tc>
        <w:tc>
          <w:tcPr>
            <w:tcW w:w="0" w:type="auto"/>
            <w:tcBorders>
              <w:top w:val="nil"/>
              <w:left w:val="nil"/>
              <w:bottom w:val="single" w:sz="4" w:space="0" w:color="auto"/>
              <w:right w:val="single" w:sz="4" w:space="0" w:color="auto"/>
            </w:tcBorders>
            <w:shd w:val="clear" w:color="auto" w:fill="auto"/>
            <w:vAlign w:val="center"/>
            <w:hideMark/>
          </w:tcPr>
          <w:p w14:paraId="406D98D5" w14:textId="77777777" w:rsidR="00572995" w:rsidRPr="00483EBE" w:rsidRDefault="00572995" w:rsidP="00E8324D">
            <w:pPr>
              <w:pStyle w:val="Tablas"/>
              <w:rPr>
                <w:sz w:val="12"/>
                <w:szCs w:val="12"/>
              </w:rPr>
            </w:pPr>
            <w:r w:rsidRPr="00483EBE">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478CEA3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0400FFD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564A59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325A3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BAE1B1"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711FB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D97B5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5E126C"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0AF59433" w14:textId="77777777" w:rsidR="00572995" w:rsidRPr="00483EBE" w:rsidRDefault="00572995" w:rsidP="00E8324D">
            <w:pPr>
              <w:pStyle w:val="Tablas"/>
              <w:rPr>
                <w:sz w:val="12"/>
                <w:szCs w:val="12"/>
              </w:rPr>
            </w:pPr>
            <w:r w:rsidRPr="00483EBE">
              <w:rPr>
                <w:sz w:val="12"/>
                <w:szCs w:val="12"/>
              </w:rPr>
              <w:t> </w:t>
            </w:r>
          </w:p>
        </w:tc>
      </w:tr>
      <w:tr w:rsidR="00572995" w:rsidRPr="00483EBE" w14:paraId="0BD1B944"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4E874227" w14:textId="77777777" w:rsidR="00572995" w:rsidRPr="00483EBE" w:rsidRDefault="00572995" w:rsidP="00E8324D">
            <w:pPr>
              <w:pStyle w:val="Tablas"/>
              <w:rPr>
                <w:sz w:val="12"/>
                <w:szCs w:val="12"/>
              </w:rPr>
            </w:pPr>
            <w:r w:rsidRPr="00483EBE">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3601A603"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784AA4BE" w14:textId="77777777" w:rsidR="00572995" w:rsidRPr="00483EBE" w:rsidRDefault="00572995" w:rsidP="00E8324D">
            <w:pPr>
              <w:pStyle w:val="Tablas"/>
              <w:rPr>
                <w:sz w:val="12"/>
                <w:szCs w:val="12"/>
              </w:rPr>
            </w:pPr>
            <w:r w:rsidRPr="00483EBE">
              <w:rPr>
                <w:sz w:val="12"/>
                <w:szCs w:val="12"/>
              </w:rPr>
              <w:t>$393</w:t>
            </w:r>
          </w:p>
        </w:tc>
        <w:tc>
          <w:tcPr>
            <w:tcW w:w="0" w:type="auto"/>
            <w:tcBorders>
              <w:top w:val="nil"/>
              <w:left w:val="nil"/>
              <w:bottom w:val="single" w:sz="4" w:space="0" w:color="auto"/>
              <w:right w:val="single" w:sz="4" w:space="0" w:color="auto"/>
            </w:tcBorders>
            <w:shd w:val="clear" w:color="auto" w:fill="auto"/>
            <w:vAlign w:val="center"/>
            <w:hideMark/>
          </w:tcPr>
          <w:p w14:paraId="629EFD30" w14:textId="77777777" w:rsidR="00572995" w:rsidRPr="00483EBE" w:rsidRDefault="00572995" w:rsidP="00E8324D">
            <w:pPr>
              <w:pStyle w:val="Tablas"/>
              <w:rPr>
                <w:sz w:val="12"/>
                <w:szCs w:val="12"/>
              </w:rPr>
            </w:pPr>
            <w:r w:rsidRPr="00483EBE">
              <w:rPr>
                <w:sz w:val="12"/>
                <w:szCs w:val="12"/>
              </w:rPr>
              <w:t>$393</w:t>
            </w:r>
          </w:p>
        </w:tc>
        <w:tc>
          <w:tcPr>
            <w:tcW w:w="0" w:type="auto"/>
            <w:tcBorders>
              <w:top w:val="nil"/>
              <w:left w:val="nil"/>
              <w:bottom w:val="single" w:sz="4" w:space="0" w:color="auto"/>
              <w:right w:val="single" w:sz="4" w:space="0" w:color="auto"/>
            </w:tcBorders>
            <w:shd w:val="clear" w:color="auto" w:fill="auto"/>
            <w:vAlign w:val="center"/>
            <w:hideMark/>
          </w:tcPr>
          <w:p w14:paraId="0864177F" w14:textId="77777777" w:rsidR="00572995" w:rsidRPr="00483EBE" w:rsidRDefault="00572995" w:rsidP="00E8324D">
            <w:pPr>
              <w:pStyle w:val="Tablas"/>
              <w:rPr>
                <w:sz w:val="12"/>
                <w:szCs w:val="12"/>
              </w:rPr>
            </w:pPr>
            <w:r w:rsidRPr="00483EBE">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02E61CB0"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50E72C3B"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F98B84A"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E2CC18"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BC8D1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7C5835"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50C85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227857"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4B6F6710" w14:textId="77777777" w:rsidR="00572995" w:rsidRPr="00483EBE" w:rsidRDefault="00572995" w:rsidP="00E8324D">
            <w:pPr>
              <w:pStyle w:val="Tablas"/>
              <w:rPr>
                <w:sz w:val="12"/>
                <w:szCs w:val="12"/>
              </w:rPr>
            </w:pPr>
            <w:r w:rsidRPr="00483EBE">
              <w:rPr>
                <w:sz w:val="12"/>
                <w:szCs w:val="12"/>
              </w:rPr>
              <w:t> </w:t>
            </w:r>
          </w:p>
        </w:tc>
      </w:tr>
      <w:tr w:rsidR="00572995" w:rsidRPr="00483EBE" w14:paraId="62661F95" w14:textId="77777777" w:rsidTr="00710F49">
        <w:trPr>
          <w:trHeight w:val="257"/>
        </w:trPr>
        <w:tc>
          <w:tcPr>
            <w:tcW w:w="584" w:type="dxa"/>
            <w:tcBorders>
              <w:top w:val="nil"/>
              <w:left w:val="single" w:sz="8" w:space="0" w:color="auto"/>
              <w:bottom w:val="single" w:sz="4" w:space="0" w:color="auto"/>
              <w:right w:val="single" w:sz="4" w:space="0" w:color="auto"/>
            </w:tcBorders>
            <w:shd w:val="clear" w:color="auto" w:fill="auto"/>
            <w:vAlign w:val="center"/>
            <w:hideMark/>
          </w:tcPr>
          <w:p w14:paraId="07BD2120" w14:textId="77777777" w:rsidR="00572995" w:rsidRPr="00483EBE" w:rsidRDefault="00572995" w:rsidP="00E8324D">
            <w:pPr>
              <w:pStyle w:val="Tablas"/>
              <w:rPr>
                <w:sz w:val="12"/>
                <w:szCs w:val="12"/>
              </w:rPr>
            </w:pPr>
            <w:r w:rsidRPr="00483EBE">
              <w:rPr>
                <w:sz w:val="12"/>
                <w:szCs w:val="12"/>
              </w:rPr>
              <w:lastRenderedPageBreak/>
              <w:t>87</w:t>
            </w:r>
          </w:p>
        </w:tc>
        <w:tc>
          <w:tcPr>
            <w:tcW w:w="0" w:type="auto"/>
            <w:tcBorders>
              <w:top w:val="nil"/>
              <w:left w:val="nil"/>
              <w:bottom w:val="single" w:sz="4" w:space="0" w:color="auto"/>
              <w:right w:val="single" w:sz="4" w:space="0" w:color="auto"/>
            </w:tcBorders>
            <w:shd w:val="clear" w:color="auto" w:fill="auto"/>
            <w:vAlign w:val="center"/>
            <w:hideMark/>
          </w:tcPr>
          <w:p w14:paraId="7DAC7DAC"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5D5E2066" w14:textId="77777777" w:rsidR="00572995" w:rsidRPr="00483EBE" w:rsidRDefault="00572995" w:rsidP="00E8324D">
            <w:pPr>
              <w:pStyle w:val="Tablas"/>
              <w:rPr>
                <w:sz w:val="12"/>
                <w:szCs w:val="12"/>
              </w:rPr>
            </w:pPr>
            <w:r w:rsidRPr="00483EBE">
              <w:rPr>
                <w:sz w:val="12"/>
                <w:szCs w:val="12"/>
              </w:rPr>
              <w:t>$556</w:t>
            </w:r>
          </w:p>
        </w:tc>
        <w:tc>
          <w:tcPr>
            <w:tcW w:w="0" w:type="auto"/>
            <w:tcBorders>
              <w:top w:val="nil"/>
              <w:left w:val="nil"/>
              <w:bottom w:val="single" w:sz="4" w:space="0" w:color="auto"/>
              <w:right w:val="single" w:sz="4" w:space="0" w:color="auto"/>
            </w:tcBorders>
            <w:shd w:val="clear" w:color="auto" w:fill="auto"/>
            <w:vAlign w:val="center"/>
            <w:hideMark/>
          </w:tcPr>
          <w:p w14:paraId="7F0DDF10" w14:textId="77777777" w:rsidR="00572995" w:rsidRPr="00483EBE" w:rsidRDefault="00572995" w:rsidP="00E8324D">
            <w:pPr>
              <w:pStyle w:val="Tablas"/>
              <w:rPr>
                <w:sz w:val="12"/>
                <w:szCs w:val="12"/>
              </w:rPr>
            </w:pPr>
            <w:r w:rsidRPr="00483EBE">
              <w:rPr>
                <w:sz w:val="12"/>
                <w:szCs w:val="12"/>
              </w:rPr>
              <w:t>$556</w:t>
            </w:r>
          </w:p>
        </w:tc>
        <w:tc>
          <w:tcPr>
            <w:tcW w:w="0" w:type="auto"/>
            <w:tcBorders>
              <w:top w:val="nil"/>
              <w:left w:val="nil"/>
              <w:bottom w:val="single" w:sz="4" w:space="0" w:color="auto"/>
              <w:right w:val="single" w:sz="4" w:space="0" w:color="auto"/>
            </w:tcBorders>
            <w:shd w:val="clear" w:color="auto" w:fill="auto"/>
            <w:vAlign w:val="center"/>
            <w:hideMark/>
          </w:tcPr>
          <w:p w14:paraId="52336C3C"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19CC2AB7"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4" w:space="0" w:color="auto"/>
              <w:right w:val="nil"/>
            </w:tcBorders>
            <w:shd w:val="clear" w:color="auto" w:fill="auto"/>
            <w:vAlign w:val="center"/>
            <w:hideMark/>
          </w:tcPr>
          <w:p w14:paraId="488F7E0E"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3E3B52E"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AA743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3A096C"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885616"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5B92B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19232B"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4" w:space="0" w:color="auto"/>
              <w:right w:val="single" w:sz="8" w:space="0" w:color="auto"/>
            </w:tcBorders>
            <w:shd w:val="clear" w:color="auto" w:fill="auto"/>
            <w:vAlign w:val="center"/>
            <w:hideMark/>
          </w:tcPr>
          <w:p w14:paraId="3866FF8A" w14:textId="77777777" w:rsidR="00572995" w:rsidRPr="00483EBE" w:rsidRDefault="00572995" w:rsidP="00E8324D">
            <w:pPr>
              <w:pStyle w:val="Tablas"/>
              <w:rPr>
                <w:sz w:val="12"/>
                <w:szCs w:val="12"/>
              </w:rPr>
            </w:pPr>
            <w:r w:rsidRPr="00483EBE">
              <w:rPr>
                <w:sz w:val="12"/>
                <w:szCs w:val="12"/>
              </w:rPr>
              <w:t> </w:t>
            </w:r>
          </w:p>
        </w:tc>
      </w:tr>
      <w:tr w:rsidR="00572995" w:rsidRPr="00483EBE" w14:paraId="5005B683" w14:textId="77777777" w:rsidTr="00710F49">
        <w:trPr>
          <w:trHeight w:val="257"/>
        </w:trPr>
        <w:tc>
          <w:tcPr>
            <w:tcW w:w="584" w:type="dxa"/>
            <w:tcBorders>
              <w:top w:val="nil"/>
              <w:left w:val="single" w:sz="8" w:space="0" w:color="auto"/>
              <w:bottom w:val="single" w:sz="8" w:space="0" w:color="auto"/>
              <w:right w:val="single" w:sz="4" w:space="0" w:color="auto"/>
            </w:tcBorders>
            <w:shd w:val="clear" w:color="auto" w:fill="auto"/>
            <w:vAlign w:val="center"/>
            <w:hideMark/>
          </w:tcPr>
          <w:p w14:paraId="02D677CA" w14:textId="77777777" w:rsidR="00572995" w:rsidRPr="00483EBE" w:rsidRDefault="00572995" w:rsidP="00E8324D">
            <w:pPr>
              <w:pStyle w:val="Tablas"/>
              <w:rPr>
                <w:sz w:val="12"/>
                <w:szCs w:val="12"/>
              </w:rPr>
            </w:pPr>
            <w:r w:rsidRPr="00483EBE">
              <w:rPr>
                <w:sz w:val="12"/>
                <w:szCs w:val="12"/>
              </w:rPr>
              <w:t>90</w:t>
            </w:r>
          </w:p>
        </w:tc>
        <w:tc>
          <w:tcPr>
            <w:tcW w:w="0" w:type="auto"/>
            <w:tcBorders>
              <w:top w:val="nil"/>
              <w:left w:val="nil"/>
              <w:bottom w:val="single" w:sz="8" w:space="0" w:color="auto"/>
              <w:right w:val="single" w:sz="4" w:space="0" w:color="auto"/>
            </w:tcBorders>
            <w:shd w:val="clear" w:color="auto" w:fill="auto"/>
            <w:vAlign w:val="center"/>
            <w:hideMark/>
          </w:tcPr>
          <w:p w14:paraId="78BE3FFE" w14:textId="77777777" w:rsidR="00572995" w:rsidRPr="00483EBE" w:rsidRDefault="00572995" w:rsidP="00E8324D">
            <w:pPr>
              <w:pStyle w:val="Tablas"/>
              <w:rPr>
                <w:sz w:val="12"/>
                <w:szCs w:val="12"/>
              </w:rPr>
            </w:pPr>
            <w:r w:rsidRPr="00483EBE">
              <w:rPr>
                <w:sz w:val="12"/>
                <w:szCs w:val="12"/>
              </w:rPr>
              <w:t xml:space="preserve">1 </w:t>
            </w:r>
          </w:p>
        </w:tc>
        <w:tc>
          <w:tcPr>
            <w:tcW w:w="0" w:type="auto"/>
            <w:tcBorders>
              <w:top w:val="nil"/>
              <w:left w:val="nil"/>
              <w:bottom w:val="single" w:sz="8" w:space="0" w:color="auto"/>
              <w:right w:val="single" w:sz="4" w:space="0" w:color="auto"/>
            </w:tcBorders>
            <w:shd w:val="clear" w:color="auto" w:fill="auto"/>
            <w:vAlign w:val="center"/>
            <w:hideMark/>
          </w:tcPr>
          <w:p w14:paraId="35A9FBA5" w14:textId="77777777" w:rsidR="00572995" w:rsidRPr="00483EBE" w:rsidRDefault="00572995" w:rsidP="00E8324D">
            <w:pPr>
              <w:pStyle w:val="Tablas"/>
              <w:rPr>
                <w:sz w:val="12"/>
                <w:szCs w:val="12"/>
              </w:rPr>
            </w:pPr>
            <w:r w:rsidRPr="00483EBE">
              <w:rPr>
                <w:sz w:val="12"/>
                <w:szCs w:val="12"/>
              </w:rPr>
              <w:t>$554</w:t>
            </w:r>
          </w:p>
        </w:tc>
        <w:tc>
          <w:tcPr>
            <w:tcW w:w="0" w:type="auto"/>
            <w:tcBorders>
              <w:top w:val="nil"/>
              <w:left w:val="nil"/>
              <w:bottom w:val="single" w:sz="8" w:space="0" w:color="auto"/>
              <w:right w:val="single" w:sz="4" w:space="0" w:color="auto"/>
            </w:tcBorders>
            <w:shd w:val="clear" w:color="auto" w:fill="auto"/>
            <w:vAlign w:val="center"/>
            <w:hideMark/>
          </w:tcPr>
          <w:p w14:paraId="5527C9F9" w14:textId="77777777" w:rsidR="00572995" w:rsidRPr="00483EBE" w:rsidRDefault="00572995" w:rsidP="00E8324D">
            <w:pPr>
              <w:pStyle w:val="Tablas"/>
              <w:rPr>
                <w:sz w:val="12"/>
                <w:szCs w:val="12"/>
              </w:rPr>
            </w:pPr>
            <w:r w:rsidRPr="00483EBE">
              <w:rPr>
                <w:sz w:val="12"/>
                <w:szCs w:val="12"/>
              </w:rPr>
              <w:t>$554</w:t>
            </w:r>
          </w:p>
        </w:tc>
        <w:tc>
          <w:tcPr>
            <w:tcW w:w="0" w:type="auto"/>
            <w:tcBorders>
              <w:top w:val="nil"/>
              <w:left w:val="nil"/>
              <w:bottom w:val="single" w:sz="8" w:space="0" w:color="auto"/>
              <w:right w:val="single" w:sz="4" w:space="0" w:color="auto"/>
            </w:tcBorders>
            <w:shd w:val="clear" w:color="auto" w:fill="auto"/>
            <w:vAlign w:val="center"/>
            <w:hideMark/>
          </w:tcPr>
          <w:p w14:paraId="727C37E9" w14:textId="77777777" w:rsidR="00572995" w:rsidRPr="00483EBE" w:rsidRDefault="00572995" w:rsidP="00E8324D">
            <w:pPr>
              <w:pStyle w:val="Tablas"/>
              <w:rPr>
                <w:sz w:val="12"/>
                <w:szCs w:val="12"/>
              </w:rPr>
            </w:pPr>
            <w:r w:rsidRPr="00483EBE">
              <w:rPr>
                <w:sz w:val="12"/>
                <w:szCs w:val="12"/>
              </w:rPr>
              <w:t>$46</w:t>
            </w:r>
          </w:p>
        </w:tc>
        <w:tc>
          <w:tcPr>
            <w:tcW w:w="0" w:type="auto"/>
            <w:tcBorders>
              <w:top w:val="nil"/>
              <w:left w:val="nil"/>
              <w:bottom w:val="single" w:sz="8" w:space="0" w:color="auto"/>
              <w:right w:val="single" w:sz="4" w:space="0" w:color="auto"/>
            </w:tcBorders>
            <w:shd w:val="clear" w:color="auto" w:fill="auto"/>
            <w:vAlign w:val="center"/>
            <w:hideMark/>
          </w:tcPr>
          <w:p w14:paraId="2279D969" w14:textId="77777777" w:rsidR="00572995" w:rsidRPr="00483EBE" w:rsidRDefault="00572995" w:rsidP="00E8324D">
            <w:pPr>
              <w:pStyle w:val="Tablas"/>
              <w:rPr>
                <w:sz w:val="12"/>
                <w:szCs w:val="12"/>
              </w:rPr>
            </w:pPr>
            <w:r w:rsidRPr="00483EBE">
              <w:rPr>
                <w:sz w:val="12"/>
                <w:szCs w:val="12"/>
              </w:rPr>
              <w:t>MADRE Y PADRE SOBREVIVIENTE</w:t>
            </w:r>
          </w:p>
        </w:tc>
        <w:tc>
          <w:tcPr>
            <w:tcW w:w="0" w:type="auto"/>
            <w:tcBorders>
              <w:top w:val="nil"/>
              <w:left w:val="nil"/>
              <w:bottom w:val="single" w:sz="8" w:space="0" w:color="auto"/>
              <w:right w:val="nil"/>
            </w:tcBorders>
            <w:shd w:val="clear" w:color="auto" w:fill="auto"/>
            <w:vAlign w:val="center"/>
            <w:hideMark/>
          </w:tcPr>
          <w:p w14:paraId="37965D0C" w14:textId="77777777" w:rsidR="00572995" w:rsidRPr="00483EBE" w:rsidRDefault="00572995" w:rsidP="00E8324D">
            <w:pPr>
              <w:pStyle w:val="Tablas"/>
              <w:rPr>
                <w:sz w:val="12"/>
                <w:szCs w:val="12"/>
              </w:rPr>
            </w:pPr>
            <w:r w:rsidRPr="00483EBE">
              <w:rPr>
                <w:sz w:val="12"/>
                <w:szCs w:val="12"/>
              </w:rPr>
              <w:t>SM</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1E7C6F47"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8" w:space="0" w:color="auto"/>
              <w:right w:val="single" w:sz="4" w:space="0" w:color="auto"/>
            </w:tcBorders>
            <w:shd w:val="clear" w:color="auto" w:fill="auto"/>
            <w:vAlign w:val="center"/>
            <w:hideMark/>
          </w:tcPr>
          <w:p w14:paraId="26C5A912"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8" w:space="0" w:color="auto"/>
              <w:right w:val="single" w:sz="4" w:space="0" w:color="auto"/>
            </w:tcBorders>
            <w:shd w:val="clear" w:color="auto" w:fill="auto"/>
            <w:vAlign w:val="center"/>
            <w:hideMark/>
          </w:tcPr>
          <w:p w14:paraId="07F3ECD0"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8" w:space="0" w:color="auto"/>
              <w:right w:val="single" w:sz="4" w:space="0" w:color="auto"/>
            </w:tcBorders>
            <w:shd w:val="clear" w:color="auto" w:fill="auto"/>
            <w:vAlign w:val="center"/>
            <w:hideMark/>
          </w:tcPr>
          <w:p w14:paraId="33D08FCD"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8" w:space="0" w:color="auto"/>
              <w:right w:val="single" w:sz="4" w:space="0" w:color="auto"/>
            </w:tcBorders>
            <w:shd w:val="clear" w:color="auto" w:fill="auto"/>
            <w:vAlign w:val="center"/>
            <w:hideMark/>
          </w:tcPr>
          <w:p w14:paraId="632973B4" w14:textId="77777777" w:rsidR="00572995" w:rsidRPr="00483EBE" w:rsidRDefault="00572995" w:rsidP="00E8324D">
            <w:pPr>
              <w:pStyle w:val="Tablas"/>
              <w:rPr>
                <w:sz w:val="12"/>
                <w:szCs w:val="12"/>
              </w:rPr>
            </w:pPr>
            <w:r w:rsidRPr="00483EBE">
              <w:rPr>
                <w:sz w:val="12"/>
                <w:szCs w:val="12"/>
              </w:rPr>
              <w:t> </w:t>
            </w:r>
          </w:p>
        </w:tc>
        <w:tc>
          <w:tcPr>
            <w:tcW w:w="0" w:type="auto"/>
            <w:tcBorders>
              <w:top w:val="nil"/>
              <w:left w:val="nil"/>
              <w:bottom w:val="single" w:sz="8" w:space="0" w:color="auto"/>
              <w:right w:val="single" w:sz="4" w:space="0" w:color="auto"/>
            </w:tcBorders>
            <w:shd w:val="clear" w:color="auto" w:fill="auto"/>
            <w:vAlign w:val="center"/>
            <w:hideMark/>
          </w:tcPr>
          <w:p w14:paraId="48489E20" w14:textId="77777777" w:rsidR="00572995" w:rsidRPr="00483EBE" w:rsidRDefault="00572995" w:rsidP="00E8324D">
            <w:pPr>
              <w:pStyle w:val="Tablas"/>
              <w:rPr>
                <w:sz w:val="12"/>
                <w:szCs w:val="12"/>
              </w:rPr>
            </w:pPr>
            <w:r w:rsidRPr="00483EBE">
              <w:rPr>
                <w:sz w:val="12"/>
                <w:szCs w:val="12"/>
              </w:rPr>
              <w:t> </w:t>
            </w:r>
          </w:p>
        </w:tc>
        <w:tc>
          <w:tcPr>
            <w:tcW w:w="582" w:type="dxa"/>
            <w:tcBorders>
              <w:top w:val="nil"/>
              <w:left w:val="nil"/>
              <w:bottom w:val="single" w:sz="8" w:space="0" w:color="auto"/>
              <w:right w:val="single" w:sz="8" w:space="0" w:color="auto"/>
            </w:tcBorders>
            <w:shd w:val="clear" w:color="auto" w:fill="auto"/>
            <w:vAlign w:val="center"/>
            <w:hideMark/>
          </w:tcPr>
          <w:p w14:paraId="24E71462" w14:textId="77777777" w:rsidR="00572995" w:rsidRPr="00483EBE" w:rsidRDefault="00572995" w:rsidP="00E8324D">
            <w:pPr>
              <w:pStyle w:val="Tablas"/>
              <w:rPr>
                <w:sz w:val="12"/>
                <w:szCs w:val="12"/>
              </w:rPr>
            </w:pPr>
            <w:r w:rsidRPr="00483EBE">
              <w:rPr>
                <w:sz w:val="12"/>
                <w:szCs w:val="12"/>
              </w:rPr>
              <w:t> </w:t>
            </w:r>
          </w:p>
        </w:tc>
      </w:tr>
    </w:tbl>
    <w:p w14:paraId="2C41CE2B" w14:textId="77777777" w:rsidR="00CA2DCE" w:rsidRPr="00C56EC9" w:rsidRDefault="00CA2DCE" w:rsidP="00AB47C8">
      <w:pPr>
        <w:rPr>
          <w:b/>
          <w:bCs/>
          <w:lang w:val="es-419"/>
        </w:rPr>
      </w:pPr>
    </w:p>
    <w:p w14:paraId="13B17B1F" w14:textId="024F3BFD" w:rsidR="00EE39AA" w:rsidRPr="00C56EC9" w:rsidRDefault="00EE39AA" w:rsidP="00EE39AA">
      <w:pPr>
        <w:jc w:val="center"/>
        <w:rPr>
          <w:b/>
          <w:bCs/>
          <w:lang w:val="es-419"/>
        </w:rPr>
      </w:pPr>
      <w:r w:rsidRPr="00C56EC9">
        <w:rPr>
          <w:b/>
          <w:bCs/>
          <w:lang w:val="es-419"/>
        </w:rPr>
        <w:t>*********** FIN DEL DOCUMENTO ***********</w:t>
      </w:r>
    </w:p>
    <w:sectPr w:rsidR="00EE39AA" w:rsidRPr="00C56EC9" w:rsidSect="00710F49">
      <w:pgSz w:w="16838" w:h="11906" w:orient="landscape"/>
      <w:pgMar w:top="567" w:right="284" w:bottom="567" w:left="28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31F6" w14:textId="77777777" w:rsidR="00117647" w:rsidRDefault="00117647" w:rsidP="00D70C09">
      <w:pPr>
        <w:spacing w:after="0" w:line="240" w:lineRule="auto"/>
      </w:pPr>
      <w:r>
        <w:separator/>
      </w:r>
    </w:p>
  </w:endnote>
  <w:endnote w:type="continuationSeparator" w:id="0">
    <w:p w14:paraId="11563984" w14:textId="77777777" w:rsidR="00117647" w:rsidRDefault="00117647" w:rsidP="00D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52386"/>
      <w:docPartObj>
        <w:docPartGallery w:val="Page Numbers (Bottom of Page)"/>
        <w:docPartUnique/>
      </w:docPartObj>
    </w:sdtPr>
    <w:sdtEndPr/>
    <w:sdtContent>
      <w:p w14:paraId="0EA24E17" w14:textId="57C9F4D8" w:rsidR="005B703C" w:rsidRDefault="005B703C">
        <w:pPr>
          <w:pStyle w:val="Piedepgina"/>
          <w:jc w:val="right"/>
        </w:pPr>
        <w:r>
          <w:fldChar w:fldCharType="begin"/>
        </w:r>
        <w:r>
          <w:instrText>PAGE   \* MERGEFORMAT</w:instrText>
        </w:r>
        <w:r>
          <w:fldChar w:fldCharType="separate"/>
        </w:r>
        <w:r>
          <w:rPr>
            <w:lang w:val="es-MX"/>
          </w:rPr>
          <w:t>2</w:t>
        </w:r>
        <w:r>
          <w:fldChar w:fldCharType="end"/>
        </w:r>
      </w:p>
    </w:sdtContent>
  </w:sdt>
  <w:p w14:paraId="4689A99E" w14:textId="77777777" w:rsidR="005B703C" w:rsidRDefault="005B70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447D" w14:textId="77777777" w:rsidR="00117647" w:rsidRDefault="00117647" w:rsidP="00D70C09">
      <w:pPr>
        <w:spacing w:after="0" w:line="240" w:lineRule="auto"/>
      </w:pPr>
      <w:r>
        <w:separator/>
      </w:r>
    </w:p>
  </w:footnote>
  <w:footnote w:type="continuationSeparator" w:id="0">
    <w:p w14:paraId="611AE8BF" w14:textId="77777777" w:rsidR="00117647" w:rsidRDefault="00117647" w:rsidP="00D7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53E"/>
    <w:multiLevelType w:val="hybridMultilevel"/>
    <w:tmpl w:val="D17AAD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77CA"/>
    <w:multiLevelType w:val="hybridMultilevel"/>
    <w:tmpl w:val="D17AAD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25BFF"/>
    <w:multiLevelType w:val="hybridMultilevel"/>
    <w:tmpl w:val="31A6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65F38"/>
    <w:multiLevelType w:val="hybridMultilevel"/>
    <w:tmpl w:val="6FC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F66FE"/>
    <w:multiLevelType w:val="hybridMultilevel"/>
    <w:tmpl w:val="DA1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8A"/>
    <w:rsid w:val="00006A52"/>
    <w:rsid w:val="00011A84"/>
    <w:rsid w:val="00017A6E"/>
    <w:rsid w:val="00046538"/>
    <w:rsid w:val="00056C22"/>
    <w:rsid w:val="00072517"/>
    <w:rsid w:val="00084994"/>
    <w:rsid w:val="00084D4E"/>
    <w:rsid w:val="000A5326"/>
    <w:rsid w:val="000C7DF2"/>
    <w:rsid w:val="000D2B67"/>
    <w:rsid w:val="000D63C2"/>
    <w:rsid w:val="000D7230"/>
    <w:rsid w:val="000F416E"/>
    <w:rsid w:val="000F53C9"/>
    <w:rsid w:val="000F6C42"/>
    <w:rsid w:val="00103FB0"/>
    <w:rsid w:val="00110F42"/>
    <w:rsid w:val="00111579"/>
    <w:rsid w:val="00117647"/>
    <w:rsid w:val="00136554"/>
    <w:rsid w:val="001435B8"/>
    <w:rsid w:val="00154EFE"/>
    <w:rsid w:val="001667C1"/>
    <w:rsid w:val="00172FFC"/>
    <w:rsid w:val="00176847"/>
    <w:rsid w:val="001922D0"/>
    <w:rsid w:val="00196786"/>
    <w:rsid w:val="00196943"/>
    <w:rsid w:val="001B6FC1"/>
    <w:rsid w:val="001C291D"/>
    <w:rsid w:val="001C5910"/>
    <w:rsid w:val="001C6B4D"/>
    <w:rsid w:val="001C7888"/>
    <w:rsid w:val="001D69F9"/>
    <w:rsid w:val="001F5D32"/>
    <w:rsid w:val="00204A99"/>
    <w:rsid w:val="00211AB1"/>
    <w:rsid w:val="00243478"/>
    <w:rsid w:val="00255931"/>
    <w:rsid w:val="00261888"/>
    <w:rsid w:val="002708DF"/>
    <w:rsid w:val="00270FF2"/>
    <w:rsid w:val="00273D22"/>
    <w:rsid w:val="002867A7"/>
    <w:rsid w:val="00292D07"/>
    <w:rsid w:val="002B3268"/>
    <w:rsid w:val="002D1799"/>
    <w:rsid w:val="002D5AF0"/>
    <w:rsid w:val="0031501F"/>
    <w:rsid w:val="003221B2"/>
    <w:rsid w:val="00327DAF"/>
    <w:rsid w:val="00337BCA"/>
    <w:rsid w:val="00341BEF"/>
    <w:rsid w:val="0034515F"/>
    <w:rsid w:val="00372FAE"/>
    <w:rsid w:val="003735D6"/>
    <w:rsid w:val="00391D43"/>
    <w:rsid w:val="00392E20"/>
    <w:rsid w:val="003A1255"/>
    <w:rsid w:val="003A7B76"/>
    <w:rsid w:val="003B5761"/>
    <w:rsid w:val="003B7B7D"/>
    <w:rsid w:val="003C5982"/>
    <w:rsid w:val="003E0D36"/>
    <w:rsid w:val="003E2FEC"/>
    <w:rsid w:val="004263D5"/>
    <w:rsid w:val="00433A16"/>
    <w:rsid w:val="004436CB"/>
    <w:rsid w:val="00470DEA"/>
    <w:rsid w:val="00483EBE"/>
    <w:rsid w:val="0049557E"/>
    <w:rsid w:val="004C3EA9"/>
    <w:rsid w:val="004D176D"/>
    <w:rsid w:val="004E07D6"/>
    <w:rsid w:val="004E23DA"/>
    <w:rsid w:val="004F2D64"/>
    <w:rsid w:val="004F3BA0"/>
    <w:rsid w:val="004F4355"/>
    <w:rsid w:val="00500CE1"/>
    <w:rsid w:val="0051514B"/>
    <w:rsid w:val="00525E2C"/>
    <w:rsid w:val="00526074"/>
    <w:rsid w:val="00535362"/>
    <w:rsid w:val="00545921"/>
    <w:rsid w:val="00561E63"/>
    <w:rsid w:val="00563ECC"/>
    <w:rsid w:val="0056650C"/>
    <w:rsid w:val="0057156E"/>
    <w:rsid w:val="00572995"/>
    <w:rsid w:val="00582512"/>
    <w:rsid w:val="00591027"/>
    <w:rsid w:val="005930E2"/>
    <w:rsid w:val="005951A2"/>
    <w:rsid w:val="005A2D71"/>
    <w:rsid w:val="005B703C"/>
    <w:rsid w:val="005C298D"/>
    <w:rsid w:val="005C4C14"/>
    <w:rsid w:val="005C708C"/>
    <w:rsid w:val="005C73F6"/>
    <w:rsid w:val="005D458A"/>
    <w:rsid w:val="005D5DBD"/>
    <w:rsid w:val="005E66D2"/>
    <w:rsid w:val="005F4374"/>
    <w:rsid w:val="005F4757"/>
    <w:rsid w:val="00601DAB"/>
    <w:rsid w:val="00605A2E"/>
    <w:rsid w:val="00612101"/>
    <w:rsid w:val="00615FD0"/>
    <w:rsid w:val="006304E6"/>
    <w:rsid w:val="006305E7"/>
    <w:rsid w:val="00662ED9"/>
    <w:rsid w:val="006724EB"/>
    <w:rsid w:val="00674F0F"/>
    <w:rsid w:val="006816E4"/>
    <w:rsid w:val="00681949"/>
    <w:rsid w:val="00696FC0"/>
    <w:rsid w:val="0069745C"/>
    <w:rsid w:val="00697B31"/>
    <w:rsid w:val="006B066C"/>
    <w:rsid w:val="006B2995"/>
    <w:rsid w:val="006C5067"/>
    <w:rsid w:val="006E380C"/>
    <w:rsid w:val="006E41B8"/>
    <w:rsid w:val="007025D2"/>
    <w:rsid w:val="00704CB0"/>
    <w:rsid w:val="0070533E"/>
    <w:rsid w:val="00710F49"/>
    <w:rsid w:val="00713570"/>
    <w:rsid w:val="00716C0D"/>
    <w:rsid w:val="0071756E"/>
    <w:rsid w:val="00717D7D"/>
    <w:rsid w:val="007367D5"/>
    <w:rsid w:val="00740904"/>
    <w:rsid w:val="00747A1E"/>
    <w:rsid w:val="00765F18"/>
    <w:rsid w:val="007851D5"/>
    <w:rsid w:val="007A1539"/>
    <w:rsid w:val="007A1AA8"/>
    <w:rsid w:val="007B4F9A"/>
    <w:rsid w:val="007B6E52"/>
    <w:rsid w:val="007C3AB2"/>
    <w:rsid w:val="007D0AE1"/>
    <w:rsid w:val="007E7FF4"/>
    <w:rsid w:val="007F5007"/>
    <w:rsid w:val="00804B30"/>
    <w:rsid w:val="0081111F"/>
    <w:rsid w:val="00816306"/>
    <w:rsid w:val="00820969"/>
    <w:rsid w:val="0083779F"/>
    <w:rsid w:val="00845D43"/>
    <w:rsid w:val="0085574E"/>
    <w:rsid w:val="008562A2"/>
    <w:rsid w:val="00885E8F"/>
    <w:rsid w:val="00887702"/>
    <w:rsid w:val="0089718A"/>
    <w:rsid w:val="008A06BE"/>
    <w:rsid w:val="008A10AD"/>
    <w:rsid w:val="008B2A02"/>
    <w:rsid w:val="008B5811"/>
    <w:rsid w:val="008C0AE8"/>
    <w:rsid w:val="008C5B07"/>
    <w:rsid w:val="008D3117"/>
    <w:rsid w:val="008D7987"/>
    <w:rsid w:val="00913BB9"/>
    <w:rsid w:val="009237CB"/>
    <w:rsid w:val="00926674"/>
    <w:rsid w:val="0094135B"/>
    <w:rsid w:val="00950764"/>
    <w:rsid w:val="00957568"/>
    <w:rsid w:val="00962CB0"/>
    <w:rsid w:val="00974C6B"/>
    <w:rsid w:val="00975ACD"/>
    <w:rsid w:val="009772A3"/>
    <w:rsid w:val="00977610"/>
    <w:rsid w:val="00981FEE"/>
    <w:rsid w:val="00993BF2"/>
    <w:rsid w:val="0099693D"/>
    <w:rsid w:val="009B0AA4"/>
    <w:rsid w:val="009B12C8"/>
    <w:rsid w:val="009B3E83"/>
    <w:rsid w:val="009C5575"/>
    <w:rsid w:val="009D4ADC"/>
    <w:rsid w:val="009D6758"/>
    <w:rsid w:val="009D75AE"/>
    <w:rsid w:val="009E1E40"/>
    <w:rsid w:val="00A024C6"/>
    <w:rsid w:val="00A16321"/>
    <w:rsid w:val="00A30E71"/>
    <w:rsid w:val="00A403F1"/>
    <w:rsid w:val="00A724FF"/>
    <w:rsid w:val="00A7320C"/>
    <w:rsid w:val="00A84CC2"/>
    <w:rsid w:val="00A85C74"/>
    <w:rsid w:val="00A87FA4"/>
    <w:rsid w:val="00AA67FE"/>
    <w:rsid w:val="00AB43D9"/>
    <w:rsid w:val="00AB47C8"/>
    <w:rsid w:val="00AC40B2"/>
    <w:rsid w:val="00AC620B"/>
    <w:rsid w:val="00AC6BAA"/>
    <w:rsid w:val="00AE6B42"/>
    <w:rsid w:val="00B03740"/>
    <w:rsid w:val="00B04BA6"/>
    <w:rsid w:val="00B06600"/>
    <w:rsid w:val="00B1578E"/>
    <w:rsid w:val="00B24233"/>
    <w:rsid w:val="00B40291"/>
    <w:rsid w:val="00B40AF0"/>
    <w:rsid w:val="00B53CAF"/>
    <w:rsid w:val="00B55400"/>
    <w:rsid w:val="00B600B1"/>
    <w:rsid w:val="00B64C98"/>
    <w:rsid w:val="00B66CAB"/>
    <w:rsid w:val="00B66E46"/>
    <w:rsid w:val="00B66FD4"/>
    <w:rsid w:val="00B74999"/>
    <w:rsid w:val="00B91057"/>
    <w:rsid w:val="00BA4F81"/>
    <w:rsid w:val="00BA733D"/>
    <w:rsid w:val="00BA736A"/>
    <w:rsid w:val="00BB42F2"/>
    <w:rsid w:val="00BC1F53"/>
    <w:rsid w:val="00BD22E1"/>
    <w:rsid w:val="00BE5007"/>
    <w:rsid w:val="00C01B60"/>
    <w:rsid w:val="00C0442B"/>
    <w:rsid w:val="00C117AF"/>
    <w:rsid w:val="00C13513"/>
    <w:rsid w:val="00C201E8"/>
    <w:rsid w:val="00C5167F"/>
    <w:rsid w:val="00C56EC9"/>
    <w:rsid w:val="00C67299"/>
    <w:rsid w:val="00C7198A"/>
    <w:rsid w:val="00C73701"/>
    <w:rsid w:val="00C7386F"/>
    <w:rsid w:val="00C74100"/>
    <w:rsid w:val="00C83743"/>
    <w:rsid w:val="00C930DF"/>
    <w:rsid w:val="00C93CA0"/>
    <w:rsid w:val="00C94000"/>
    <w:rsid w:val="00CA2DCE"/>
    <w:rsid w:val="00CA6090"/>
    <w:rsid w:val="00CC15C9"/>
    <w:rsid w:val="00CC65F5"/>
    <w:rsid w:val="00CE1D8B"/>
    <w:rsid w:val="00CE294A"/>
    <w:rsid w:val="00D0712F"/>
    <w:rsid w:val="00D21E8C"/>
    <w:rsid w:val="00D32774"/>
    <w:rsid w:val="00D35916"/>
    <w:rsid w:val="00D42398"/>
    <w:rsid w:val="00D4607B"/>
    <w:rsid w:val="00D53548"/>
    <w:rsid w:val="00D56753"/>
    <w:rsid w:val="00D574D6"/>
    <w:rsid w:val="00D70C09"/>
    <w:rsid w:val="00D71036"/>
    <w:rsid w:val="00DA1230"/>
    <w:rsid w:val="00DA22B0"/>
    <w:rsid w:val="00DB1F2D"/>
    <w:rsid w:val="00DD14BF"/>
    <w:rsid w:val="00DE5BFD"/>
    <w:rsid w:val="00E00070"/>
    <w:rsid w:val="00E04C18"/>
    <w:rsid w:val="00E13E3B"/>
    <w:rsid w:val="00E209AA"/>
    <w:rsid w:val="00E27790"/>
    <w:rsid w:val="00E34757"/>
    <w:rsid w:val="00E43130"/>
    <w:rsid w:val="00E50371"/>
    <w:rsid w:val="00E51F71"/>
    <w:rsid w:val="00E57DAF"/>
    <w:rsid w:val="00E64223"/>
    <w:rsid w:val="00E735E6"/>
    <w:rsid w:val="00E8324D"/>
    <w:rsid w:val="00E93684"/>
    <w:rsid w:val="00E93838"/>
    <w:rsid w:val="00EB742F"/>
    <w:rsid w:val="00EC2801"/>
    <w:rsid w:val="00EC787A"/>
    <w:rsid w:val="00ED3AD8"/>
    <w:rsid w:val="00EE25CA"/>
    <w:rsid w:val="00EE39AA"/>
    <w:rsid w:val="00EE72F7"/>
    <w:rsid w:val="00F065DB"/>
    <w:rsid w:val="00F1773F"/>
    <w:rsid w:val="00F31F6F"/>
    <w:rsid w:val="00F3270C"/>
    <w:rsid w:val="00F4097E"/>
    <w:rsid w:val="00F41018"/>
    <w:rsid w:val="00F47EA2"/>
    <w:rsid w:val="00F53829"/>
    <w:rsid w:val="00F57083"/>
    <w:rsid w:val="00F71EBE"/>
    <w:rsid w:val="00F72C6E"/>
    <w:rsid w:val="00F74C4C"/>
    <w:rsid w:val="00F90C64"/>
    <w:rsid w:val="00F91803"/>
    <w:rsid w:val="00FB4CFB"/>
    <w:rsid w:val="00FC0454"/>
    <w:rsid w:val="00FC4F03"/>
    <w:rsid w:val="00FE1810"/>
    <w:rsid w:val="00FE3FE2"/>
    <w:rsid w:val="00FF1B60"/>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E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2A"/>
    <w:pPr>
      <w:spacing w:line="360" w:lineRule="auto"/>
      <w:jc w:val="both"/>
    </w:pPr>
    <w:rPr>
      <w:rFonts w:ascii="Book Antiqua" w:hAnsi="Book Antiqua"/>
      <w:sz w:val="24"/>
    </w:rPr>
  </w:style>
  <w:style w:type="paragraph" w:styleId="Ttulo1">
    <w:name w:val="heading 1"/>
    <w:basedOn w:val="Normal"/>
    <w:next w:val="Normal"/>
    <w:link w:val="Ttulo1Car"/>
    <w:uiPriority w:val="9"/>
    <w:qFormat/>
    <w:rsid w:val="00AC6BAA"/>
    <w:pPr>
      <w:keepNext/>
      <w:keepLines/>
      <w:spacing w:before="360" w:after="80" w:line="240" w:lineRule="auto"/>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CE294A"/>
    <w:pPr>
      <w:keepNext/>
      <w:keepLines/>
      <w:spacing w:before="160" w:after="80" w:line="240" w:lineRule="auto"/>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8971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71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71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71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71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71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71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6BAA"/>
    <w:rPr>
      <w:rFonts w:ascii="Book Antiqua" w:eastAsiaTheme="majorEastAsia" w:hAnsi="Book Antiqua" w:cstheme="majorBidi"/>
      <w:b/>
      <w:sz w:val="28"/>
      <w:szCs w:val="40"/>
    </w:rPr>
  </w:style>
  <w:style w:type="character" w:customStyle="1" w:styleId="Ttulo2Car">
    <w:name w:val="Título 2 Car"/>
    <w:basedOn w:val="Fuentedeprrafopredeter"/>
    <w:link w:val="Ttulo2"/>
    <w:uiPriority w:val="9"/>
    <w:rsid w:val="00CE294A"/>
    <w:rPr>
      <w:rFonts w:ascii="Book Antiqua" w:eastAsiaTheme="majorEastAsia" w:hAnsi="Book Antiqua" w:cstheme="majorBidi"/>
      <w:b/>
      <w:sz w:val="24"/>
      <w:szCs w:val="32"/>
    </w:rPr>
  </w:style>
  <w:style w:type="character" w:customStyle="1" w:styleId="Ttulo3Car">
    <w:name w:val="Título 3 Car"/>
    <w:basedOn w:val="Fuentedeprrafopredeter"/>
    <w:link w:val="Ttulo3"/>
    <w:uiPriority w:val="9"/>
    <w:semiHidden/>
    <w:rsid w:val="008971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71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71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71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71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71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718A"/>
    <w:rPr>
      <w:rFonts w:eastAsiaTheme="majorEastAsia" w:cstheme="majorBidi"/>
      <w:color w:val="272727" w:themeColor="text1" w:themeTint="D8"/>
    </w:rPr>
  </w:style>
  <w:style w:type="paragraph" w:styleId="Ttulo">
    <w:name w:val="Title"/>
    <w:basedOn w:val="Normal"/>
    <w:next w:val="Normal"/>
    <w:link w:val="TtuloCar"/>
    <w:uiPriority w:val="10"/>
    <w:qFormat/>
    <w:rsid w:val="0089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71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71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71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718A"/>
    <w:pPr>
      <w:spacing w:before="160"/>
      <w:jc w:val="center"/>
    </w:pPr>
    <w:rPr>
      <w:i/>
      <w:iCs/>
      <w:color w:val="404040" w:themeColor="text1" w:themeTint="BF"/>
    </w:rPr>
  </w:style>
  <w:style w:type="character" w:customStyle="1" w:styleId="CitaCar">
    <w:name w:val="Cita Car"/>
    <w:basedOn w:val="Fuentedeprrafopredeter"/>
    <w:link w:val="Cita"/>
    <w:uiPriority w:val="29"/>
    <w:rsid w:val="0089718A"/>
    <w:rPr>
      <w:i/>
      <w:iCs/>
      <w:color w:val="404040" w:themeColor="text1" w:themeTint="BF"/>
    </w:rPr>
  </w:style>
  <w:style w:type="paragraph" w:styleId="Prrafodelista">
    <w:name w:val="List Paragraph"/>
    <w:basedOn w:val="Normal"/>
    <w:uiPriority w:val="34"/>
    <w:qFormat/>
    <w:rsid w:val="0089718A"/>
    <w:pPr>
      <w:ind w:left="720"/>
      <w:contextualSpacing/>
    </w:pPr>
  </w:style>
  <w:style w:type="character" w:styleId="nfasisintenso">
    <w:name w:val="Intense Emphasis"/>
    <w:basedOn w:val="Fuentedeprrafopredeter"/>
    <w:uiPriority w:val="21"/>
    <w:qFormat/>
    <w:rsid w:val="0089718A"/>
    <w:rPr>
      <w:i/>
      <w:iCs/>
      <w:color w:val="0F4761" w:themeColor="accent1" w:themeShade="BF"/>
    </w:rPr>
  </w:style>
  <w:style w:type="paragraph" w:styleId="Citadestacada">
    <w:name w:val="Intense Quote"/>
    <w:basedOn w:val="Normal"/>
    <w:next w:val="Normal"/>
    <w:link w:val="CitadestacadaCar"/>
    <w:uiPriority w:val="30"/>
    <w:qFormat/>
    <w:rsid w:val="0089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718A"/>
    <w:rPr>
      <w:i/>
      <w:iCs/>
      <w:color w:val="0F4761" w:themeColor="accent1" w:themeShade="BF"/>
    </w:rPr>
  </w:style>
  <w:style w:type="character" w:styleId="Referenciaintensa">
    <w:name w:val="Intense Reference"/>
    <w:basedOn w:val="Fuentedeprrafopredeter"/>
    <w:uiPriority w:val="32"/>
    <w:qFormat/>
    <w:rsid w:val="0089718A"/>
    <w:rPr>
      <w:b/>
      <w:bCs/>
      <w:smallCaps/>
      <w:color w:val="0F4761" w:themeColor="accent1" w:themeShade="BF"/>
      <w:spacing w:val="5"/>
    </w:rPr>
  </w:style>
  <w:style w:type="paragraph" w:styleId="Sinespaciado">
    <w:name w:val="No Spacing"/>
    <w:link w:val="SinespaciadoCar"/>
    <w:uiPriority w:val="1"/>
    <w:qFormat/>
    <w:rsid w:val="006C5067"/>
    <w:pPr>
      <w:spacing w:after="0" w:line="240" w:lineRule="auto"/>
      <w:jc w:val="both"/>
    </w:pPr>
    <w:rPr>
      <w:rFonts w:ascii="Book Antiqua" w:hAnsi="Book Antiqua"/>
      <w:sz w:val="24"/>
    </w:rPr>
  </w:style>
  <w:style w:type="paragraph" w:customStyle="1" w:styleId="Grfico">
    <w:name w:val="Gráfico"/>
    <w:basedOn w:val="Normal"/>
    <w:link w:val="GrficoChar"/>
    <w:qFormat/>
    <w:rsid w:val="00327DAF"/>
    <w:pPr>
      <w:spacing w:before="120" w:after="120" w:line="240" w:lineRule="auto"/>
      <w:jc w:val="center"/>
    </w:pPr>
    <w:rPr>
      <w:rFonts w:ascii="Times New Roman" w:hAnsi="Times New Roman"/>
      <w:kern w:val="0"/>
      <w:sz w:val="18"/>
      <w:szCs w:val="20"/>
      <w:lang w:val="es-419"/>
      <w14:ligatures w14:val="none"/>
    </w:rPr>
  </w:style>
  <w:style w:type="character" w:customStyle="1" w:styleId="GrficoChar">
    <w:name w:val="Gráfico Char"/>
    <w:basedOn w:val="Fuentedeprrafopredeter"/>
    <w:link w:val="Grfico"/>
    <w:rsid w:val="00327DAF"/>
    <w:rPr>
      <w:rFonts w:ascii="Times New Roman" w:hAnsi="Times New Roman"/>
      <w:kern w:val="0"/>
      <w:sz w:val="18"/>
      <w:szCs w:val="20"/>
      <w:lang w:val="es-419"/>
      <w14:ligatures w14:val="none"/>
    </w:rPr>
  </w:style>
  <w:style w:type="paragraph" w:customStyle="1" w:styleId="Captionfiguras">
    <w:name w:val="Caption figuras"/>
    <w:basedOn w:val="Normal"/>
    <w:link w:val="CaptionfigurasChar"/>
    <w:qFormat/>
    <w:rsid w:val="008B2A02"/>
    <w:pPr>
      <w:spacing w:after="0" w:line="240" w:lineRule="auto"/>
      <w:jc w:val="center"/>
    </w:pPr>
    <w:rPr>
      <w:rFonts w:ascii="Times New Roman" w:hAnsi="Times New Roman"/>
      <w:kern w:val="0"/>
      <w:sz w:val="18"/>
      <w:szCs w:val="16"/>
      <w:lang w:val="es-419"/>
      <w14:ligatures w14:val="none"/>
    </w:rPr>
  </w:style>
  <w:style w:type="character" w:customStyle="1" w:styleId="CaptionfigurasChar">
    <w:name w:val="Caption figuras Char"/>
    <w:basedOn w:val="Fuentedeprrafopredeter"/>
    <w:link w:val="Captionfiguras"/>
    <w:rsid w:val="008B2A02"/>
    <w:rPr>
      <w:rFonts w:ascii="Times New Roman" w:hAnsi="Times New Roman"/>
      <w:kern w:val="0"/>
      <w:sz w:val="18"/>
      <w:szCs w:val="16"/>
      <w:lang w:val="es-419"/>
      <w14:ligatures w14:val="none"/>
    </w:rPr>
  </w:style>
  <w:style w:type="paragraph" w:styleId="TtuloTDC">
    <w:name w:val="TOC Heading"/>
    <w:basedOn w:val="Ttulo1"/>
    <w:next w:val="Normal"/>
    <w:uiPriority w:val="39"/>
    <w:unhideWhenUsed/>
    <w:qFormat/>
    <w:rsid w:val="00F72C6E"/>
    <w:pPr>
      <w:spacing w:before="240" w:after="0" w:line="259" w:lineRule="auto"/>
      <w:jc w:val="left"/>
      <w:outlineLvl w:val="9"/>
    </w:pPr>
    <w:rPr>
      <w:rFonts w:asciiTheme="majorHAnsi" w:hAnsiTheme="majorHAnsi"/>
      <w:b w:val="0"/>
      <w:color w:val="0F4761" w:themeColor="accent1" w:themeShade="BF"/>
      <w:kern w:val="0"/>
      <w:sz w:val="32"/>
      <w:szCs w:val="32"/>
      <w:lang w:val="en-US"/>
      <w14:ligatures w14:val="none"/>
    </w:rPr>
  </w:style>
  <w:style w:type="paragraph" w:styleId="TDC1">
    <w:name w:val="toc 1"/>
    <w:basedOn w:val="Normal"/>
    <w:next w:val="Normal"/>
    <w:autoRedefine/>
    <w:uiPriority w:val="39"/>
    <w:unhideWhenUsed/>
    <w:rsid w:val="00F72C6E"/>
    <w:pPr>
      <w:spacing w:after="100"/>
    </w:pPr>
  </w:style>
  <w:style w:type="character" w:styleId="Hipervnculo">
    <w:name w:val="Hyperlink"/>
    <w:basedOn w:val="Fuentedeprrafopredeter"/>
    <w:uiPriority w:val="99"/>
    <w:unhideWhenUsed/>
    <w:rsid w:val="00F72C6E"/>
    <w:rPr>
      <w:color w:val="467886" w:themeColor="hyperlink"/>
      <w:u w:val="single"/>
    </w:rPr>
  </w:style>
  <w:style w:type="paragraph" w:customStyle="1" w:styleId="Tablas">
    <w:name w:val="Tablas"/>
    <w:basedOn w:val="Sinespaciado"/>
    <w:link w:val="TablasChar"/>
    <w:qFormat/>
    <w:rsid w:val="00EC787A"/>
    <w:pPr>
      <w:jc w:val="center"/>
    </w:pPr>
    <w:rPr>
      <w:bCs/>
      <w:sz w:val="20"/>
      <w:szCs w:val="20"/>
      <w:lang w:val="es-419" w:eastAsia="en-GB"/>
    </w:rPr>
  </w:style>
  <w:style w:type="character" w:customStyle="1" w:styleId="SinespaciadoCar">
    <w:name w:val="Sin espaciado Car"/>
    <w:basedOn w:val="Fuentedeprrafopredeter"/>
    <w:link w:val="Sinespaciado"/>
    <w:uiPriority w:val="1"/>
    <w:rsid w:val="00EC787A"/>
    <w:rPr>
      <w:rFonts w:ascii="Book Antiqua" w:hAnsi="Book Antiqua"/>
      <w:sz w:val="24"/>
    </w:rPr>
  </w:style>
  <w:style w:type="character" w:customStyle="1" w:styleId="TablasChar">
    <w:name w:val="Tablas Char"/>
    <w:basedOn w:val="SinespaciadoCar"/>
    <w:link w:val="Tablas"/>
    <w:rsid w:val="00EC787A"/>
    <w:rPr>
      <w:rFonts w:ascii="Book Antiqua" w:hAnsi="Book Antiqua"/>
      <w:bCs/>
      <w:sz w:val="20"/>
      <w:szCs w:val="20"/>
      <w:lang w:val="es-419" w:eastAsia="en-GB"/>
    </w:rPr>
  </w:style>
  <w:style w:type="paragraph" w:styleId="TDC2">
    <w:name w:val="toc 2"/>
    <w:basedOn w:val="Normal"/>
    <w:next w:val="Normal"/>
    <w:autoRedefine/>
    <w:uiPriority w:val="39"/>
    <w:unhideWhenUsed/>
    <w:rsid w:val="00820969"/>
    <w:pPr>
      <w:spacing w:after="100"/>
      <w:ind w:left="240"/>
    </w:pPr>
  </w:style>
  <w:style w:type="paragraph" w:styleId="Descripcin">
    <w:name w:val="caption"/>
    <w:basedOn w:val="Normal"/>
    <w:next w:val="Normal"/>
    <w:uiPriority w:val="35"/>
    <w:unhideWhenUsed/>
    <w:qFormat/>
    <w:rsid w:val="000F53C9"/>
    <w:pPr>
      <w:spacing w:after="0" w:line="240" w:lineRule="auto"/>
      <w:jc w:val="center"/>
    </w:pPr>
    <w:rPr>
      <w:rFonts w:ascii="Times New Roman" w:hAnsi="Times New Roman"/>
      <w:iCs/>
      <w:kern w:val="0"/>
      <w:sz w:val="20"/>
      <w:szCs w:val="18"/>
      <w:lang w:val="es-419"/>
      <w14:ligatures w14:val="none"/>
    </w:rPr>
  </w:style>
  <w:style w:type="paragraph" w:styleId="Encabezado">
    <w:name w:val="header"/>
    <w:basedOn w:val="Normal"/>
    <w:link w:val="EncabezadoCar"/>
    <w:uiPriority w:val="99"/>
    <w:unhideWhenUsed/>
    <w:rsid w:val="00D70C0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70C09"/>
    <w:rPr>
      <w:rFonts w:ascii="Book Antiqua" w:hAnsi="Book Antiqua"/>
      <w:sz w:val="24"/>
    </w:rPr>
  </w:style>
  <w:style w:type="paragraph" w:styleId="Piedepgina">
    <w:name w:val="footer"/>
    <w:basedOn w:val="Normal"/>
    <w:link w:val="PiedepginaCar"/>
    <w:uiPriority w:val="99"/>
    <w:unhideWhenUsed/>
    <w:rsid w:val="00D70C0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70C09"/>
    <w:rPr>
      <w:rFonts w:ascii="Book Antiqua" w:hAnsi="Book Antiqua"/>
      <w:sz w:val="24"/>
    </w:rPr>
  </w:style>
  <w:style w:type="character" w:styleId="Hipervnculovisitado">
    <w:name w:val="FollowedHyperlink"/>
    <w:basedOn w:val="Fuentedeprrafopredeter"/>
    <w:uiPriority w:val="99"/>
    <w:semiHidden/>
    <w:unhideWhenUsed/>
    <w:rsid w:val="004F3BA0"/>
    <w:rPr>
      <w:color w:val="96607D"/>
      <w:u w:val="single"/>
    </w:rPr>
  </w:style>
  <w:style w:type="paragraph" w:customStyle="1" w:styleId="msonormal0">
    <w:name w:val="msonormal"/>
    <w:basedOn w:val="Normal"/>
    <w:rsid w:val="004F3BA0"/>
    <w:pP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67">
    <w:name w:val="xl67"/>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68">
    <w:name w:val="xl68"/>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69">
    <w:name w:val="xl69"/>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0">
    <w:name w:val="xl70"/>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1">
    <w:name w:val="xl71"/>
    <w:basedOn w:val="Normal"/>
    <w:rsid w:val="004F3B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2">
    <w:name w:val="xl72"/>
    <w:basedOn w:val="Normal"/>
    <w:rsid w:val="004F3B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3">
    <w:name w:val="xl73"/>
    <w:basedOn w:val="Normal"/>
    <w:rsid w:val="004F3B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4">
    <w:name w:val="xl74"/>
    <w:basedOn w:val="Normal"/>
    <w:rsid w:val="004F3B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5">
    <w:name w:val="xl75"/>
    <w:basedOn w:val="Normal"/>
    <w:rsid w:val="004F3B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6">
    <w:name w:val="xl76"/>
    <w:basedOn w:val="Normal"/>
    <w:rsid w:val="004F3B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7">
    <w:name w:val="xl77"/>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8">
    <w:name w:val="xl78"/>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79">
    <w:name w:val="xl79"/>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80">
    <w:name w:val="xl80"/>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81">
    <w:name w:val="xl81"/>
    <w:basedOn w:val="Normal"/>
    <w:rsid w:val="004F3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en-GB"/>
      <w14:ligatures w14:val="none"/>
    </w:rPr>
  </w:style>
  <w:style w:type="paragraph" w:customStyle="1" w:styleId="xl82">
    <w:name w:val="xl82"/>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83">
    <w:name w:val="xl83"/>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84">
    <w:name w:val="xl84"/>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85">
    <w:name w:val="xl85"/>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Cs w:val="24"/>
      <w:lang w:eastAsia="en-GB"/>
      <w14:ligatures w14:val="none"/>
    </w:rPr>
  </w:style>
  <w:style w:type="paragraph" w:customStyle="1" w:styleId="xl86">
    <w:name w:val="xl86"/>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en-GB"/>
      <w14:ligatures w14:val="none"/>
    </w:rPr>
  </w:style>
  <w:style w:type="paragraph" w:customStyle="1" w:styleId="xl87">
    <w:name w:val="xl87"/>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en-GB"/>
      <w14:ligatures w14:val="none"/>
    </w:rPr>
  </w:style>
  <w:style w:type="paragraph" w:customStyle="1" w:styleId="xl88">
    <w:name w:val="xl88"/>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en-GB"/>
      <w14:ligatures w14:val="none"/>
    </w:rPr>
  </w:style>
  <w:style w:type="paragraph" w:customStyle="1" w:styleId="xl89">
    <w:name w:val="xl89"/>
    <w:basedOn w:val="Normal"/>
    <w:rsid w:val="00AC40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en-GB"/>
      <w14:ligatures w14:val="none"/>
    </w:rPr>
  </w:style>
  <w:style w:type="paragraph" w:customStyle="1" w:styleId="xl90">
    <w:name w:val="xl90"/>
    <w:basedOn w:val="Normal"/>
    <w:rsid w:val="00AC40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en-GB"/>
      <w14:ligatures w14:val="none"/>
    </w:rPr>
  </w:style>
  <w:style w:type="paragraph" w:customStyle="1" w:styleId="xl91">
    <w:name w:val="xl91"/>
    <w:basedOn w:val="Normal"/>
    <w:rsid w:val="00AC40B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en-GB"/>
      <w14:ligatures w14:val="none"/>
    </w:rPr>
  </w:style>
  <w:style w:type="paragraph" w:customStyle="1" w:styleId="xl92">
    <w:name w:val="xl92"/>
    <w:basedOn w:val="Normal"/>
    <w:rsid w:val="00AC40B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93">
    <w:name w:val="xl93"/>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94">
    <w:name w:val="xl94"/>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Cs w:val="24"/>
      <w:lang w:eastAsia="en-GB"/>
      <w14:ligatures w14:val="none"/>
    </w:rPr>
  </w:style>
  <w:style w:type="paragraph" w:customStyle="1" w:styleId="xl95">
    <w:name w:val="xl95"/>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Cs w:val="24"/>
      <w:lang w:eastAsia="en-GB"/>
      <w14:ligatures w14:val="none"/>
    </w:rPr>
  </w:style>
  <w:style w:type="paragraph" w:customStyle="1" w:styleId="xl96">
    <w:name w:val="xl96"/>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97">
    <w:name w:val="xl97"/>
    <w:basedOn w:val="Normal"/>
    <w:rsid w:val="00AC40B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98">
    <w:name w:val="xl98"/>
    <w:basedOn w:val="Normal"/>
    <w:rsid w:val="00AC40B2"/>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en-GB"/>
      <w14:ligatures w14:val="none"/>
    </w:rPr>
  </w:style>
  <w:style w:type="paragraph" w:customStyle="1" w:styleId="xl99">
    <w:name w:val="xl99"/>
    <w:basedOn w:val="Normal"/>
    <w:rsid w:val="00AC40B2"/>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100">
    <w:name w:val="xl100"/>
    <w:basedOn w:val="Normal"/>
    <w:rsid w:val="00AC40B2"/>
    <w:pPr>
      <w:pBdr>
        <w:top w:val="single" w:sz="4" w:space="0" w:color="auto"/>
        <w:left w:val="single" w:sz="4"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101">
    <w:name w:val="xl101"/>
    <w:basedOn w:val="Normal"/>
    <w:rsid w:val="00AC40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Cs w:val="24"/>
      <w:lang w:eastAsia="en-GB"/>
      <w14:ligatures w14:val="none"/>
    </w:rPr>
  </w:style>
  <w:style w:type="paragraph" w:customStyle="1" w:styleId="xl102">
    <w:name w:val="xl102"/>
    <w:basedOn w:val="Normal"/>
    <w:rsid w:val="00AC40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103">
    <w:name w:val="xl103"/>
    <w:basedOn w:val="Normal"/>
    <w:rsid w:val="00AC40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104">
    <w:name w:val="xl104"/>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 w:type="paragraph" w:customStyle="1" w:styleId="xl105">
    <w:name w:val="xl105"/>
    <w:basedOn w:val="Normal"/>
    <w:rsid w:val="00AC40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55">
      <w:bodyDiv w:val="1"/>
      <w:marLeft w:val="0"/>
      <w:marRight w:val="0"/>
      <w:marTop w:val="0"/>
      <w:marBottom w:val="0"/>
      <w:divBdr>
        <w:top w:val="none" w:sz="0" w:space="0" w:color="auto"/>
        <w:left w:val="none" w:sz="0" w:space="0" w:color="auto"/>
        <w:bottom w:val="none" w:sz="0" w:space="0" w:color="auto"/>
        <w:right w:val="none" w:sz="0" w:space="0" w:color="auto"/>
      </w:divBdr>
    </w:div>
    <w:div w:id="40638236">
      <w:bodyDiv w:val="1"/>
      <w:marLeft w:val="0"/>
      <w:marRight w:val="0"/>
      <w:marTop w:val="0"/>
      <w:marBottom w:val="0"/>
      <w:divBdr>
        <w:top w:val="none" w:sz="0" w:space="0" w:color="auto"/>
        <w:left w:val="none" w:sz="0" w:space="0" w:color="auto"/>
        <w:bottom w:val="none" w:sz="0" w:space="0" w:color="auto"/>
        <w:right w:val="none" w:sz="0" w:space="0" w:color="auto"/>
      </w:divBdr>
    </w:div>
    <w:div w:id="55007559">
      <w:bodyDiv w:val="1"/>
      <w:marLeft w:val="0"/>
      <w:marRight w:val="0"/>
      <w:marTop w:val="0"/>
      <w:marBottom w:val="0"/>
      <w:divBdr>
        <w:top w:val="none" w:sz="0" w:space="0" w:color="auto"/>
        <w:left w:val="none" w:sz="0" w:space="0" w:color="auto"/>
        <w:bottom w:val="none" w:sz="0" w:space="0" w:color="auto"/>
        <w:right w:val="none" w:sz="0" w:space="0" w:color="auto"/>
      </w:divBdr>
    </w:div>
    <w:div w:id="79301972">
      <w:bodyDiv w:val="1"/>
      <w:marLeft w:val="0"/>
      <w:marRight w:val="0"/>
      <w:marTop w:val="0"/>
      <w:marBottom w:val="0"/>
      <w:divBdr>
        <w:top w:val="none" w:sz="0" w:space="0" w:color="auto"/>
        <w:left w:val="none" w:sz="0" w:space="0" w:color="auto"/>
        <w:bottom w:val="none" w:sz="0" w:space="0" w:color="auto"/>
        <w:right w:val="none" w:sz="0" w:space="0" w:color="auto"/>
      </w:divBdr>
    </w:div>
    <w:div w:id="106974597">
      <w:bodyDiv w:val="1"/>
      <w:marLeft w:val="0"/>
      <w:marRight w:val="0"/>
      <w:marTop w:val="0"/>
      <w:marBottom w:val="0"/>
      <w:divBdr>
        <w:top w:val="none" w:sz="0" w:space="0" w:color="auto"/>
        <w:left w:val="none" w:sz="0" w:space="0" w:color="auto"/>
        <w:bottom w:val="none" w:sz="0" w:space="0" w:color="auto"/>
        <w:right w:val="none" w:sz="0" w:space="0" w:color="auto"/>
      </w:divBdr>
    </w:div>
    <w:div w:id="116141023">
      <w:bodyDiv w:val="1"/>
      <w:marLeft w:val="0"/>
      <w:marRight w:val="0"/>
      <w:marTop w:val="0"/>
      <w:marBottom w:val="0"/>
      <w:divBdr>
        <w:top w:val="none" w:sz="0" w:space="0" w:color="auto"/>
        <w:left w:val="none" w:sz="0" w:space="0" w:color="auto"/>
        <w:bottom w:val="none" w:sz="0" w:space="0" w:color="auto"/>
        <w:right w:val="none" w:sz="0" w:space="0" w:color="auto"/>
      </w:divBdr>
    </w:div>
    <w:div w:id="132528600">
      <w:bodyDiv w:val="1"/>
      <w:marLeft w:val="0"/>
      <w:marRight w:val="0"/>
      <w:marTop w:val="0"/>
      <w:marBottom w:val="0"/>
      <w:divBdr>
        <w:top w:val="none" w:sz="0" w:space="0" w:color="auto"/>
        <w:left w:val="none" w:sz="0" w:space="0" w:color="auto"/>
        <w:bottom w:val="none" w:sz="0" w:space="0" w:color="auto"/>
        <w:right w:val="none" w:sz="0" w:space="0" w:color="auto"/>
      </w:divBdr>
    </w:div>
    <w:div w:id="191572957">
      <w:bodyDiv w:val="1"/>
      <w:marLeft w:val="0"/>
      <w:marRight w:val="0"/>
      <w:marTop w:val="0"/>
      <w:marBottom w:val="0"/>
      <w:divBdr>
        <w:top w:val="none" w:sz="0" w:space="0" w:color="auto"/>
        <w:left w:val="none" w:sz="0" w:space="0" w:color="auto"/>
        <w:bottom w:val="none" w:sz="0" w:space="0" w:color="auto"/>
        <w:right w:val="none" w:sz="0" w:space="0" w:color="auto"/>
      </w:divBdr>
    </w:div>
    <w:div w:id="443041055">
      <w:bodyDiv w:val="1"/>
      <w:marLeft w:val="0"/>
      <w:marRight w:val="0"/>
      <w:marTop w:val="0"/>
      <w:marBottom w:val="0"/>
      <w:divBdr>
        <w:top w:val="none" w:sz="0" w:space="0" w:color="auto"/>
        <w:left w:val="none" w:sz="0" w:space="0" w:color="auto"/>
        <w:bottom w:val="none" w:sz="0" w:space="0" w:color="auto"/>
        <w:right w:val="none" w:sz="0" w:space="0" w:color="auto"/>
      </w:divBdr>
    </w:div>
    <w:div w:id="587465343">
      <w:bodyDiv w:val="1"/>
      <w:marLeft w:val="0"/>
      <w:marRight w:val="0"/>
      <w:marTop w:val="0"/>
      <w:marBottom w:val="0"/>
      <w:divBdr>
        <w:top w:val="none" w:sz="0" w:space="0" w:color="auto"/>
        <w:left w:val="none" w:sz="0" w:space="0" w:color="auto"/>
        <w:bottom w:val="none" w:sz="0" w:space="0" w:color="auto"/>
        <w:right w:val="none" w:sz="0" w:space="0" w:color="auto"/>
      </w:divBdr>
    </w:div>
    <w:div w:id="685441826">
      <w:bodyDiv w:val="1"/>
      <w:marLeft w:val="0"/>
      <w:marRight w:val="0"/>
      <w:marTop w:val="0"/>
      <w:marBottom w:val="0"/>
      <w:divBdr>
        <w:top w:val="none" w:sz="0" w:space="0" w:color="auto"/>
        <w:left w:val="none" w:sz="0" w:space="0" w:color="auto"/>
        <w:bottom w:val="none" w:sz="0" w:space="0" w:color="auto"/>
        <w:right w:val="none" w:sz="0" w:space="0" w:color="auto"/>
      </w:divBdr>
    </w:div>
    <w:div w:id="685600858">
      <w:bodyDiv w:val="1"/>
      <w:marLeft w:val="0"/>
      <w:marRight w:val="0"/>
      <w:marTop w:val="0"/>
      <w:marBottom w:val="0"/>
      <w:divBdr>
        <w:top w:val="none" w:sz="0" w:space="0" w:color="auto"/>
        <w:left w:val="none" w:sz="0" w:space="0" w:color="auto"/>
        <w:bottom w:val="none" w:sz="0" w:space="0" w:color="auto"/>
        <w:right w:val="none" w:sz="0" w:space="0" w:color="auto"/>
      </w:divBdr>
    </w:div>
    <w:div w:id="847989102">
      <w:bodyDiv w:val="1"/>
      <w:marLeft w:val="0"/>
      <w:marRight w:val="0"/>
      <w:marTop w:val="0"/>
      <w:marBottom w:val="0"/>
      <w:divBdr>
        <w:top w:val="none" w:sz="0" w:space="0" w:color="auto"/>
        <w:left w:val="none" w:sz="0" w:space="0" w:color="auto"/>
        <w:bottom w:val="none" w:sz="0" w:space="0" w:color="auto"/>
        <w:right w:val="none" w:sz="0" w:space="0" w:color="auto"/>
      </w:divBdr>
    </w:div>
    <w:div w:id="906571652">
      <w:bodyDiv w:val="1"/>
      <w:marLeft w:val="0"/>
      <w:marRight w:val="0"/>
      <w:marTop w:val="0"/>
      <w:marBottom w:val="0"/>
      <w:divBdr>
        <w:top w:val="none" w:sz="0" w:space="0" w:color="auto"/>
        <w:left w:val="none" w:sz="0" w:space="0" w:color="auto"/>
        <w:bottom w:val="none" w:sz="0" w:space="0" w:color="auto"/>
        <w:right w:val="none" w:sz="0" w:space="0" w:color="auto"/>
      </w:divBdr>
    </w:div>
    <w:div w:id="907954500">
      <w:bodyDiv w:val="1"/>
      <w:marLeft w:val="0"/>
      <w:marRight w:val="0"/>
      <w:marTop w:val="0"/>
      <w:marBottom w:val="0"/>
      <w:divBdr>
        <w:top w:val="none" w:sz="0" w:space="0" w:color="auto"/>
        <w:left w:val="none" w:sz="0" w:space="0" w:color="auto"/>
        <w:bottom w:val="none" w:sz="0" w:space="0" w:color="auto"/>
        <w:right w:val="none" w:sz="0" w:space="0" w:color="auto"/>
      </w:divBdr>
    </w:div>
    <w:div w:id="929775904">
      <w:bodyDiv w:val="1"/>
      <w:marLeft w:val="0"/>
      <w:marRight w:val="0"/>
      <w:marTop w:val="0"/>
      <w:marBottom w:val="0"/>
      <w:divBdr>
        <w:top w:val="none" w:sz="0" w:space="0" w:color="auto"/>
        <w:left w:val="none" w:sz="0" w:space="0" w:color="auto"/>
        <w:bottom w:val="none" w:sz="0" w:space="0" w:color="auto"/>
        <w:right w:val="none" w:sz="0" w:space="0" w:color="auto"/>
      </w:divBdr>
    </w:div>
    <w:div w:id="1306163979">
      <w:bodyDiv w:val="1"/>
      <w:marLeft w:val="0"/>
      <w:marRight w:val="0"/>
      <w:marTop w:val="0"/>
      <w:marBottom w:val="0"/>
      <w:divBdr>
        <w:top w:val="none" w:sz="0" w:space="0" w:color="auto"/>
        <w:left w:val="none" w:sz="0" w:space="0" w:color="auto"/>
        <w:bottom w:val="none" w:sz="0" w:space="0" w:color="auto"/>
        <w:right w:val="none" w:sz="0" w:space="0" w:color="auto"/>
      </w:divBdr>
    </w:div>
    <w:div w:id="1428232655">
      <w:bodyDiv w:val="1"/>
      <w:marLeft w:val="0"/>
      <w:marRight w:val="0"/>
      <w:marTop w:val="0"/>
      <w:marBottom w:val="0"/>
      <w:divBdr>
        <w:top w:val="none" w:sz="0" w:space="0" w:color="auto"/>
        <w:left w:val="none" w:sz="0" w:space="0" w:color="auto"/>
        <w:bottom w:val="none" w:sz="0" w:space="0" w:color="auto"/>
        <w:right w:val="none" w:sz="0" w:space="0" w:color="auto"/>
      </w:divBdr>
    </w:div>
    <w:div w:id="1435711655">
      <w:bodyDiv w:val="1"/>
      <w:marLeft w:val="0"/>
      <w:marRight w:val="0"/>
      <w:marTop w:val="0"/>
      <w:marBottom w:val="0"/>
      <w:divBdr>
        <w:top w:val="none" w:sz="0" w:space="0" w:color="auto"/>
        <w:left w:val="none" w:sz="0" w:space="0" w:color="auto"/>
        <w:bottom w:val="none" w:sz="0" w:space="0" w:color="auto"/>
        <w:right w:val="none" w:sz="0" w:space="0" w:color="auto"/>
      </w:divBdr>
    </w:div>
    <w:div w:id="1521554041">
      <w:bodyDiv w:val="1"/>
      <w:marLeft w:val="0"/>
      <w:marRight w:val="0"/>
      <w:marTop w:val="0"/>
      <w:marBottom w:val="0"/>
      <w:divBdr>
        <w:top w:val="none" w:sz="0" w:space="0" w:color="auto"/>
        <w:left w:val="none" w:sz="0" w:space="0" w:color="auto"/>
        <w:bottom w:val="none" w:sz="0" w:space="0" w:color="auto"/>
        <w:right w:val="none" w:sz="0" w:space="0" w:color="auto"/>
      </w:divBdr>
    </w:div>
    <w:div w:id="1615285607">
      <w:bodyDiv w:val="1"/>
      <w:marLeft w:val="0"/>
      <w:marRight w:val="0"/>
      <w:marTop w:val="0"/>
      <w:marBottom w:val="0"/>
      <w:divBdr>
        <w:top w:val="none" w:sz="0" w:space="0" w:color="auto"/>
        <w:left w:val="none" w:sz="0" w:space="0" w:color="auto"/>
        <w:bottom w:val="none" w:sz="0" w:space="0" w:color="auto"/>
        <w:right w:val="none" w:sz="0" w:space="0" w:color="auto"/>
      </w:divBdr>
    </w:div>
    <w:div w:id="1787578350">
      <w:bodyDiv w:val="1"/>
      <w:marLeft w:val="0"/>
      <w:marRight w:val="0"/>
      <w:marTop w:val="0"/>
      <w:marBottom w:val="0"/>
      <w:divBdr>
        <w:top w:val="none" w:sz="0" w:space="0" w:color="auto"/>
        <w:left w:val="none" w:sz="0" w:space="0" w:color="auto"/>
        <w:bottom w:val="none" w:sz="0" w:space="0" w:color="auto"/>
        <w:right w:val="none" w:sz="0" w:space="0" w:color="auto"/>
      </w:divBdr>
    </w:div>
    <w:div w:id="1838574799">
      <w:bodyDiv w:val="1"/>
      <w:marLeft w:val="0"/>
      <w:marRight w:val="0"/>
      <w:marTop w:val="0"/>
      <w:marBottom w:val="0"/>
      <w:divBdr>
        <w:top w:val="none" w:sz="0" w:space="0" w:color="auto"/>
        <w:left w:val="none" w:sz="0" w:space="0" w:color="auto"/>
        <w:bottom w:val="none" w:sz="0" w:space="0" w:color="auto"/>
        <w:right w:val="none" w:sz="0" w:space="0" w:color="auto"/>
      </w:divBdr>
    </w:div>
    <w:div w:id="1893534651">
      <w:bodyDiv w:val="1"/>
      <w:marLeft w:val="0"/>
      <w:marRight w:val="0"/>
      <w:marTop w:val="0"/>
      <w:marBottom w:val="0"/>
      <w:divBdr>
        <w:top w:val="none" w:sz="0" w:space="0" w:color="auto"/>
        <w:left w:val="none" w:sz="0" w:space="0" w:color="auto"/>
        <w:bottom w:val="none" w:sz="0" w:space="0" w:color="auto"/>
        <w:right w:val="none" w:sz="0" w:space="0" w:color="auto"/>
      </w:divBdr>
    </w:div>
    <w:div w:id="1935741053">
      <w:bodyDiv w:val="1"/>
      <w:marLeft w:val="0"/>
      <w:marRight w:val="0"/>
      <w:marTop w:val="0"/>
      <w:marBottom w:val="0"/>
      <w:divBdr>
        <w:top w:val="none" w:sz="0" w:space="0" w:color="auto"/>
        <w:left w:val="none" w:sz="0" w:space="0" w:color="auto"/>
        <w:bottom w:val="none" w:sz="0" w:space="0" w:color="auto"/>
        <w:right w:val="none" w:sz="0" w:space="0" w:color="auto"/>
      </w:divBdr>
    </w:div>
    <w:div w:id="2021081205">
      <w:bodyDiv w:val="1"/>
      <w:marLeft w:val="0"/>
      <w:marRight w:val="0"/>
      <w:marTop w:val="0"/>
      <w:marBottom w:val="0"/>
      <w:divBdr>
        <w:top w:val="none" w:sz="0" w:space="0" w:color="auto"/>
        <w:left w:val="none" w:sz="0" w:space="0" w:color="auto"/>
        <w:bottom w:val="none" w:sz="0" w:space="0" w:color="auto"/>
        <w:right w:val="none" w:sz="0" w:space="0" w:color="auto"/>
      </w:divBdr>
    </w:div>
    <w:div w:id="20504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870503b44024285/Documents/BID/LMK/CONSULTING/PANAMA%20-%20BID/IDB/III/4.%20Revision%20modelo%20CSS/modelo%20REFORMA%20CSS%20bueno%20uso%20FInal-reforma%20basesoit%20cuad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870503b44024285/Documents/BID/LMK/CONSULTING/PANAMA%20-%20BID/IDB/III/4.%20Revision%20modelo%20CSS/modelo%20REFORMA%20CSS%20bueno%20uso%20FInal-reforma%20basesoit%20cuadr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GB" sz="1600" b="1"/>
              <a:t>Ingresos</a:t>
            </a:r>
            <a:r>
              <a:rPr lang="en-GB" sz="1600" b="1" baseline="0"/>
              <a:t> y gastos con cambios propuestos </a:t>
            </a:r>
            <a:endParaRPr lang="en-GB" sz="1600" b="1"/>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s-PA"/>
        </a:p>
      </c:txPr>
    </c:title>
    <c:autoTitleDeleted val="0"/>
    <c:plotArea>
      <c:layout/>
      <c:barChart>
        <c:barDir val="col"/>
        <c:grouping val="clustered"/>
        <c:varyColors val="0"/>
        <c:ser>
          <c:idx val="2"/>
          <c:order val="2"/>
          <c:tx>
            <c:strRef>
              <c:f>Sheet1!$D$1</c:f>
              <c:strCache>
                <c:ptCount val="1"/>
                <c:pt idx="0">
                  <c:v>Déficit/Superávit</c:v>
                </c:pt>
              </c:strCache>
            </c:strRef>
          </c:tx>
          <c:spPr>
            <a:solidFill>
              <a:schemeClr val="accent3"/>
            </a:solidFill>
            <a:ln w="25400">
              <a:solidFill>
                <a:schemeClr val="bg1">
                  <a:lumMod val="65000"/>
                </a:schemeClr>
              </a:solidFill>
            </a:ln>
            <a:effectLst/>
          </c:spPr>
          <c:invertIfNegative val="0"/>
          <c:val>
            <c:numRef>
              <c:f>Sheet1!$D$2:$D$87</c:f>
              <c:numCache>
                <c:formatCode>0.0%</c:formatCode>
                <c:ptCount val="86"/>
                <c:pt idx="0">
                  <c:v>8.4636313728239376E-3</c:v>
                </c:pt>
                <c:pt idx="1">
                  <c:v>7.8988158837341484E-3</c:v>
                </c:pt>
                <c:pt idx="2">
                  <c:v>2.2199578201471764E-2</c:v>
                </c:pt>
                <c:pt idx="3">
                  <c:v>2.5214073579837178E-2</c:v>
                </c:pt>
                <c:pt idx="4">
                  <c:v>2.5627066869530087E-2</c:v>
                </c:pt>
                <c:pt idx="5">
                  <c:v>2.6019033654671297E-2</c:v>
                </c:pt>
                <c:pt idx="6">
                  <c:v>2.5364460317681903E-2</c:v>
                </c:pt>
                <c:pt idx="7">
                  <c:v>2.5661981080784563E-2</c:v>
                </c:pt>
                <c:pt idx="8">
                  <c:v>2.4931009893304542E-2</c:v>
                </c:pt>
                <c:pt idx="9">
                  <c:v>2.6611190451646709E-2</c:v>
                </c:pt>
                <c:pt idx="10">
                  <c:v>2.7311317508240892E-2</c:v>
                </c:pt>
                <c:pt idx="11">
                  <c:v>2.8941975557700398E-2</c:v>
                </c:pt>
                <c:pt idx="12">
                  <c:v>2.8379782041795153E-2</c:v>
                </c:pt>
                <c:pt idx="13">
                  <c:v>2.8680831655985981E-2</c:v>
                </c:pt>
                <c:pt idx="14">
                  <c:v>2.7892319669796103E-2</c:v>
                </c:pt>
                <c:pt idx="15">
                  <c:v>2.701695134182595E-2</c:v>
                </c:pt>
                <c:pt idx="16">
                  <c:v>2.6058244776541152E-2</c:v>
                </c:pt>
                <c:pt idx="17">
                  <c:v>2.5023200326019547E-2</c:v>
                </c:pt>
                <c:pt idx="18">
                  <c:v>2.389945029087559E-2</c:v>
                </c:pt>
                <c:pt idx="19">
                  <c:v>2.2696131047874574E-2</c:v>
                </c:pt>
                <c:pt idx="20">
                  <c:v>2.1443233362663405E-2</c:v>
                </c:pt>
                <c:pt idx="21">
                  <c:v>2.015518020714533E-2</c:v>
                </c:pt>
                <c:pt idx="22">
                  <c:v>1.8837034262977968E-2</c:v>
                </c:pt>
                <c:pt idx="23">
                  <c:v>1.7492393308902086E-2</c:v>
                </c:pt>
                <c:pt idx="24">
                  <c:v>1.6108595932337259E-2</c:v>
                </c:pt>
                <c:pt idx="25">
                  <c:v>1.4665364315422119E-2</c:v>
                </c:pt>
                <c:pt idx="26">
                  <c:v>1.3195142630252094E-2</c:v>
                </c:pt>
                <c:pt idx="27">
                  <c:v>1.2717716211228386E-2</c:v>
                </c:pt>
                <c:pt idx="28">
                  <c:v>1.1212589551662391E-2</c:v>
                </c:pt>
                <c:pt idx="29">
                  <c:v>1.0665314612590016E-2</c:v>
                </c:pt>
                <c:pt idx="30">
                  <c:v>9.0692323546285383E-3</c:v>
                </c:pt>
                <c:pt idx="31">
                  <c:v>8.4163343882850961E-3</c:v>
                </c:pt>
                <c:pt idx="32">
                  <c:v>6.703481277961415E-3</c:v>
                </c:pt>
                <c:pt idx="33">
                  <c:v>4.920312000480237E-3</c:v>
                </c:pt>
                <c:pt idx="34">
                  <c:v>4.0554744009159843E-3</c:v>
                </c:pt>
                <c:pt idx="35">
                  <c:v>2.1100949270795796E-3</c:v>
                </c:pt>
                <c:pt idx="36">
                  <c:v>8.7204326450998626E-5</c:v>
                </c:pt>
                <c:pt idx="37">
                  <c:v>-2.0111505675144345E-3</c:v>
                </c:pt>
                <c:pt idx="38">
                  <c:v>-3.181125866266156E-3</c:v>
                </c:pt>
                <c:pt idx="39">
                  <c:v>-5.411106263409883E-3</c:v>
                </c:pt>
                <c:pt idx="40">
                  <c:v>-6.6850276841062956E-3</c:v>
                </c:pt>
                <c:pt idx="41">
                  <c:v>-7.999138836758686E-3</c:v>
                </c:pt>
                <c:pt idx="42">
                  <c:v>-9.3493682020534818E-3</c:v>
                </c:pt>
                <c:pt idx="43">
                  <c:v>-9.7246464353752601E-3</c:v>
                </c:pt>
                <c:pt idx="44">
                  <c:v>-1.1106683035316658E-2</c:v>
                </c:pt>
                <c:pt idx="45">
                  <c:v>-1.1469891060635097E-2</c:v>
                </c:pt>
                <c:pt idx="46">
                  <c:v>-1.0803035234212228E-2</c:v>
                </c:pt>
                <c:pt idx="47">
                  <c:v>-1.1104465467760394E-2</c:v>
                </c:pt>
                <c:pt idx="48">
                  <c:v>-1.1364279767771421E-2</c:v>
                </c:pt>
                <c:pt idx="49">
                  <c:v>-1.0567861358999158E-2</c:v>
                </c:pt>
                <c:pt idx="50">
                  <c:v>-9.7012215264895736E-3</c:v>
                </c:pt>
                <c:pt idx="51">
                  <c:v>-8.7582040455069787E-3</c:v>
                </c:pt>
                <c:pt idx="52">
                  <c:v>-7.7387058876849171E-3</c:v>
                </c:pt>
                <c:pt idx="53">
                  <c:v>-7.6427995091007776E-3</c:v>
                </c:pt>
                <c:pt idx="54">
                  <c:v>-6.4706472574571836E-3</c:v>
                </c:pt>
                <c:pt idx="55">
                  <c:v>-5.2231200136627666E-3</c:v>
                </c:pt>
                <c:pt idx="56">
                  <c:v>-4.9013731402579898E-3</c:v>
                </c:pt>
                <c:pt idx="57">
                  <c:v>-3.5067861829003004E-3</c:v>
                </c:pt>
                <c:pt idx="58">
                  <c:v>-3.0411449150562278E-3</c:v>
                </c:pt>
                <c:pt idx="59">
                  <c:v>-1.506385584144735E-3</c:v>
                </c:pt>
                <c:pt idx="60">
                  <c:v>-9.0467150300595559E-4</c:v>
                </c:pt>
                <c:pt idx="61">
                  <c:v>-2.3837171625243694E-4</c:v>
                </c:pt>
                <c:pt idx="62">
                  <c:v>4.8998453951393586E-4</c:v>
                </c:pt>
                <c:pt idx="63">
                  <c:v>1.2887507336205827E-3</c:v>
                </c:pt>
                <c:pt idx="64">
                  <c:v>2.1586318912519206E-3</c:v>
                </c:pt>
                <c:pt idx="65">
                  <c:v>3.0813951241737449E-3</c:v>
                </c:pt>
                <c:pt idx="66">
                  <c:v>4.0539780813437162E-3</c:v>
                </c:pt>
                <c:pt idx="67">
                  <c:v>5.0732985731116176E-3</c:v>
                </c:pt>
                <c:pt idx="68">
                  <c:v>6.1362620678853345E-3</c:v>
                </c:pt>
                <c:pt idx="69">
                  <c:v>7.2399610440865066E-3</c:v>
                </c:pt>
                <c:pt idx="70">
                  <c:v>7.381615906993955E-3</c:v>
                </c:pt>
                <c:pt idx="71">
                  <c:v>8.5585570976420382E-3</c:v>
                </c:pt>
                <c:pt idx="72">
                  <c:v>8.768270406996112E-3</c:v>
                </c:pt>
                <c:pt idx="73">
                  <c:v>1.0008366253165538E-2</c:v>
                </c:pt>
                <c:pt idx="74">
                  <c:v>1.0276648623586297E-2</c:v>
                </c:pt>
                <c:pt idx="75">
                  <c:v>1.1571197369109063E-2</c:v>
                </c:pt>
                <c:pt idx="76">
                  <c:v>1.1890433645111059E-2</c:v>
                </c:pt>
                <c:pt idx="77">
                  <c:v>1.2233075027898074E-2</c:v>
                </c:pt>
                <c:pt idx="78">
                  <c:v>1.3598120955385635E-2</c:v>
                </c:pt>
                <c:pt idx="79">
                  <c:v>1.3984759969456169E-2</c:v>
                </c:pt>
                <c:pt idx="80">
                  <c:v>1.4392257608202822E-2</c:v>
                </c:pt>
                <c:pt idx="81">
                  <c:v>1.4819982682034676E-2</c:v>
                </c:pt>
                <c:pt idx="82">
                  <c:v>1.6267577216271336E-2</c:v>
                </c:pt>
                <c:pt idx="83">
                  <c:v>1.6734948048549539E-2</c:v>
                </c:pt>
                <c:pt idx="84">
                  <c:v>1.722217225135738E-2</c:v>
                </c:pt>
                <c:pt idx="85">
                  <c:v>1.7729424143942348E-2</c:v>
                </c:pt>
              </c:numCache>
            </c:numRef>
          </c:val>
          <c:extLst>
            <c:ext xmlns:c16="http://schemas.microsoft.com/office/drawing/2014/chart" uri="{C3380CC4-5D6E-409C-BE32-E72D297353CC}">
              <c16:uniqueId val="{00000000-F89C-4B95-87BE-4D2B93A394A8}"/>
            </c:ext>
          </c:extLst>
        </c:ser>
        <c:dLbls>
          <c:showLegendKey val="0"/>
          <c:showVal val="0"/>
          <c:showCatName val="0"/>
          <c:showSerName val="0"/>
          <c:showPercent val="0"/>
          <c:showBubbleSize val="0"/>
        </c:dLbls>
        <c:gapWidth val="150"/>
        <c:axId val="412020216"/>
        <c:axId val="412014336"/>
      </c:barChart>
      <c:lineChart>
        <c:grouping val="standard"/>
        <c:varyColors val="0"/>
        <c:ser>
          <c:idx val="0"/>
          <c:order val="0"/>
          <c:tx>
            <c:strRef>
              <c:f>Sheet1!$B$1</c:f>
              <c:strCache>
                <c:ptCount val="1"/>
                <c:pt idx="0">
                  <c:v>Ingresos</c:v>
                </c:pt>
              </c:strCache>
            </c:strRef>
          </c:tx>
          <c:spPr>
            <a:ln w="28575" cap="rnd">
              <a:solidFill>
                <a:schemeClr val="accent6">
                  <a:lumMod val="75000"/>
                </a:schemeClr>
              </a:solidFill>
              <a:round/>
            </a:ln>
            <a:effectLst/>
          </c:spPr>
          <c:marker>
            <c:symbol val="none"/>
          </c:marker>
          <c:cat>
            <c:numRef>
              <c:f>Sheet1!$A$2:$A$87</c:f>
              <c:numCache>
                <c:formatCode>General</c:formatCode>
                <c:ptCount val="8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2055</c:v>
                </c:pt>
                <c:pt idx="33">
                  <c:v>2056</c:v>
                </c:pt>
                <c:pt idx="34">
                  <c:v>2057</c:v>
                </c:pt>
                <c:pt idx="35">
                  <c:v>2058</c:v>
                </c:pt>
                <c:pt idx="36">
                  <c:v>2059</c:v>
                </c:pt>
                <c:pt idx="37">
                  <c:v>2060</c:v>
                </c:pt>
                <c:pt idx="38">
                  <c:v>2061</c:v>
                </c:pt>
                <c:pt idx="39">
                  <c:v>2062</c:v>
                </c:pt>
                <c:pt idx="40">
                  <c:v>2063</c:v>
                </c:pt>
                <c:pt idx="41">
                  <c:v>2064</c:v>
                </c:pt>
                <c:pt idx="42">
                  <c:v>2065</c:v>
                </c:pt>
                <c:pt idx="43">
                  <c:v>2066</c:v>
                </c:pt>
                <c:pt idx="44">
                  <c:v>2067</c:v>
                </c:pt>
                <c:pt idx="45">
                  <c:v>2068</c:v>
                </c:pt>
                <c:pt idx="46">
                  <c:v>2069</c:v>
                </c:pt>
                <c:pt idx="47">
                  <c:v>2070</c:v>
                </c:pt>
                <c:pt idx="48">
                  <c:v>2071</c:v>
                </c:pt>
                <c:pt idx="49">
                  <c:v>2072</c:v>
                </c:pt>
                <c:pt idx="50">
                  <c:v>2073</c:v>
                </c:pt>
                <c:pt idx="51">
                  <c:v>2074</c:v>
                </c:pt>
                <c:pt idx="52">
                  <c:v>2075</c:v>
                </c:pt>
                <c:pt idx="53">
                  <c:v>2076</c:v>
                </c:pt>
                <c:pt idx="54">
                  <c:v>2077</c:v>
                </c:pt>
                <c:pt idx="55">
                  <c:v>2078</c:v>
                </c:pt>
                <c:pt idx="56">
                  <c:v>2079</c:v>
                </c:pt>
                <c:pt idx="57">
                  <c:v>2080</c:v>
                </c:pt>
                <c:pt idx="58">
                  <c:v>2081</c:v>
                </c:pt>
                <c:pt idx="59">
                  <c:v>2082</c:v>
                </c:pt>
                <c:pt idx="60">
                  <c:v>2083</c:v>
                </c:pt>
                <c:pt idx="61">
                  <c:v>2084</c:v>
                </c:pt>
                <c:pt idx="62">
                  <c:v>2085</c:v>
                </c:pt>
                <c:pt idx="63">
                  <c:v>2086</c:v>
                </c:pt>
                <c:pt idx="64">
                  <c:v>2087</c:v>
                </c:pt>
                <c:pt idx="65">
                  <c:v>2088</c:v>
                </c:pt>
                <c:pt idx="66">
                  <c:v>2089</c:v>
                </c:pt>
                <c:pt idx="67">
                  <c:v>2090</c:v>
                </c:pt>
                <c:pt idx="68">
                  <c:v>2091</c:v>
                </c:pt>
                <c:pt idx="69">
                  <c:v>2092</c:v>
                </c:pt>
                <c:pt idx="70">
                  <c:v>2093</c:v>
                </c:pt>
                <c:pt idx="71">
                  <c:v>2094</c:v>
                </c:pt>
                <c:pt idx="72">
                  <c:v>2095</c:v>
                </c:pt>
                <c:pt idx="73">
                  <c:v>2096</c:v>
                </c:pt>
                <c:pt idx="74">
                  <c:v>2097</c:v>
                </c:pt>
                <c:pt idx="75">
                  <c:v>2098</c:v>
                </c:pt>
                <c:pt idx="76">
                  <c:v>2099</c:v>
                </c:pt>
                <c:pt idx="77">
                  <c:v>2100</c:v>
                </c:pt>
                <c:pt idx="78">
                  <c:v>2101</c:v>
                </c:pt>
                <c:pt idx="79">
                  <c:v>2102</c:v>
                </c:pt>
                <c:pt idx="80">
                  <c:v>2103</c:v>
                </c:pt>
                <c:pt idx="81">
                  <c:v>2104</c:v>
                </c:pt>
                <c:pt idx="82">
                  <c:v>2105</c:v>
                </c:pt>
                <c:pt idx="83">
                  <c:v>2106</c:v>
                </c:pt>
                <c:pt idx="84">
                  <c:v>2107</c:v>
                </c:pt>
                <c:pt idx="85">
                  <c:v>2108</c:v>
                </c:pt>
              </c:numCache>
            </c:numRef>
          </c:cat>
          <c:val>
            <c:numRef>
              <c:f>Sheet1!$B$2:$B$87</c:f>
              <c:numCache>
                <c:formatCode>0.0%</c:formatCode>
                <c:ptCount val="86"/>
                <c:pt idx="0">
                  <c:v>3.4363631372823937E-2</c:v>
                </c:pt>
                <c:pt idx="1">
                  <c:v>3.3898815883734147E-2</c:v>
                </c:pt>
                <c:pt idx="2">
                  <c:v>4.8199578201471763E-2</c:v>
                </c:pt>
                <c:pt idx="3">
                  <c:v>5.1214073579837177E-2</c:v>
                </c:pt>
                <c:pt idx="4">
                  <c:v>5.1627066869530086E-2</c:v>
                </c:pt>
                <c:pt idx="5">
                  <c:v>5.2019033654671296E-2</c:v>
                </c:pt>
                <c:pt idx="6">
                  <c:v>5.2364460317681903E-2</c:v>
                </c:pt>
                <c:pt idx="7">
                  <c:v>5.2661981080784563E-2</c:v>
                </c:pt>
                <c:pt idx="8">
                  <c:v>5.2931009893304543E-2</c:v>
                </c:pt>
                <c:pt idx="9">
                  <c:v>5.3611190451646709E-2</c:v>
                </c:pt>
                <c:pt idx="10">
                  <c:v>5.4311317508240892E-2</c:v>
                </c:pt>
                <c:pt idx="11">
                  <c:v>5.4941975557700397E-2</c:v>
                </c:pt>
                <c:pt idx="12">
                  <c:v>5.5379782041795153E-2</c:v>
                </c:pt>
                <c:pt idx="13">
                  <c:v>5.5680831655985981E-2</c:v>
                </c:pt>
                <c:pt idx="14">
                  <c:v>5.5892319669796103E-2</c:v>
                </c:pt>
                <c:pt idx="15">
                  <c:v>5.6016951341825952E-2</c:v>
                </c:pt>
                <c:pt idx="16">
                  <c:v>5.6058244776541151E-2</c:v>
                </c:pt>
                <c:pt idx="17">
                  <c:v>5.6023200326019547E-2</c:v>
                </c:pt>
                <c:pt idx="18">
                  <c:v>5.5899450290875591E-2</c:v>
                </c:pt>
                <c:pt idx="19">
                  <c:v>5.5696131047874575E-2</c:v>
                </c:pt>
                <c:pt idx="20">
                  <c:v>5.5443233362663408E-2</c:v>
                </c:pt>
                <c:pt idx="21">
                  <c:v>5.5155180207145334E-2</c:v>
                </c:pt>
                <c:pt idx="22">
                  <c:v>5.4837034262977966E-2</c:v>
                </c:pt>
                <c:pt idx="23">
                  <c:v>5.4492393308902085E-2</c:v>
                </c:pt>
                <c:pt idx="24">
                  <c:v>5.4108595932337258E-2</c:v>
                </c:pt>
                <c:pt idx="25">
                  <c:v>5.3665364315422119E-2</c:v>
                </c:pt>
                <c:pt idx="26">
                  <c:v>5.3195142630252094E-2</c:v>
                </c:pt>
                <c:pt idx="27">
                  <c:v>5.2717716211228387E-2</c:v>
                </c:pt>
                <c:pt idx="28">
                  <c:v>5.2212589551662393E-2</c:v>
                </c:pt>
                <c:pt idx="29">
                  <c:v>5.1665314612590017E-2</c:v>
                </c:pt>
                <c:pt idx="30">
                  <c:v>5.1069232354628541E-2</c:v>
                </c:pt>
                <c:pt idx="31">
                  <c:v>5.0416334388285099E-2</c:v>
                </c:pt>
                <c:pt idx="32">
                  <c:v>4.9703481277961412E-2</c:v>
                </c:pt>
                <c:pt idx="33">
                  <c:v>4.8920312000480234E-2</c:v>
                </c:pt>
                <c:pt idx="34">
                  <c:v>4.8055474400915982E-2</c:v>
                </c:pt>
                <c:pt idx="35">
                  <c:v>4.7110094927079578E-2</c:v>
                </c:pt>
                <c:pt idx="36">
                  <c:v>4.6087204326450998E-2</c:v>
                </c:pt>
                <c:pt idx="37">
                  <c:v>4.4988849432485566E-2</c:v>
                </c:pt>
                <c:pt idx="38">
                  <c:v>4.3818874133733844E-2</c:v>
                </c:pt>
                <c:pt idx="39">
                  <c:v>4.2588893736590118E-2</c:v>
                </c:pt>
                <c:pt idx="40">
                  <c:v>4.1314972315893705E-2</c:v>
                </c:pt>
                <c:pt idx="41">
                  <c:v>4.0000861163241315E-2</c:v>
                </c:pt>
                <c:pt idx="42">
                  <c:v>3.8650631797946519E-2</c:v>
                </c:pt>
                <c:pt idx="43">
                  <c:v>3.727535356462474E-2</c:v>
                </c:pt>
                <c:pt idx="44">
                  <c:v>3.5893316964683342E-2</c:v>
                </c:pt>
                <c:pt idx="45">
                  <c:v>3.4530108939364902E-2</c:v>
                </c:pt>
                <c:pt idx="46">
                  <c:v>3.3196964765787769E-2</c:v>
                </c:pt>
                <c:pt idx="47">
                  <c:v>3.1895534532239603E-2</c:v>
                </c:pt>
                <c:pt idx="48">
                  <c:v>3.0635720232228582E-2</c:v>
                </c:pt>
                <c:pt idx="49">
                  <c:v>2.9432138641000843E-2</c:v>
                </c:pt>
                <c:pt idx="50">
                  <c:v>2.8298778473510425E-2</c:v>
                </c:pt>
                <c:pt idx="51">
                  <c:v>2.7241795954493019E-2</c:v>
                </c:pt>
                <c:pt idx="52">
                  <c:v>2.6261294112315085E-2</c:v>
                </c:pt>
                <c:pt idx="53">
                  <c:v>2.5357200490899224E-2</c:v>
                </c:pt>
                <c:pt idx="54">
                  <c:v>2.4529352742542816E-2</c:v>
                </c:pt>
                <c:pt idx="55">
                  <c:v>2.3776879986337235E-2</c:v>
                </c:pt>
                <c:pt idx="56">
                  <c:v>2.3098626859742011E-2</c:v>
                </c:pt>
                <c:pt idx="57">
                  <c:v>2.2493213817099698E-2</c:v>
                </c:pt>
                <c:pt idx="58">
                  <c:v>2.1958855084943774E-2</c:v>
                </c:pt>
                <c:pt idx="59">
                  <c:v>2.1493614415855265E-2</c:v>
                </c:pt>
                <c:pt idx="60">
                  <c:v>2.1095328496994043E-2</c:v>
                </c:pt>
                <c:pt idx="61">
                  <c:v>2.0761628283747564E-2</c:v>
                </c:pt>
                <c:pt idx="62">
                  <c:v>2.0489984539513936E-2</c:v>
                </c:pt>
                <c:pt idx="63">
                  <c:v>2.0288750733620582E-2</c:v>
                </c:pt>
                <c:pt idx="64">
                  <c:v>2.0158631891251919E-2</c:v>
                </c:pt>
                <c:pt idx="65">
                  <c:v>2.0081395124173746E-2</c:v>
                </c:pt>
                <c:pt idx="66">
                  <c:v>2.0053978081343717E-2</c:v>
                </c:pt>
                <c:pt idx="67">
                  <c:v>2.0073298573111617E-2</c:v>
                </c:pt>
                <c:pt idx="68">
                  <c:v>2.0136262067885335E-2</c:v>
                </c:pt>
                <c:pt idx="69">
                  <c:v>2.0239961044086506E-2</c:v>
                </c:pt>
                <c:pt idx="70">
                  <c:v>2.0381615906993954E-2</c:v>
                </c:pt>
                <c:pt idx="71">
                  <c:v>2.0558557097642038E-2</c:v>
                </c:pt>
                <c:pt idx="72">
                  <c:v>2.0768270406996112E-2</c:v>
                </c:pt>
                <c:pt idx="73">
                  <c:v>2.1008366253165538E-2</c:v>
                </c:pt>
                <c:pt idx="74">
                  <c:v>2.1276648623586296E-2</c:v>
                </c:pt>
                <c:pt idx="75">
                  <c:v>2.1571197369109063E-2</c:v>
                </c:pt>
                <c:pt idx="76">
                  <c:v>2.1890433645111059E-2</c:v>
                </c:pt>
                <c:pt idx="77">
                  <c:v>2.2233075027898074E-2</c:v>
                </c:pt>
                <c:pt idx="78">
                  <c:v>2.2598120955385635E-2</c:v>
                </c:pt>
                <c:pt idx="79">
                  <c:v>2.2984759969456169E-2</c:v>
                </c:pt>
                <c:pt idx="80">
                  <c:v>2.3392257608202821E-2</c:v>
                </c:pt>
                <c:pt idx="81">
                  <c:v>2.3819982682034675E-2</c:v>
                </c:pt>
                <c:pt idx="82">
                  <c:v>2.4267577216271336E-2</c:v>
                </c:pt>
                <c:pt idx="83">
                  <c:v>2.4734948048549539E-2</c:v>
                </c:pt>
                <c:pt idx="84">
                  <c:v>2.522217225135738E-2</c:v>
                </c:pt>
                <c:pt idx="85">
                  <c:v>2.5729424143942348E-2</c:v>
                </c:pt>
              </c:numCache>
            </c:numRef>
          </c:val>
          <c:smooth val="0"/>
          <c:extLst>
            <c:ext xmlns:c16="http://schemas.microsoft.com/office/drawing/2014/chart" uri="{C3380CC4-5D6E-409C-BE32-E72D297353CC}">
              <c16:uniqueId val="{00000001-F89C-4B95-87BE-4D2B93A394A8}"/>
            </c:ext>
          </c:extLst>
        </c:ser>
        <c:ser>
          <c:idx val="1"/>
          <c:order val="1"/>
          <c:tx>
            <c:strRef>
              <c:f>Sheet1!$C$1</c:f>
              <c:strCache>
                <c:ptCount val="1"/>
                <c:pt idx="0">
                  <c:v>Gastos</c:v>
                </c:pt>
              </c:strCache>
            </c:strRef>
          </c:tx>
          <c:spPr>
            <a:ln w="28575" cap="rnd">
              <a:solidFill>
                <a:srgbClr val="FF0000"/>
              </a:solidFill>
              <a:round/>
            </a:ln>
            <a:effectLst/>
          </c:spPr>
          <c:marker>
            <c:symbol val="none"/>
          </c:marker>
          <c:cat>
            <c:numRef>
              <c:f>Sheet1!$A$2:$A$87</c:f>
              <c:numCache>
                <c:formatCode>General</c:formatCode>
                <c:ptCount val="8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2055</c:v>
                </c:pt>
                <c:pt idx="33">
                  <c:v>2056</c:v>
                </c:pt>
                <c:pt idx="34">
                  <c:v>2057</c:v>
                </c:pt>
                <c:pt idx="35">
                  <c:v>2058</c:v>
                </c:pt>
                <c:pt idx="36">
                  <c:v>2059</c:v>
                </c:pt>
                <c:pt idx="37">
                  <c:v>2060</c:v>
                </c:pt>
                <c:pt idx="38">
                  <c:v>2061</c:v>
                </c:pt>
                <c:pt idx="39">
                  <c:v>2062</c:v>
                </c:pt>
                <c:pt idx="40">
                  <c:v>2063</c:v>
                </c:pt>
                <c:pt idx="41">
                  <c:v>2064</c:v>
                </c:pt>
                <c:pt idx="42">
                  <c:v>2065</c:v>
                </c:pt>
                <c:pt idx="43">
                  <c:v>2066</c:v>
                </c:pt>
                <c:pt idx="44">
                  <c:v>2067</c:v>
                </c:pt>
                <c:pt idx="45">
                  <c:v>2068</c:v>
                </c:pt>
                <c:pt idx="46">
                  <c:v>2069</c:v>
                </c:pt>
                <c:pt idx="47">
                  <c:v>2070</c:v>
                </c:pt>
                <c:pt idx="48">
                  <c:v>2071</c:v>
                </c:pt>
                <c:pt idx="49">
                  <c:v>2072</c:v>
                </c:pt>
                <c:pt idx="50">
                  <c:v>2073</c:v>
                </c:pt>
                <c:pt idx="51">
                  <c:v>2074</c:v>
                </c:pt>
                <c:pt idx="52">
                  <c:v>2075</c:v>
                </c:pt>
                <c:pt idx="53">
                  <c:v>2076</c:v>
                </c:pt>
                <c:pt idx="54">
                  <c:v>2077</c:v>
                </c:pt>
                <c:pt idx="55">
                  <c:v>2078</c:v>
                </c:pt>
                <c:pt idx="56">
                  <c:v>2079</c:v>
                </c:pt>
                <c:pt idx="57">
                  <c:v>2080</c:v>
                </c:pt>
                <c:pt idx="58">
                  <c:v>2081</c:v>
                </c:pt>
                <c:pt idx="59">
                  <c:v>2082</c:v>
                </c:pt>
                <c:pt idx="60">
                  <c:v>2083</c:v>
                </c:pt>
                <c:pt idx="61">
                  <c:v>2084</c:v>
                </c:pt>
                <c:pt idx="62">
                  <c:v>2085</c:v>
                </c:pt>
                <c:pt idx="63">
                  <c:v>2086</c:v>
                </c:pt>
                <c:pt idx="64">
                  <c:v>2087</c:v>
                </c:pt>
                <c:pt idx="65">
                  <c:v>2088</c:v>
                </c:pt>
                <c:pt idx="66">
                  <c:v>2089</c:v>
                </c:pt>
                <c:pt idx="67">
                  <c:v>2090</c:v>
                </c:pt>
                <c:pt idx="68">
                  <c:v>2091</c:v>
                </c:pt>
                <c:pt idx="69">
                  <c:v>2092</c:v>
                </c:pt>
                <c:pt idx="70">
                  <c:v>2093</c:v>
                </c:pt>
                <c:pt idx="71">
                  <c:v>2094</c:v>
                </c:pt>
                <c:pt idx="72">
                  <c:v>2095</c:v>
                </c:pt>
                <c:pt idx="73">
                  <c:v>2096</c:v>
                </c:pt>
                <c:pt idx="74">
                  <c:v>2097</c:v>
                </c:pt>
                <c:pt idx="75">
                  <c:v>2098</c:v>
                </c:pt>
                <c:pt idx="76">
                  <c:v>2099</c:v>
                </c:pt>
                <c:pt idx="77">
                  <c:v>2100</c:v>
                </c:pt>
                <c:pt idx="78">
                  <c:v>2101</c:v>
                </c:pt>
                <c:pt idx="79">
                  <c:v>2102</c:v>
                </c:pt>
                <c:pt idx="80">
                  <c:v>2103</c:v>
                </c:pt>
                <c:pt idx="81">
                  <c:v>2104</c:v>
                </c:pt>
                <c:pt idx="82">
                  <c:v>2105</c:v>
                </c:pt>
                <c:pt idx="83">
                  <c:v>2106</c:v>
                </c:pt>
                <c:pt idx="84">
                  <c:v>2107</c:v>
                </c:pt>
                <c:pt idx="85">
                  <c:v>2108</c:v>
                </c:pt>
              </c:numCache>
            </c:numRef>
          </c:cat>
          <c:val>
            <c:numRef>
              <c:f>Sheet1!$C$2:$C$87</c:f>
              <c:numCache>
                <c:formatCode>0.0%</c:formatCode>
                <c:ptCount val="86"/>
                <c:pt idx="0">
                  <c:v>2.5899999999999999E-2</c:v>
                </c:pt>
                <c:pt idx="1">
                  <c:v>2.5999999999999999E-2</c:v>
                </c:pt>
                <c:pt idx="2">
                  <c:v>2.5999999999999999E-2</c:v>
                </c:pt>
                <c:pt idx="3">
                  <c:v>2.5999999999999999E-2</c:v>
                </c:pt>
                <c:pt idx="4">
                  <c:v>2.5999999999999999E-2</c:v>
                </c:pt>
                <c:pt idx="5">
                  <c:v>2.5999999999999999E-2</c:v>
                </c:pt>
                <c:pt idx="6">
                  <c:v>2.7E-2</c:v>
                </c:pt>
                <c:pt idx="7">
                  <c:v>2.7E-2</c:v>
                </c:pt>
                <c:pt idx="8">
                  <c:v>2.8000000000000001E-2</c:v>
                </c:pt>
                <c:pt idx="9">
                  <c:v>2.7E-2</c:v>
                </c:pt>
                <c:pt idx="10">
                  <c:v>2.7E-2</c:v>
                </c:pt>
                <c:pt idx="11">
                  <c:v>2.5999999999999999E-2</c:v>
                </c:pt>
                <c:pt idx="12">
                  <c:v>2.7E-2</c:v>
                </c:pt>
                <c:pt idx="13">
                  <c:v>2.7E-2</c:v>
                </c:pt>
                <c:pt idx="14">
                  <c:v>2.8000000000000001E-2</c:v>
                </c:pt>
                <c:pt idx="15">
                  <c:v>2.9000000000000001E-2</c:v>
                </c:pt>
                <c:pt idx="16">
                  <c:v>0.03</c:v>
                </c:pt>
                <c:pt idx="17">
                  <c:v>3.1E-2</c:v>
                </c:pt>
                <c:pt idx="18">
                  <c:v>3.2000000000000001E-2</c:v>
                </c:pt>
                <c:pt idx="19">
                  <c:v>3.3000000000000002E-2</c:v>
                </c:pt>
                <c:pt idx="20">
                  <c:v>3.4000000000000002E-2</c:v>
                </c:pt>
                <c:pt idx="21">
                  <c:v>3.5000000000000003E-2</c:v>
                </c:pt>
                <c:pt idx="22">
                  <c:v>3.5999999999999997E-2</c:v>
                </c:pt>
                <c:pt idx="23">
                  <c:v>3.6999999999999998E-2</c:v>
                </c:pt>
                <c:pt idx="24">
                  <c:v>3.7999999999999999E-2</c:v>
                </c:pt>
                <c:pt idx="25">
                  <c:v>3.9E-2</c:v>
                </c:pt>
                <c:pt idx="26">
                  <c:v>0.04</c:v>
                </c:pt>
                <c:pt idx="27">
                  <c:v>0.04</c:v>
                </c:pt>
                <c:pt idx="28">
                  <c:v>4.1000000000000002E-2</c:v>
                </c:pt>
                <c:pt idx="29">
                  <c:v>4.1000000000000002E-2</c:v>
                </c:pt>
                <c:pt idx="30">
                  <c:v>4.2000000000000003E-2</c:v>
                </c:pt>
                <c:pt idx="31">
                  <c:v>4.2000000000000003E-2</c:v>
                </c:pt>
                <c:pt idx="32">
                  <c:v>4.2999999999999997E-2</c:v>
                </c:pt>
                <c:pt idx="33">
                  <c:v>4.3999999999999997E-2</c:v>
                </c:pt>
                <c:pt idx="34">
                  <c:v>4.3999999999999997E-2</c:v>
                </c:pt>
                <c:pt idx="35">
                  <c:v>4.4999999999999998E-2</c:v>
                </c:pt>
                <c:pt idx="36">
                  <c:v>4.5999999999999999E-2</c:v>
                </c:pt>
                <c:pt idx="37">
                  <c:v>4.7E-2</c:v>
                </c:pt>
                <c:pt idx="38">
                  <c:v>4.7E-2</c:v>
                </c:pt>
                <c:pt idx="39">
                  <c:v>4.8000000000000001E-2</c:v>
                </c:pt>
                <c:pt idx="40">
                  <c:v>4.8000000000000001E-2</c:v>
                </c:pt>
                <c:pt idx="41">
                  <c:v>4.8000000000000001E-2</c:v>
                </c:pt>
                <c:pt idx="42">
                  <c:v>4.8000000000000001E-2</c:v>
                </c:pt>
                <c:pt idx="43">
                  <c:v>4.7E-2</c:v>
                </c:pt>
                <c:pt idx="44">
                  <c:v>4.7E-2</c:v>
                </c:pt>
                <c:pt idx="45">
                  <c:v>4.5999999999999999E-2</c:v>
                </c:pt>
                <c:pt idx="46">
                  <c:v>4.3999999999999997E-2</c:v>
                </c:pt>
                <c:pt idx="47">
                  <c:v>4.2999999999999997E-2</c:v>
                </c:pt>
                <c:pt idx="48">
                  <c:v>4.2000000000000003E-2</c:v>
                </c:pt>
                <c:pt idx="49">
                  <c:v>0.04</c:v>
                </c:pt>
                <c:pt idx="50">
                  <c:v>3.7999999999999999E-2</c:v>
                </c:pt>
                <c:pt idx="51">
                  <c:v>3.5999999999999997E-2</c:v>
                </c:pt>
                <c:pt idx="52">
                  <c:v>3.4000000000000002E-2</c:v>
                </c:pt>
                <c:pt idx="53">
                  <c:v>3.3000000000000002E-2</c:v>
                </c:pt>
                <c:pt idx="54">
                  <c:v>3.1E-2</c:v>
                </c:pt>
                <c:pt idx="55">
                  <c:v>2.9000000000000001E-2</c:v>
                </c:pt>
                <c:pt idx="56">
                  <c:v>2.8000000000000001E-2</c:v>
                </c:pt>
                <c:pt idx="57">
                  <c:v>2.5999999999999999E-2</c:v>
                </c:pt>
                <c:pt idx="58">
                  <c:v>2.5000000000000001E-2</c:v>
                </c:pt>
                <c:pt idx="59">
                  <c:v>2.3E-2</c:v>
                </c:pt>
                <c:pt idx="60">
                  <c:v>2.1999999999999999E-2</c:v>
                </c:pt>
                <c:pt idx="61">
                  <c:v>2.1000000000000001E-2</c:v>
                </c:pt>
                <c:pt idx="62">
                  <c:v>0.02</c:v>
                </c:pt>
                <c:pt idx="63">
                  <c:v>1.9E-2</c:v>
                </c:pt>
                <c:pt idx="64">
                  <c:v>1.7999999999999999E-2</c:v>
                </c:pt>
                <c:pt idx="65">
                  <c:v>1.7000000000000001E-2</c:v>
                </c:pt>
                <c:pt idx="66">
                  <c:v>1.6E-2</c:v>
                </c:pt>
                <c:pt idx="67">
                  <c:v>1.4999999999999999E-2</c:v>
                </c:pt>
                <c:pt idx="68">
                  <c:v>1.4E-2</c:v>
                </c:pt>
                <c:pt idx="69">
                  <c:v>1.2999999999999999E-2</c:v>
                </c:pt>
                <c:pt idx="70">
                  <c:v>1.2999999999999999E-2</c:v>
                </c:pt>
                <c:pt idx="71">
                  <c:v>1.2E-2</c:v>
                </c:pt>
                <c:pt idx="72">
                  <c:v>1.2E-2</c:v>
                </c:pt>
                <c:pt idx="73">
                  <c:v>1.0999999999999999E-2</c:v>
                </c:pt>
                <c:pt idx="74">
                  <c:v>1.0999999999999999E-2</c:v>
                </c:pt>
                <c:pt idx="75">
                  <c:v>0.01</c:v>
                </c:pt>
                <c:pt idx="76">
                  <c:v>0.01</c:v>
                </c:pt>
                <c:pt idx="77">
                  <c:v>0.01</c:v>
                </c:pt>
                <c:pt idx="78">
                  <c:v>8.9999999999999993E-3</c:v>
                </c:pt>
                <c:pt idx="79">
                  <c:v>8.9999999999999993E-3</c:v>
                </c:pt>
                <c:pt idx="80">
                  <c:v>8.9999999999999993E-3</c:v>
                </c:pt>
                <c:pt idx="81">
                  <c:v>8.9999999999999993E-3</c:v>
                </c:pt>
                <c:pt idx="82">
                  <c:v>8.0000000000000002E-3</c:v>
                </c:pt>
                <c:pt idx="83">
                  <c:v>8.0000000000000002E-3</c:v>
                </c:pt>
                <c:pt idx="84">
                  <c:v>8.0000000000000002E-3</c:v>
                </c:pt>
                <c:pt idx="85">
                  <c:v>8.0000000000000002E-3</c:v>
                </c:pt>
              </c:numCache>
            </c:numRef>
          </c:val>
          <c:smooth val="0"/>
          <c:extLst>
            <c:ext xmlns:c16="http://schemas.microsoft.com/office/drawing/2014/chart" uri="{C3380CC4-5D6E-409C-BE32-E72D297353CC}">
              <c16:uniqueId val="{00000002-F89C-4B95-87BE-4D2B93A394A8}"/>
            </c:ext>
          </c:extLst>
        </c:ser>
        <c:dLbls>
          <c:showLegendKey val="0"/>
          <c:showVal val="0"/>
          <c:showCatName val="0"/>
          <c:showSerName val="0"/>
          <c:showPercent val="0"/>
          <c:showBubbleSize val="0"/>
        </c:dLbls>
        <c:marker val="1"/>
        <c:smooth val="0"/>
        <c:axId val="412017864"/>
        <c:axId val="412019824"/>
      </c:lineChart>
      <c:catAx>
        <c:axId val="412017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412019824"/>
        <c:crosses val="autoZero"/>
        <c:auto val="1"/>
        <c:lblAlgn val="ctr"/>
        <c:lblOffset val="100"/>
        <c:noMultiLvlLbl val="0"/>
      </c:catAx>
      <c:valAx>
        <c:axId val="412019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a:t>
                </a:r>
                <a:r>
                  <a:rPr lang="en-GB" b="1" baseline="0"/>
                  <a:t> del PIB</a:t>
                </a:r>
                <a:endParaRPr lang="en-GB"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P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412017864"/>
        <c:crosses val="autoZero"/>
        <c:crossBetween val="between"/>
      </c:valAx>
      <c:valAx>
        <c:axId val="4120143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412020216"/>
        <c:crosses val="max"/>
        <c:crossBetween val="between"/>
      </c:valAx>
      <c:catAx>
        <c:axId val="412020216"/>
        <c:scaling>
          <c:orientation val="minMax"/>
        </c:scaling>
        <c:delete val="1"/>
        <c:axPos val="b"/>
        <c:numFmt formatCode="General" sourceLinked="1"/>
        <c:majorTickMark val="out"/>
        <c:minorTickMark val="none"/>
        <c:tickLblPos val="nextTo"/>
        <c:crossAx val="41201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GB" sz="1600" b="1"/>
              <a:t>Saldo</a:t>
            </a:r>
            <a:r>
              <a:rPr lang="en-GB" sz="1600" b="1" baseline="0"/>
              <a:t> de reservas  del Fondo Único Solidario</a:t>
            </a:r>
            <a:endParaRPr lang="en-GB" sz="1600" b="1"/>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s-PA"/>
        </a:p>
      </c:txPr>
    </c:title>
    <c:autoTitleDeleted val="0"/>
    <c:plotArea>
      <c:layout/>
      <c:lineChart>
        <c:grouping val="standard"/>
        <c:varyColors val="0"/>
        <c:ser>
          <c:idx val="0"/>
          <c:order val="0"/>
          <c:tx>
            <c:strRef>
              <c:f>Sheet1!$E$1</c:f>
              <c:strCache>
                <c:ptCount val="1"/>
                <c:pt idx="0">
                  <c:v>Saldo de reservas con aporte del Estado </c:v>
                </c:pt>
              </c:strCache>
            </c:strRef>
          </c:tx>
          <c:spPr>
            <a:ln w="28575" cap="rnd">
              <a:solidFill>
                <a:schemeClr val="accent1"/>
              </a:solidFill>
              <a:round/>
            </a:ln>
            <a:effectLst/>
          </c:spPr>
          <c:marker>
            <c:symbol val="none"/>
          </c:marker>
          <c:cat>
            <c:numRef>
              <c:f>Sheet1!$A$2:$A$87</c:f>
              <c:numCache>
                <c:formatCode>General</c:formatCode>
                <c:ptCount val="8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2055</c:v>
                </c:pt>
                <c:pt idx="33">
                  <c:v>2056</c:v>
                </c:pt>
                <c:pt idx="34">
                  <c:v>2057</c:v>
                </c:pt>
                <c:pt idx="35">
                  <c:v>2058</c:v>
                </c:pt>
                <c:pt idx="36">
                  <c:v>2059</c:v>
                </c:pt>
                <c:pt idx="37">
                  <c:v>2060</c:v>
                </c:pt>
                <c:pt idx="38">
                  <c:v>2061</c:v>
                </c:pt>
                <c:pt idx="39">
                  <c:v>2062</c:v>
                </c:pt>
                <c:pt idx="40">
                  <c:v>2063</c:v>
                </c:pt>
                <c:pt idx="41">
                  <c:v>2064</c:v>
                </c:pt>
                <c:pt idx="42">
                  <c:v>2065</c:v>
                </c:pt>
                <c:pt idx="43">
                  <c:v>2066</c:v>
                </c:pt>
                <c:pt idx="44">
                  <c:v>2067</c:v>
                </c:pt>
                <c:pt idx="45">
                  <c:v>2068</c:v>
                </c:pt>
                <c:pt idx="46">
                  <c:v>2069</c:v>
                </c:pt>
                <c:pt idx="47">
                  <c:v>2070</c:v>
                </c:pt>
                <c:pt idx="48">
                  <c:v>2071</c:v>
                </c:pt>
                <c:pt idx="49">
                  <c:v>2072</c:v>
                </c:pt>
                <c:pt idx="50">
                  <c:v>2073</c:v>
                </c:pt>
                <c:pt idx="51">
                  <c:v>2074</c:v>
                </c:pt>
                <c:pt idx="52">
                  <c:v>2075</c:v>
                </c:pt>
                <c:pt idx="53">
                  <c:v>2076</c:v>
                </c:pt>
                <c:pt idx="54">
                  <c:v>2077</c:v>
                </c:pt>
                <c:pt idx="55">
                  <c:v>2078</c:v>
                </c:pt>
                <c:pt idx="56">
                  <c:v>2079</c:v>
                </c:pt>
                <c:pt idx="57">
                  <c:v>2080</c:v>
                </c:pt>
                <c:pt idx="58">
                  <c:v>2081</c:v>
                </c:pt>
                <c:pt idx="59">
                  <c:v>2082</c:v>
                </c:pt>
                <c:pt idx="60">
                  <c:v>2083</c:v>
                </c:pt>
                <c:pt idx="61">
                  <c:v>2084</c:v>
                </c:pt>
                <c:pt idx="62">
                  <c:v>2085</c:v>
                </c:pt>
                <c:pt idx="63">
                  <c:v>2086</c:v>
                </c:pt>
                <c:pt idx="64">
                  <c:v>2087</c:v>
                </c:pt>
                <c:pt idx="65">
                  <c:v>2088</c:v>
                </c:pt>
                <c:pt idx="66">
                  <c:v>2089</c:v>
                </c:pt>
                <c:pt idx="67">
                  <c:v>2090</c:v>
                </c:pt>
                <c:pt idx="68">
                  <c:v>2091</c:v>
                </c:pt>
                <c:pt idx="69">
                  <c:v>2092</c:v>
                </c:pt>
                <c:pt idx="70">
                  <c:v>2093</c:v>
                </c:pt>
                <c:pt idx="71">
                  <c:v>2094</c:v>
                </c:pt>
                <c:pt idx="72">
                  <c:v>2095</c:v>
                </c:pt>
                <c:pt idx="73">
                  <c:v>2096</c:v>
                </c:pt>
                <c:pt idx="74">
                  <c:v>2097</c:v>
                </c:pt>
                <c:pt idx="75">
                  <c:v>2098</c:v>
                </c:pt>
                <c:pt idx="76">
                  <c:v>2099</c:v>
                </c:pt>
                <c:pt idx="77">
                  <c:v>2100</c:v>
                </c:pt>
                <c:pt idx="78">
                  <c:v>2101</c:v>
                </c:pt>
                <c:pt idx="79">
                  <c:v>2102</c:v>
                </c:pt>
                <c:pt idx="80">
                  <c:v>2103</c:v>
                </c:pt>
                <c:pt idx="81">
                  <c:v>2104</c:v>
                </c:pt>
                <c:pt idx="82">
                  <c:v>2105</c:v>
                </c:pt>
                <c:pt idx="83">
                  <c:v>2106</c:v>
                </c:pt>
                <c:pt idx="84">
                  <c:v>2107</c:v>
                </c:pt>
                <c:pt idx="85">
                  <c:v>2108</c:v>
                </c:pt>
              </c:numCache>
            </c:numRef>
          </c:cat>
          <c:val>
            <c:numRef>
              <c:f>Sheet1!$E$2:$E$87</c:f>
              <c:numCache>
                <c:formatCode>0.0%</c:formatCode>
                <c:ptCount val="86"/>
                <c:pt idx="0">
                  <c:v>0.12833415899413353</c:v>
                </c:pt>
                <c:pt idx="1">
                  <c:v>0.13158578165275225</c:v>
                </c:pt>
                <c:pt idx="2">
                  <c:v>0.14912479971591011</c:v>
                </c:pt>
                <c:pt idx="3">
                  <c:v>0.16830931892900627</c:v>
                </c:pt>
                <c:pt idx="4">
                  <c:v>0.18718451374515349</c:v>
                </c:pt>
                <c:pt idx="5">
                  <c:v>0.20566952554550816</c:v>
                </c:pt>
                <c:pt idx="6">
                  <c:v>0.22302065210674926</c:v>
                </c:pt>
                <c:pt idx="7">
                  <c:v>0.23981549763538021</c:v>
                </c:pt>
                <c:pt idx="8">
                  <c:v>0.25597338876925646</c:v>
                </c:pt>
                <c:pt idx="9">
                  <c:v>0.27247283882850842</c:v>
                </c:pt>
                <c:pt idx="10">
                  <c:v>0.28973666776087453</c:v>
                </c:pt>
                <c:pt idx="11">
                  <c:v>0.30732663860538745</c:v>
                </c:pt>
                <c:pt idx="12">
                  <c:v>0.32403564280825065</c:v>
                </c:pt>
                <c:pt idx="13">
                  <c:v>0.33985104401900335</c:v>
                </c:pt>
                <c:pt idx="14">
                  <c:v>0.35456019523931592</c:v>
                </c:pt>
                <c:pt idx="15">
                  <c:v>0.36773123436062377</c:v>
                </c:pt>
                <c:pt idx="16">
                  <c:v>0.37962206249975988</c:v>
                </c:pt>
                <c:pt idx="17">
                  <c:v>0.39013194462070311</c:v>
                </c:pt>
                <c:pt idx="18">
                  <c:v>0.39891988787670707</c:v>
                </c:pt>
                <c:pt idx="19">
                  <c:v>0.4061472619284382</c:v>
                </c:pt>
                <c:pt idx="20">
                  <c:v>0.41172681592100391</c:v>
                </c:pt>
                <c:pt idx="21">
                  <c:v>0.41559766441166723</c:v>
                </c:pt>
                <c:pt idx="22">
                  <c:v>0.41808011433854492</c:v>
                </c:pt>
                <c:pt idx="23">
                  <c:v>0.41928224460971586</c:v>
                </c:pt>
                <c:pt idx="24">
                  <c:v>0.41910319484208947</c:v>
                </c:pt>
                <c:pt idx="25">
                  <c:v>0.41760406705953224</c:v>
                </c:pt>
                <c:pt idx="26">
                  <c:v>0.41494469984896915</c:v>
                </c:pt>
                <c:pt idx="27">
                  <c:v>0.41134813497981315</c:v>
                </c:pt>
                <c:pt idx="28">
                  <c:v>0.40698163868487108</c:v>
                </c:pt>
                <c:pt idx="29">
                  <c:v>0.40177639769336854</c:v>
                </c:pt>
                <c:pt idx="30">
                  <c:v>0.39560810064890917</c:v>
                </c:pt>
                <c:pt idx="31">
                  <c:v>0.38844009394015372</c:v>
                </c:pt>
                <c:pt idx="32">
                  <c:v>0.38021828018743925</c:v>
                </c:pt>
                <c:pt idx="33">
                  <c:v>0.37080667000012341</c:v>
                </c:pt>
                <c:pt idx="34">
                  <c:v>0.36010184517718991</c:v>
                </c:pt>
                <c:pt idx="35">
                  <c:v>0.34809934138384757</c:v>
                </c:pt>
                <c:pt idx="36">
                  <c:v>0.33480660706833876</c:v>
                </c:pt>
                <c:pt idx="37">
                  <c:v>0.32025956964386298</c:v>
                </c:pt>
                <c:pt idx="38">
                  <c:v>0.30447773332808031</c:v>
                </c:pt>
                <c:pt idx="39">
                  <c:v>0.28763263516926324</c:v>
                </c:pt>
                <c:pt idx="40">
                  <c:v>0.26997559098651419</c:v>
                </c:pt>
                <c:pt idx="41">
                  <c:v>0.25166009156570079</c:v>
                </c:pt>
                <c:pt idx="42">
                  <c:v>0.23288218994185295</c:v>
                </c:pt>
                <c:pt idx="43">
                  <c:v>0.21384762738644256</c:v>
                </c:pt>
                <c:pt idx="44">
                  <c:v>0.19491174718227508</c:v>
                </c:pt>
                <c:pt idx="45">
                  <c:v>0.1764149027063468</c:v>
                </c:pt>
                <c:pt idx="46">
                  <c:v>0.15847757615049507</c:v>
                </c:pt>
                <c:pt idx="47">
                  <c:v>0.1412390474179849</c:v>
                </c:pt>
                <c:pt idx="48">
                  <c:v>0.12493313558597069</c:v>
                </c:pt>
                <c:pt idx="49">
                  <c:v>0.10979507411663728</c:v>
                </c:pt>
                <c:pt idx="50">
                  <c:v>9.5924827611018879E-2</c:v>
                </c:pt>
                <c:pt idx="51">
                  <c:v>8.3318214577253136E-2</c:v>
                </c:pt>
                <c:pt idx="52">
                  <c:v>7.1970321552312463E-2</c:v>
                </c:pt>
                <c:pt idx="53">
                  <c:v>6.1874428940736012E-2</c:v>
                </c:pt>
                <c:pt idx="54">
                  <c:v>5.3012479800751584E-2</c:v>
                </c:pt>
                <c:pt idx="55">
                  <c:v>4.5362826904992194E-2</c:v>
                </c:pt>
                <c:pt idx="56">
                  <c:v>3.8900462421799509E-2</c:v>
                </c:pt>
                <c:pt idx="57">
                  <c:v>3.3595054611051028E-2</c:v>
                </c:pt>
                <c:pt idx="58">
                  <c:v>2.9413140825807305E-2</c:v>
                </c:pt>
                <c:pt idx="59">
                  <c:v>2.6317618018307065E-2</c:v>
                </c:pt>
                <c:pt idx="60">
                  <c:v>2.4268196135392321E-2</c:v>
                </c:pt>
                <c:pt idx="61">
                  <c:v>2.3221586522331628E-2</c:v>
                </c:pt>
                <c:pt idx="62">
                  <c:v>2.3130983166539942E-2</c:v>
                </c:pt>
                <c:pt idx="63">
                  <c:v>2.3958644438917487E-2</c:v>
                </c:pt>
                <c:pt idx="64">
                  <c:v>2.5669086112987592E-2</c:v>
                </c:pt>
                <c:pt idx="65">
                  <c:v>2.8209826852286565E-2</c:v>
                </c:pt>
                <c:pt idx="66">
                  <c:v>3.1528678783864443E-2</c:v>
                </c:pt>
                <c:pt idx="67">
                  <c:v>3.5571981671590348E-2</c:v>
                </c:pt>
                <c:pt idx="68">
                  <c:v>4.0288691761681414E-2</c:v>
                </c:pt>
                <c:pt idx="69">
                  <c:v>4.562951977996136E-2</c:v>
                </c:pt>
                <c:pt idx="70">
                  <c:v>5.1547603276758405E-2</c:v>
                </c:pt>
                <c:pt idx="71">
                  <c:v>5.7997484918263363E-2</c:v>
                </c:pt>
                <c:pt idx="72">
                  <c:v>6.4937505979716564E-2</c:v>
                </c:pt>
                <c:pt idx="73">
                  <c:v>7.2328167049714592E-2</c:v>
                </c:pt>
                <c:pt idx="74">
                  <c:v>8.0132713196566271E-2</c:v>
                </c:pt>
                <c:pt idx="75">
                  <c:v>8.8320578595496649E-2</c:v>
                </c:pt>
                <c:pt idx="76">
                  <c:v>9.6866905072259771E-2</c:v>
                </c:pt>
                <c:pt idx="77">
                  <c:v>0.10575152225105927</c:v>
                </c:pt>
                <c:pt idx="78">
                  <c:v>0.11495858780019647</c:v>
                </c:pt>
                <c:pt idx="79">
                  <c:v>0.12447603091566752</c:v>
                </c:pt>
                <c:pt idx="80">
                  <c:v>0.13429094344191675</c:v>
                </c:pt>
                <c:pt idx="81">
                  <c:v>0.14439469609566466</c:v>
                </c:pt>
                <c:pt idx="82">
                  <c:v>0.15478428313694104</c:v>
                </c:pt>
                <c:pt idx="83">
                  <c:v>0.16546050020337402</c:v>
                </c:pt>
                <c:pt idx="84">
                  <c:v>0.17642645553116926</c:v>
                </c:pt>
                <c:pt idx="85">
                  <c:v>0.18768649576606825</c:v>
                </c:pt>
              </c:numCache>
            </c:numRef>
          </c:val>
          <c:smooth val="0"/>
          <c:extLst>
            <c:ext xmlns:c16="http://schemas.microsoft.com/office/drawing/2014/chart" uri="{C3380CC4-5D6E-409C-BE32-E72D297353CC}">
              <c16:uniqueId val="{00000000-2DBE-4289-9109-C3762E1811C7}"/>
            </c:ext>
          </c:extLst>
        </c:ser>
        <c:ser>
          <c:idx val="1"/>
          <c:order val="1"/>
          <c:tx>
            <c:strRef>
              <c:f>Sheet1!$F$1</c:f>
              <c:strCache>
                <c:ptCount val="1"/>
                <c:pt idx="0">
                  <c:v>Saldo de reservas sin aporte del Estado</c:v>
                </c:pt>
              </c:strCache>
            </c:strRef>
          </c:tx>
          <c:spPr>
            <a:ln w="28575" cap="rnd">
              <a:solidFill>
                <a:schemeClr val="accent2"/>
              </a:solidFill>
              <a:round/>
            </a:ln>
            <a:effectLst/>
          </c:spPr>
          <c:marker>
            <c:symbol val="none"/>
          </c:marker>
          <c:cat>
            <c:numRef>
              <c:f>Sheet1!$A$2:$A$87</c:f>
              <c:numCache>
                <c:formatCode>General</c:formatCode>
                <c:ptCount val="8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2055</c:v>
                </c:pt>
                <c:pt idx="33">
                  <c:v>2056</c:v>
                </c:pt>
                <c:pt idx="34">
                  <c:v>2057</c:v>
                </c:pt>
                <c:pt idx="35">
                  <c:v>2058</c:v>
                </c:pt>
                <c:pt idx="36">
                  <c:v>2059</c:v>
                </c:pt>
                <c:pt idx="37">
                  <c:v>2060</c:v>
                </c:pt>
                <c:pt idx="38">
                  <c:v>2061</c:v>
                </c:pt>
                <c:pt idx="39">
                  <c:v>2062</c:v>
                </c:pt>
                <c:pt idx="40">
                  <c:v>2063</c:v>
                </c:pt>
                <c:pt idx="41">
                  <c:v>2064</c:v>
                </c:pt>
                <c:pt idx="42">
                  <c:v>2065</c:v>
                </c:pt>
                <c:pt idx="43">
                  <c:v>2066</c:v>
                </c:pt>
                <c:pt idx="44">
                  <c:v>2067</c:v>
                </c:pt>
                <c:pt idx="45">
                  <c:v>2068</c:v>
                </c:pt>
                <c:pt idx="46">
                  <c:v>2069</c:v>
                </c:pt>
                <c:pt idx="47">
                  <c:v>2070</c:v>
                </c:pt>
                <c:pt idx="48">
                  <c:v>2071</c:v>
                </c:pt>
                <c:pt idx="49">
                  <c:v>2072</c:v>
                </c:pt>
                <c:pt idx="50">
                  <c:v>2073</c:v>
                </c:pt>
                <c:pt idx="51">
                  <c:v>2074</c:v>
                </c:pt>
                <c:pt idx="52">
                  <c:v>2075</c:v>
                </c:pt>
                <c:pt idx="53">
                  <c:v>2076</c:v>
                </c:pt>
                <c:pt idx="54">
                  <c:v>2077</c:v>
                </c:pt>
                <c:pt idx="55">
                  <c:v>2078</c:v>
                </c:pt>
                <c:pt idx="56">
                  <c:v>2079</c:v>
                </c:pt>
                <c:pt idx="57">
                  <c:v>2080</c:v>
                </c:pt>
                <c:pt idx="58">
                  <c:v>2081</c:v>
                </c:pt>
                <c:pt idx="59">
                  <c:v>2082</c:v>
                </c:pt>
                <c:pt idx="60">
                  <c:v>2083</c:v>
                </c:pt>
                <c:pt idx="61">
                  <c:v>2084</c:v>
                </c:pt>
                <c:pt idx="62">
                  <c:v>2085</c:v>
                </c:pt>
                <c:pt idx="63">
                  <c:v>2086</c:v>
                </c:pt>
                <c:pt idx="64">
                  <c:v>2087</c:v>
                </c:pt>
                <c:pt idx="65">
                  <c:v>2088</c:v>
                </c:pt>
                <c:pt idx="66">
                  <c:v>2089</c:v>
                </c:pt>
                <c:pt idx="67">
                  <c:v>2090</c:v>
                </c:pt>
                <c:pt idx="68">
                  <c:v>2091</c:v>
                </c:pt>
                <c:pt idx="69">
                  <c:v>2092</c:v>
                </c:pt>
                <c:pt idx="70">
                  <c:v>2093</c:v>
                </c:pt>
                <c:pt idx="71">
                  <c:v>2094</c:v>
                </c:pt>
                <c:pt idx="72">
                  <c:v>2095</c:v>
                </c:pt>
                <c:pt idx="73">
                  <c:v>2096</c:v>
                </c:pt>
                <c:pt idx="74">
                  <c:v>2097</c:v>
                </c:pt>
                <c:pt idx="75">
                  <c:v>2098</c:v>
                </c:pt>
                <c:pt idx="76">
                  <c:v>2099</c:v>
                </c:pt>
                <c:pt idx="77">
                  <c:v>2100</c:v>
                </c:pt>
                <c:pt idx="78">
                  <c:v>2101</c:v>
                </c:pt>
                <c:pt idx="79">
                  <c:v>2102</c:v>
                </c:pt>
                <c:pt idx="80">
                  <c:v>2103</c:v>
                </c:pt>
                <c:pt idx="81">
                  <c:v>2104</c:v>
                </c:pt>
                <c:pt idx="82">
                  <c:v>2105</c:v>
                </c:pt>
                <c:pt idx="83">
                  <c:v>2106</c:v>
                </c:pt>
                <c:pt idx="84">
                  <c:v>2107</c:v>
                </c:pt>
                <c:pt idx="85">
                  <c:v>2108</c:v>
                </c:pt>
              </c:numCache>
            </c:numRef>
          </c:cat>
          <c:val>
            <c:numRef>
              <c:f>Sheet1!$F$2:$F$87</c:f>
              <c:numCache>
                <c:formatCode>0.0%</c:formatCode>
                <c:ptCount val="86"/>
                <c:pt idx="0">
                  <c:v>0.12699133012613573</c:v>
                </c:pt>
                <c:pt idx="1">
                  <c:v>0.12854084083556097</c:v>
                </c:pt>
                <c:pt idx="2">
                  <c:v>0.12797350081646083</c:v>
                </c:pt>
                <c:pt idx="3">
                  <c:v>0.13009473711330222</c:v>
                </c:pt>
                <c:pt idx="4">
                  <c:v>0.13182371647480215</c:v>
                </c:pt>
                <c:pt idx="5">
                  <c:v>0.13291075988032802</c:v>
                </c:pt>
                <c:pt idx="6">
                  <c:v>0.13335726393418329</c:v>
                </c:pt>
                <c:pt idx="7">
                  <c:v>0.13063371367091253</c:v>
                </c:pt>
                <c:pt idx="8">
                  <c:v>0.12788641141283366</c:v>
                </c:pt>
                <c:pt idx="9">
                  <c:v>0.12412189147078181</c:v>
                </c:pt>
                <c:pt idx="10">
                  <c:v>0.11869128877618755</c:v>
                </c:pt>
                <c:pt idx="11">
                  <c:v>0.1117329772393663</c:v>
                </c:pt>
                <c:pt idx="12">
                  <c:v>0.10323184323232125</c:v>
                </c:pt>
                <c:pt idx="13">
                  <c:v>9.8714599667488842E-2</c:v>
                </c:pt>
                <c:pt idx="14">
                  <c:v>9.4182677263173448E-2</c:v>
                </c:pt>
                <c:pt idx="15">
                  <c:v>8.9402683295743648E-2</c:v>
                </c:pt>
                <c:pt idx="16">
                  <c:v>8.3961969889038091E-2</c:v>
                </c:pt>
                <c:pt idx="17">
                  <c:v>7.770858403454195E-2</c:v>
                </c:pt>
                <c:pt idx="18">
                  <c:v>7.0476541274320167E-2</c:v>
                </c:pt>
                <c:pt idx="19">
                  <c:v>6.2131565908962502E-2</c:v>
                </c:pt>
                <c:pt idx="20">
                  <c:v>5.2447767479090988E-2</c:v>
                </c:pt>
                <c:pt idx="21">
                  <c:v>4.1036456073727433E-2</c:v>
                </c:pt>
                <c:pt idx="22">
                  <c:v>2.7827692141269143E-2</c:v>
                </c:pt>
                <c:pt idx="23">
                  <c:v>1.2759005527527522E-2</c:v>
                </c:pt>
                <c:pt idx="24">
                  <c:v>-4.1930297406809125E-3</c:v>
                </c:pt>
                <c:pt idx="25">
                  <c:v>-2.3124341812672037E-2</c:v>
                </c:pt>
                <c:pt idx="26">
                  <c:v>-4.2422654759580535E-2</c:v>
                </c:pt>
                <c:pt idx="27">
                  <c:v>-6.1232820042302842E-2</c:v>
                </c:pt>
                <c:pt idx="28">
                  <c:v>-7.9300503124616936E-2</c:v>
                </c:pt>
                <c:pt idx="29">
                  <c:v>-9.6544631574015799E-2</c:v>
                </c:pt>
                <c:pt idx="30">
                  <c:v>-0.11300962194558729</c:v>
                </c:pt>
                <c:pt idx="31">
                  <c:v>-0.12878215335855939</c:v>
                </c:pt>
                <c:pt idx="32">
                  <c:v>-0.14386069552708833</c:v>
                </c:pt>
                <c:pt idx="33">
                  <c:v>-0.1585456028898897</c:v>
                </c:pt>
                <c:pt idx="34">
                  <c:v>-0.17299889095164317</c:v>
                </c:pt>
                <c:pt idx="35">
                  <c:v>-0.18721488796435379</c:v>
                </c:pt>
                <c:pt idx="36">
                  <c:v>-0.20120459545330729</c:v>
                </c:pt>
                <c:pt idx="37">
                  <c:v>-0.21498039350157264</c:v>
                </c:pt>
                <c:pt idx="38">
                  <c:v>-0.22857022877314837</c:v>
                </c:pt>
                <c:pt idx="39">
                  <c:v>-0.24197484815312875</c:v>
                </c:pt>
                <c:pt idx="40">
                  <c:v>-0.25518421109857631</c:v>
                </c:pt>
                <c:pt idx="41">
                  <c:v>-0.26822728500766707</c:v>
                </c:pt>
                <c:pt idx="42">
                  <c:v>-0.28106753225702519</c:v>
                </c:pt>
                <c:pt idx="43">
                  <c:v>-0.29367932701279226</c:v>
                </c:pt>
                <c:pt idx="44">
                  <c:v>-0.30568693305546019</c:v>
                </c:pt>
                <c:pt idx="45">
                  <c:v>-0.31668566720873026</c:v>
                </c:pt>
                <c:pt idx="46">
                  <c:v>-0.32676367677104334</c:v>
                </c:pt>
                <c:pt idx="47">
                  <c:v>-0.33600499203845302</c:v>
                </c:pt>
                <c:pt idx="48">
                  <c:v>-0.34446328627025558</c:v>
                </c:pt>
                <c:pt idx="49">
                  <c:v>-0.35218707887112327</c:v>
                </c:pt>
                <c:pt idx="50">
                  <c:v>-0.35921280292063928</c:v>
                </c:pt>
                <c:pt idx="51">
                  <c:v>-0.36557520943914945</c:v>
                </c:pt>
                <c:pt idx="52">
                  <c:v>-0.37130693906549256</c:v>
                </c:pt>
                <c:pt idx="53">
                  <c:v>-0.37643647426472704</c:v>
                </c:pt>
                <c:pt idx="54">
                  <c:v>-0.38098870150347014</c:v>
                </c:pt>
                <c:pt idx="55">
                  <c:v>-0.38498600665837374</c:v>
                </c:pt>
                <c:pt idx="56">
                  <c:v>-0.38844819056916369</c:v>
                </c:pt>
                <c:pt idx="57">
                  <c:v>-0.39139455885309671</c:v>
                </c:pt>
                <c:pt idx="58">
                  <c:v>-0.39384184556697971</c:v>
                </c:pt>
                <c:pt idx="59">
                  <c:v>-0.39580467439027689</c:v>
                </c:pt>
                <c:pt idx="60">
                  <c:v>-0.39729754337288486</c:v>
                </c:pt>
                <c:pt idx="61">
                  <c:v>-0.3983337778923447</c:v>
                </c:pt>
                <c:pt idx="62">
                  <c:v>-0.39893023268629979</c:v>
                </c:pt>
                <c:pt idx="63">
                  <c:v>-0.39910389775698335</c:v>
                </c:pt>
                <c:pt idx="64">
                  <c:v>-0.39887066863813786</c:v>
                </c:pt>
                <c:pt idx="65">
                  <c:v>-0.39824602034798284</c:v>
                </c:pt>
                <c:pt idx="66">
                  <c:v>-0.39724544002764323</c:v>
                </c:pt>
                <c:pt idx="67">
                  <c:v>-0.3958846764906484</c:v>
                </c:pt>
                <c:pt idx="68">
                  <c:v>-0.39418056340403823</c:v>
                </c:pt>
                <c:pt idx="69">
                  <c:v>-0.39214979070711137</c:v>
                </c:pt>
                <c:pt idx="70">
                  <c:v>-0.38980974481963698</c:v>
                </c:pt>
                <c:pt idx="71">
                  <c:v>-0.38717921244193393</c:v>
                </c:pt>
                <c:pt idx="72">
                  <c:v>-0.38427710827171102</c:v>
                </c:pt>
                <c:pt idx="73">
                  <c:v>-0.38112257312453901</c:v>
                </c:pt>
                <c:pt idx="74">
                  <c:v>-0.37773400259577533</c:v>
                </c:pt>
                <c:pt idx="75">
                  <c:v>-0.3741294006696787</c:v>
                </c:pt>
                <c:pt idx="76">
                  <c:v>-0.37032618576035137</c:v>
                </c:pt>
                <c:pt idx="77">
                  <c:v>-0.36634063602487127</c:v>
                </c:pt>
                <c:pt idx="78">
                  <c:v>-0.362187703018997</c:v>
                </c:pt>
                <c:pt idx="79">
                  <c:v>-0.35788208849986963</c:v>
                </c:pt>
                <c:pt idx="80">
                  <c:v>-0.35343857303542681</c:v>
                </c:pt>
                <c:pt idx="81">
                  <c:v>-0.34887110372120889</c:v>
                </c:pt>
                <c:pt idx="82">
                  <c:v>-0.34419119684952215</c:v>
                </c:pt>
                <c:pt idx="83">
                  <c:v>-0.33940897034918566</c:v>
                </c:pt>
                <c:pt idx="84">
                  <c:v>-0.33453392521808012</c:v>
                </c:pt>
                <c:pt idx="85">
                  <c:v>-0.32957528348063103</c:v>
                </c:pt>
              </c:numCache>
            </c:numRef>
          </c:val>
          <c:smooth val="0"/>
          <c:extLst>
            <c:ext xmlns:c16="http://schemas.microsoft.com/office/drawing/2014/chart" uri="{C3380CC4-5D6E-409C-BE32-E72D297353CC}">
              <c16:uniqueId val="{00000001-2DBE-4289-9109-C3762E1811C7}"/>
            </c:ext>
          </c:extLst>
        </c:ser>
        <c:dLbls>
          <c:showLegendKey val="0"/>
          <c:showVal val="0"/>
          <c:showCatName val="0"/>
          <c:showSerName val="0"/>
          <c:showPercent val="0"/>
          <c:showBubbleSize val="0"/>
        </c:dLbls>
        <c:smooth val="0"/>
        <c:axId val="412016296"/>
        <c:axId val="412015512"/>
      </c:lineChart>
      <c:catAx>
        <c:axId val="41201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412015512"/>
        <c:crosses val="autoZero"/>
        <c:auto val="1"/>
        <c:lblAlgn val="ctr"/>
        <c:lblOffset val="100"/>
        <c:noMultiLvlLbl val="0"/>
      </c:catAx>
      <c:valAx>
        <c:axId val="412015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a:t>
                </a:r>
                <a:r>
                  <a:rPr lang="en-GB" b="1" baseline="0"/>
                  <a:t> del PIB</a:t>
                </a:r>
                <a:endParaRPr lang="en-GB"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P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412016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519A-0B94-4E93-B45C-26FC1DF8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17719</Words>
  <Characters>97457</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2024-12-02T16:16:00Z</dcterms:created>
  <dcterms:modified xsi:type="dcterms:W3CDTF">2024-12-02T16:16:00Z</dcterms:modified>
</cp:coreProperties>
</file>